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7531E" w14:textId="48710D46" w:rsidR="000F38C6" w:rsidRPr="0075127F" w:rsidRDefault="00497A5E" w:rsidP="0075127F">
      <w:pPr>
        <w:pStyle w:val="Akapitzlist"/>
        <w:jc w:val="both"/>
        <w:rPr>
          <w:rFonts w:cs="Arial"/>
          <w:szCs w:val="24"/>
        </w:rPr>
      </w:pPr>
      <w:r w:rsidRPr="0005355B">
        <w:rPr>
          <w:rFonts w:cs="Arial"/>
          <w:noProof/>
          <w:szCs w:val="24"/>
        </w:rPr>
        <w:drawing>
          <wp:inline distT="0" distB="0" distL="0" distR="0" wp14:anchorId="0F422F62" wp14:editId="604BE383">
            <wp:extent cx="704850" cy="825500"/>
            <wp:effectExtent l="0" t="0" r="0" b="0"/>
            <wp:docPr id="1" name="Obraz 1" descr="Herb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Herb Województwa Podkarpackiego"/>
                    <pic:cNvPicPr/>
                  </pic:nvPicPr>
                  <pic:blipFill>
                    <a:blip r:embed="rId8">
                      <a:extLst>
                        <a:ext uri="{28A0092B-C50C-407E-A947-70E740481C1C}">
                          <a14:useLocalDpi xmlns:a14="http://schemas.microsoft.com/office/drawing/2010/main" val="0"/>
                        </a:ext>
                      </a:extLst>
                    </a:blip>
                    <a:stretch>
                      <a:fillRect/>
                    </a:stretch>
                  </pic:blipFill>
                  <pic:spPr>
                    <a:xfrm>
                      <a:off x="0" y="0"/>
                      <a:ext cx="715595" cy="838084"/>
                    </a:xfrm>
                    <a:prstGeom prst="rect">
                      <a:avLst/>
                    </a:prstGeom>
                  </pic:spPr>
                </pic:pic>
              </a:graphicData>
            </a:graphic>
          </wp:inline>
        </w:drawing>
      </w:r>
      <w:r w:rsidR="000D66EB" w:rsidRPr="0005355B">
        <w:rPr>
          <w:rFonts w:cs="Arial"/>
          <w:szCs w:val="24"/>
        </w:rPr>
        <w:t>MARSZAŁEK WOJEWÓDZTWA PODKARPACKIEGO</w:t>
      </w:r>
    </w:p>
    <w:p w14:paraId="2D67FCE3" w14:textId="77777777" w:rsidR="00E02F30" w:rsidRPr="00E02F30" w:rsidRDefault="00E02F30" w:rsidP="00E02F30">
      <w:pPr>
        <w:spacing w:after="0" w:line="276" w:lineRule="auto"/>
        <w:jc w:val="both"/>
        <w:rPr>
          <w:rFonts w:eastAsia="Times New Roman" w:cs="Arial"/>
          <w:bCs/>
          <w:szCs w:val="24"/>
          <w:lang w:eastAsia="pl-PL"/>
        </w:rPr>
      </w:pPr>
      <w:r w:rsidRPr="00E02F30">
        <w:rPr>
          <w:rFonts w:eastAsia="Times New Roman" w:cs="Arial"/>
          <w:bCs/>
          <w:szCs w:val="24"/>
          <w:lang w:eastAsia="pl-PL"/>
        </w:rPr>
        <w:t>OS-I.7222.29.29.2023.BK</w:t>
      </w:r>
      <w:r w:rsidRPr="00E02F30">
        <w:rPr>
          <w:rFonts w:eastAsia="Times New Roman" w:cs="Arial"/>
          <w:bCs/>
          <w:szCs w:val="24"/>
          <w:lang w:eastAsia="pl-PL"/>
        </w:rPr>
        <w:tab/>
      </w:r>
      <w:r w:rsidRPr="00E02F30">
        <w:rPr>
          <w:rFonts w:eastAsia="Times New Roman" w:cs="Arial"/>
          <w:bCs/>
          <w:szCs w:val="24"/>
          <w:lang w:eastAsia="pl-PL"/>
        </w:rPr>
        <w:tab/>
      </w:r>
      <w:r w:rsidRPr="00E02F30">
        <w:rPr>
          <w:rFonts w:eastAsia="Times New Roman" w:cs="Arial"/>
          <w:bCs/>
          <w:szCs w:val="24"/>
          <w:lang w:eastAsia="pl-PL"/>
        </w:rPr>
        <w:tab/>
      </w:r>
      <w:r w:rsidRPr="00E02F30">
        <w:rPr>
          <w:rFonts w:eastAsia="Times New Roman" w:cs="Arial"/>
          <w:bCs/>
          <w:szCs w:val="24"/>
          <w:lang w:eastAsia="pl-PL"/>
        </w:rPr>
        <w:tab/>
      </w:r>
      <w:r w:rsidRPr="00E02F30">
        <w:rPr>
          <w:rFonts w:eastAsia="Times New Roman" w:cs="Arial"/>
          <w:bCs/>
          <w:szCs w:val="24"/>
          <w:lang w:eastAsia="pl-PL"/>
        </w:rPr>
        <w:tab/>
      </w:r>
      <w:r w:rsidRPr="00E02F30">
        <w:rPr>
          <w:rFonts w:eastAsia="Times New Roman" w:cs="Arial"/>
          <w:bCs/>
          <w:szCs w:val="24"/>
          <w:lang w:eastAsia="pl-PL"/>
        </w:rPr>
        <w:tab/>
        <w:t>Rzeszów, 2024-07-30</w:t>
      </w:r>
    </w:p>
    <w:p w14:paraId="095D5CBF" w14:textId="77777777" w:rsidR="00E02F30" w:rsidRPr="00E02F30" w:rsidRDefault="00E02F30" w:rsidP="00E02F30">
      <w:pPr>
        <w:keepNext/>
        <w:widowControl w:val="0"/>
        <w:adjustRightInd w:val="0"/>
        <w:spacing w:after="0" w:line="240" w:lineRule="auto"/>
        <w:jc w:val="center"/>
        <w:textAlignment w:val="baseline"/>
        <w:outlineLvl w:val="0"/>
        <w:rPr>
          <w:rFonts w:eastAsia="Arial Unicode MS" w:cs="Times New Roman"/>
          <w:b/>
          <w:szCs w:val="20"/>
          <w:lang w:eastAsia="pl-PL"/>
        </w:rPr>
      </w:pPr>
      <w:r w:rsidRPr="00E02F30">
        <w:rPr>
          <w:rFonts w:eastAsia="Arial Unicode MS" w:cs="Times New Roman"/>
          <w:b/>
          <w:szCs w:val="20"/>
          <w:lang w:eastAsia="pl-PL"/>
        </w:rPr>
        <w:t>DECYZJA</w:t>
      </w:r>
    </w:p>
    <w:p w14:paraId="5DBBBB6A" w14:textId="77777777" w:rsidR="00E02F30" w:rsidRPr="00E02F30" w:rsidRDefault="00E02F30" w:rsidP="00E02F30">
      <w:pPr>
        <w:spacing w:after="200" w:line="276" w:lineRule="auto"/>
        <w:ind w:left="360"/>
        <w:jc w:val="both"/>
        <w:rPr>
          <w:rFonts w:eastAsia="Times New Roman" w:cs="Arial"/>
          <w:szCs w:val="24"/>
        </w:rPr>
      </w:pPr>
      <w:r w:rsidRPr="00E02F30">
        <w:rPr>
          <w:rFonts w:eastAsia="Times New Roman" w:cs="Arial"/>
          <w:szCs w:val="24"/>
        </w:rPr>
        <w:t>Działając na podstawie:</w:t>
      </w:r>
    </w:p>
    <w:p w14:paraId="0611BBE9" w14:textId="77777777" w:rsidR="00E02F30" w:rsidRPr="00E02F30" w:rsidRDefault="00E02F30">
      <w:pPr>
        <w:keepNext/>
        <w:numPr>
          <w:ilvl w:val="0"/>
          <w:numId w:val="8"/>
        </w:numPr>
        <w:spacing w:before="60" w:after="60" w:line="276" w:lineRule="auto"/>
        <w:contextualSpacing/>
        <w:jc w:val="both"/>
        <w:rPr>
          <w:rFonts w:eastAsia="Times New Roman" w:cs="Arial"/>
          <w:szCs w:val="24"/>
          <w:lang w:val="x-none" w:eastAsia="pl-PL"/>
        </w:rPr>
      </w:pPr>
      <w:r w:rsidRPr="00E02F30">
        <w:rPr>
          <w:rFonts w:eastAsia="Times New Roman" w:cs="Arial"/>
          <w:szCs w:val="24"/>
          <w:lang w:val="x-none" w:eastAsia="pl-PL"/>
        </w:rPr>
        <w:t>art. 104,</w:t>
      </w:r>
      <w:r w:rsidRPr="00E02F30">
        <w:rPr>
          <w:rFonts w:eastAsia="Calibri" w:cs="Arial"/>
          <w:szCs w:val="24"/>
          <w:lang w:val="x-none"/>
        </w:rPr>
        <w:t xml:space="preserve"> </w:t>
      </w:r>
      <w:r w:rsidRPr="00E02F30">
        <w:rPr>
          <w:rFonts w:eastAsia="Times New Roman" w:cs="Arial"/>
          <w:szCs w:val="24"/>
          <w:lang w:val="x-none" w:eastAsia="pl-PL"/>
        </w:rPr>
        <w:t>ustawy z dnia 14 czerwca 1960 r. Kodeks postępowania</w:t>
      </w:r>
      <w:r w:rsidRPr="00E02F30">
        <w:rPr>
          <w:rFonts w:eastAsia="Times New Roman" w:cs="Arial"/>
          <w:szCs w:val="24"/>
          <w:lang w:eastAsia="pl-PL"/>
        </w:rPr>
        <w:t xml:space="preserve"> </w:t>
      </w:r>
      <w:r w:rsidRPr="00E02F30">
        <w:rPr>
          <w:rFonts w:eastAsia="Times New Roman" w:cs="Arial"/>
          <w:szCs w:val="24"/>
          <w:lang w:val="x-none" w:eastAsia="pl-PL"/>
        </w:rPr>
        <w:t xml:space="preserve">administracyjnego </w:t>
      </w:r>
      <w:r w:rsidRPr="00E02F30">
        <w:rPr>
          <w:rFonts w:eastAsia="Times New Roman" w:cs="Arial"/>
          <w:szCs w:val="24"/>
          <w:lang w:eastAsia="pl-PL"/>
        </w:rPr>
        <w:t>(</w:t>
      </w:r>
      <w:proofErr w:type="spellStart"/>
      <w:r w:rsidRPr="00E02F30">
        <w:rPr>
          <w:rFonts w:eastAsia="Times New Roman" w:cs="Arial"/>
          <w:szCs w:val="24"/>
          <w:lang w:eastAsia="pl-PL"/>
        </w:rPr>
        <w:t>t.j</w:t>
      </w:r>
      <w:proofErr w:type="spellEnd"/>
      <w:r w:rsidRPr="00E02F30">
        <w:rPr>
          <w:rFonts w:eastAsia="Times New Roman" w:cs="Arial"/>
          <w:szCs w:val="24"/>
          <w:lang w:eastAsia="pl-PL"/>
        </w:rPr>
        <w:t>. Dz. U. z 2023 r. poz. 775 ze zm.),</w:t>
      </w:r>
    </w:p>
    <w:p w14:paraId="71628A6C" w14:textId="77777777" w:rsidR="00E02F30" w:rsidRPr="00E02F30" w:rsidRDefault="00E02F30">
      <w:pPr>
        <w:keepNext/>
        <w:numPr>
          <w:ilvl w:val="0"/>
          <w:numId w:val="8"/>
        </w:numPr>
        <w:spacing w:before="60" w:after="60" w:line="276" w:lineRule="auto"/>
        <w:contextualSpacing/>
        <w:jc w:val="both"/>
        <w:rPr>
          <w:rFonts w:eastAsia="Times New Roman" w:cs="Arial"/>
          <w:szCs w:val="24"/>
          <w:lang w:val="x-none" w:eastAsia="pl-PL"/>
        </w:rPr>
      </w:pPr>
      <w:r w:rsidRPr="00E02F30">
        <w:rPr>
          <w:rFonts w:eastAsia="Times New Roman" w:cs="Arial"/>
          <w:szCs w:val="24"/>
          <w:lang w:val="x-none" w:eastAsia="pl-PL"/>
        </w:rPr>
        <w:t>art. 181 ust. 1 pkt 1, art. 183 ust. 1</w:t>
      </w:r>
      <w:r w:rsidRPr="00E02F30">
        <w:rPr>
          <w:rFonts w:eastAsia="Times New Roman" w:cs="Arial"/>
          <w:szCs w:val="24"/>
          <w:lang w:eastAsia="pl-PL"/>
        </w:rPr>
        <w:t xml:space="preserve">, </w:t>
      </w:r>
      <w:r w:rsidRPr="00E02F30">
        <w:rPr>
          <w:rFonts w:eastAsia="Times New Roman" w:cs="Arial"/>
          <w:szCs w:val="24"/>
          <w:lang w:val="x-none" w:eastAsia="pl-PL"/>
        </w:rPr>
        <w:t>art. 188,</w:t>
      </w:r>
      <w:r w:rsidRPr="00E02F30">
        <w:rPr>
          <w:rFonts w:eastAsia="Times New Roman" w:cs="Arial"/>
          <w:szCs w:val="24"/>
          <w:lang w:eastAsia="pl-PL"/>
        </w:rPr>
        <w:t xml:space="preserve"> </w:t>
      </w:r>
      <w:r w:rsidRPr="00E02F30">
        <w:rPr>
          <w:rFonts w:eastAsia="Times New Roman" w:cs="Arial"/>
          <w:szCs w:val="24"/>
          <w:lang w:val="x-none" w:eastAsia="pl-PL"/>
        </w:rPr>
        <w:t>art. 201, art. 202, art. 203, art. 204, art. 205, art. 211, art. 218, art. 224, w</w:t>
      </w:r>
      <w:r w:rsidRPr="00E02F30">
        <w:rPr>
          <w:rFonts w:eastAsia="Times New Roman" w:cs="Arial"/>
          <w:szCs w:val="24"/>
          <w:lang w:eastAsia="pl-PL"/>
        </w:rPr>
        <w:t xml:space="preserve"> </w:t>
      </w:r>
      <w:r w:rsidRPr="00E02F30">
        <w:rPr>
          <w:rFonts w:eastAsia="Times New Roman" w:cs="Arial"/>
          <w:szCs w:val="24"/>
          <w:lang w:val="x-none" w:eastAsia="pl-PL"/>
        </w:rPr>
        <w:t>związku z art. 378 ust. 2a ustawy</w:t>
      </w:r>
      <w:r w:rsidRPr="00E02F30">
        <w:rPr>
          <w:rFonts w:eastAsia="Times New Roman" w:cs="Arial"/>
          <w:szCs w:val="24"/>
          <w:lang w:eastAsia="pl-PL"/>
        </w:rPr>
        <w:t xml:space="preserve"> </w:t>
      </w:r>
      <w:r w:rsidRPr="00E02F30">
        <w:rPr>
          <w:rFonts w:eastAsia="Times New Roman" w:cs="Arial"/>
          <w:szCs w:val="24"/>
          <w:lang w:val="x-none" w:eastAsia="pl-PL"/>
        </w:rPr>
        <w:t>z dnia 27 kwietnia 2001 r. Prawo ochrony środowiska (</w:t>
      </w:r>
      <w:proofErr w:type="spellStart"/>
      <w:r w:rsidRPr="00E02F30">
        <w:rPr>
          <w:rFonts w:eastAsia="Times New Roman" w:cs="Arial"/>
          <w:szCs w:val="24"/>
          <w:lang w:val="x-none" w:eastAsia="pl-PL"/>
        </w:rPr>
        <w:t>t.j</w:t>
      </w:r>
      <w:proofErr w:type="spellEnd"/>
      <w:r w:rsidRPr="00E02F30">
        <w:rPr>
          <w:rFonts w:eastAsia="Times New Roman" w:cs="Arial"/>
          <w:szCs w:val="24"/>
          <w:lang w:val="x-none" w:eastAsia="pl-PL"/>
        </w:rPr>
        <w:t>. Dz. U. z 2024 r. poz.54 ze zm.),</w:t>
      </w:r>
    </w:p>
    <w:p w14:paraId="6C653496" w14:textId="77777777" w:rsidR="00E02F30" w:rsidRPr="00E02F30" w:rsidRDefault="00E02F30">
      <w:pPr>
        <w:keepNext/>
        <w:numPr>
          <w:ilvl w:val="0"/>
          <w:numId w:val="8"/>
        </w:numPr>
        <w:spacing w:before="60" w:after="60" w:line="276" w:lineRule="auto"/>
        <w:contextualSpacing/>
        <w:jc w:val="both"/>
        <w:rPr>
          <w:rFonts w:eastAsia="Times New Roman" w:cs="Arial"/>
          <w:szCs w:val="24"/>
          <w:lang w:val="x-none" w:eastAsia="pl-PL"/>
        </w:rPr>
      </w:pPr>
      <w:r w:rsidRPr="00E02F30">
        <w:rPr>
          <w:rFonts w:eastAsia="Times New Roman" w:cs="Arial"/>
          <w:szCs w:val="24"/>
          <w:lang w:eastAsia="pl-PL"/>
        </w:rPr>
        <w:t xml:space="preserve">pkt 4 </w:t>
      </w:r>
      <w:proofErr w:type="spellStart"/>
      <w:r w:rsidRPr="00E02F30">
        <w:rPr>
          <w:rFonts w:eastAsia="Times New Roman" w:cs="Arial"/>
          <w:szCs w:val="24"/>
          <w:lang w:eastAsia="pl-PL"/>
        </w:rPr>
        <w:t>ppkt</w:t>
      </w:r>
      <w:proofErr w:type="spellEnd"/>
      <w:r w:rsidRPr="00E02F30">
        <w:rPr>
          <w:rFonts w:eastAsia="Times New Roman" w:cs="Arial"/>
          <w:szCs w:val="24"/>
          <w:lang w:eastAsia="pl-PL"/>
        </w:rPr>
        <w:t xml:space="preserve"> 1 załącznika do Rozporządzenie Ministra Środowiska z dnia 27 sierpnia 2014 r. w sprawie rodzajów instalacji mogących powodować znaczne zanieczyszczenie poszczególnych elementów przyrodniczych albo środowiska jako całości (Dz. U. poz. 1169)</w:t>
      </w:r>
    </w:p>
    <w:p w14:paraId="019F594E" w14:textId="77777777" w:rsidR="00E02F30" w:rsidRPr="00E02F30" w:rsidRDefault="00E02F30">
      <w:pPr>
        <w:keepNext/>
        <w:numPr>
          <w:ilvl w:val="0"/>
          <w:numId w:val="8"/>
        </w:numPr>
        <w:spacing w:before="60" w:after="60" w:line="276" w:lineRule="auto"/>
        <w:contextualSpacing/>
        <w:jc w:val="both"/>
        <w:rPr>
          <w:rFonts w:eastAsia="Times New Roman" w:cs="Arial"/>
          <w:szCs w:val="24"/>
          <w:lang w:val="x-none" w:eastAsia="pl-PL"/>
        </w:rPr>
      </w:pPr>
      <w:r w:rsidRPr="00E02F30">
        <w:rPr>
          <w:rFonts w:eastAsia="Times New Roman" w:cs="Arial"/>
          <w:szCs w:val="24"/>
          <w:lang w:eastAsia="pl-PL"/>
        </w:rPr>
        <w:t>§ 2 ust. 1 pkt 1 lit. a Rozporządzenia Rady Ministrów z dnia 10 września 2019 r. w sprawie przedsięwzięć mogących znacząco oddziaływać na środowisko (Dz. U. poz. 1839 ze zm.),</w:t>
      </w:r>
    </w:p>
    <w:p w14:paraId="5931ADB9" w14:textId="77777777" w:rsidR="00E02F30" w:rsidRPr="00E02F30" w:rsidRDefault="00E02F30">
      <w:pPr>
        <w:keepNext/>
        <w:numPr>
          <w:ilvl w:val="0"/>
          <w:numId w:val="8"/>
        </w:numPr>
        <w:spacing w:before="60" w:after="60" w:line="276" w:lineRule="auto"/>
        <w:contextualSpacing/>
        <w:jc w:val="both"/>
        <w:rPr>
          <w:rFonts w:eastAsia="Times New Roman" w:cs="Arial"/>
          <w:szCs w:val="24"/>
          <w:lang w:val="x-none" w:eastAsia="pl-PL"/>
        </w:rPr>
      </w:pPr>
      <w:r w:rsidRPr="00E02F30">
        <w:rPr>
          <w:rFonts w:eastAsia="Times New Roman" w:cs="Arial"/>
          <w:szCs w:val="24"/>
          <w:lang w:eastAsia="pl-PL"/>
        </w:rPr>
        <w:t>art. 304 ustawy z dnia 20 lipca 2017 r. Prawo wodne (</w:t>
      </w:r>
      <w:proofErr w:type="spellStart"/>
      <w:r w:rsidRPr="00E02F30">
        <w:rPr>
          <w:rFonts w:eastAsia="Times New Roman" w:cs="Arial"/>
          <w:szCs w:val="24"/>
          <w:lang w:eastAsia="pl-PL"/>
        </w:rPr>
        <w:t>t.j</w:t>
      </w:r>
      <w:proofErr w:type="spellEnd"/>
      <w:r w:rsidRPr="00E02F30">
        <w:rPr>
          <w:rFonts w:eastAsia="Times New Roman" w:cs="Arial"/>
          <w:szCs w:val="24"/>
          <w:lang w:eastAsia="pl-PL"/>
        </w:rPr>
        <w:t>. Dz. U. z 2023 r. poz. 1478 ze zm.),</w:t>
      </w:r>
    </w:p>
    <w:p w14:paraId="61E26860" w14:textId="77777777" w:rsidR="00E02F30" w:rsidRPr="00E02F30" w:rsidRDefault="00E02F30">
      <w:pPr>
        <w:keepNext/>
        <w:numPr>
          <w:ilvl w:val="0"/>
          <w:numId w:val="8"/>
        </w:numPr>
        <w:spacing w:before="60" w:after="60" w:line="276" w:lineRule="auto"/>
        <w:contextualSpacing/>
        <w:jc w:val="both"/>
        <w:rPr>
          <w:rFonts w:eastAsia="Times New Roman" w:cs="Arial"/>
          <w:szCs w:val="24"/>
          <w:lang w:val="x-none" w:eastAsia="pl-PL"/>
        </w:rPr>
      </w:pPr>
      <w:r w:rsidRPr="00E02F30">
        <w:rPr>
          <w:rFonts w:eastAsia="Times New Roman" w:cs="Arial"/>
          <w:szCs w:val="24"/>
          <w:lang w:eastAsia="pl-PL"/>
        </w:rPr>
        <w:t>R</w:t>
      </w:r>
      <w:proofErr w:type="spellStart"/>
      <w:r w:rsidRPr="00E02F30">
        <w:rPr>
          <w:rFonts w:eastAsia="Times New Roman" w:cs="Arial"/>
          <w:szCs w:val="24"/>
          <w:lang w:val="x-none" w:eastAsia="pl-PL"/>
        </w:rPr>
        <w:t>ozporządzen</w:t>
      </w:r>
      <w:r w:rsidRPr="00E02F30">
        <w:rPr>
          <w:rFonts w:eastAsia="Times New Roman" w:cs="Arial"/>
          <w:szCs w:val="24"/>
          <w:lang w:eastAsia="pl-PL"/>
        </w:rPr>
        <w:t>ia</w:t>
      </w:r>
      <w:proofErr w:type="spellEnd"/>
      <w:r w:rsidRPr="00E02F30">
        <w:rPr>
          <w:rFonts w:eastAsia="Times New Roman" w:cs="Arial"/>
          <w:szCs w:val="24"/>
          <w:lang w:val="x-none" w:eastAsia="pl-PL"/>
        </w:rPr>
        <w:t xml:space="preserve"> Ministra Klimatu i Środowiska z dnia 7 września 2021 r. w</w:t>
      </w:r>
      <w:r w:rsidRPr="00E02F30">
        <w:rPr>
          <w:rFonts w:eastAsia="Times New Roman" w:cs="Arial"/>
          <w:szCs w:val="24"/>
          <w:lang w:eastAsia="pl-PL"/>
        </w:rPr>
        <w:t> </w:t>
      </w:r>
      <w:r w:rsidRPr="00E02F30">
        <w:rPr>
          <w:rFonts w:eastAsia="Times New Roman" w:cs="Arial"/>
          <w:szCs w:val="24"/>
          <w:lang w:val="x-none" w:eastAsia="pl-PL"/>
        </w:rPr>
        <w:t>sprawie wymagań w zakresie prowadzenia pomiarów wielkości emisji (</w:t>
      </w:r>
      <w:proofErr w:type="spellStart"/>
      <w:r w:rsidRPr="00E02F30">
        <w:rPr>
          <w:rFonts w:eastAsia="Times New Roman" w:cs="Arial"/>
          <w:szCs w:val="24"/>
          <w:lang w:val="x-none" w:eastAsia="pl-PL"/>
        </w:rPr>
        <w:t>t.j</w:t>
      </w:r>
      <w:proofErr w:type="spellEnd"/>
      <w:r w:rsidRPr="00E02F30">
        <w:rPr>
          <w:rFonts w:eastAsia="Times New Roman" w:cs="Arial"/>
          <w:szCs w:val="24"/>
          <w:lang w:val="x-none" w:eastAsia="pl-PL"/>
        </w:rPr>
        <w:t>. Dz. U. z 2023 r. poz. 1706)</w:t>
      </w:r>
      <w:r w:rsidRPr="00E02F30">
        <w:rPr>
          <w:rFonts w:eastAsia="Times New Roman" w:cs="Arial"/>
          <w:szCs w:val="24"/>
          <w:lang w:eastAsia="pl-PL"/>
        </w:rPr>
        <w:t>,</w:t>
      </w:r>
    </w:p>
    <w:p w14:paraId="45CB0BD5" w14:textId="77777777" w:rsidR="00E02F30" w:rsidRPr="00E02F30" w:rsidRDefault="00E02F30">
      <w:pPr>
        <w:keepNext/>
        <w:numPr>
          <w:ilvl w:val="0"/>
          <w:numId w:val="8"/>
        </w:numPr>
        <w:spacing w:before="60" w:after="60" w:line="276" w:lineRule="auto"/>
        <w:contextualSpacing/>
        <w:jc w:val="both"/>
        <w:rPr>
          <w:rFonts w:eastAsia="Times New Roman" w:cs="Arial"/>
          <w:strike/>
          <w:szCs w:val="24"/>
          <w:lang w:val="x-none" w:eastAsia="pl-PL"/>
        </w:rPr>
      </w:pPr>
      <w:r w:rsidRPr="00E02F30">
        <w:rPr>
          <w:rFonts w:eastAsia="Times New Roman" w:cs="Arial"/>
          <w:szCs w:val="24"/>
          <w:lang w:eastAsia="pl-PL"/>
        </w:rPr>
        <w:t>Rozporządzenia Ministra Klimatu z dnia 2 stycznia 2020 r. w sprawie katalogu odpadów (Dz. U. poz. 10),</w:t>
      </w:r>
    </w:p>
    <w:p w14:paraId="1991C5DE" w14:textId="77777777" w:rsidR="00E02F30" w:rsidRPr="00E02F30" w:rsidRDefault="00E02F30">
      <w:pPr>
        <w:keepNext/>
        <w:numPr>
          <w:ilvl w:val="0"/>
          <w:numId w:val="8"/>
        </w:numPr>
        <w:spacing w:before="60" w:after="60" w:line="276" w:lineRule="auto"/>
        <w:contextualSpacing/>
        <w:jc w:val="both"/>
        <w:rPr>
          <w:rFonts w:eastAsia="Times New Roman" w:cs="Arial"/>
          <w:strike/>
          <w:szCs w:val="24"/>
          <w:lang w:val="x-none" w:eastAsia="pl-PL"/>
        </w:rPr>
      </w:pPr>
      <w:r w:rsidRPr="00E02F30">
        <w:rPr>
          <w:rFonts w:eastAsia="Times New Roman" w:cs="Arial"/>
          <w:szCs w:val="24"/>
          <w:lang w:eastAsia="pl-PL"/>
        </w:rPr>
        <w:t>Rozporządzenia Ministra Gospodarki Morskiej i Żeglugi Śródlądowej z dnia 20 stycznia 2020 r. w sprawie formy i układu przekazywanych wyników pomiarów ilości pobranych wód podziemnych i wód powierzchniowych oraz ilości i jakości ścieków wprowadzanych do wód lub do ziemi (Dz. U. poz. 144).</w:t>
      </w:r>
    </w:p>
    <w:p w14:paraId="0860A72D" w14:textId="77777777" w:rsidR="00E02F30" w:rsidRPr="00E02F30" w:rsidRDefault="00E02F30">
      <w:pPr>
        <w:numPr>
          <w:ilvl w:val="0"/>
          <w:numId w:val="8"/>
        </w:numPr>
        <w:spacing w:after="0" w:line="276" w:lineRule="auto"/>
        <w:jc w:val="both"/>
        <w:rPr>
          <w:rFonts w:eastAsia="Times New Roman" w:cs="Arial"/>
          <w:szCs w:val="24"/>
          <w:lang w:eastAsia="pl-PL"/>
        </w:rPr>
      </w:pPr>
      <w:r w:rsidRPr="00E02F30">
        <w:rPr>
          <w:rFonts w:eastAsia="Times New Roman" w:cs="Arial"/>
          <w:szCs w:val="24"/>
          <w:lang w:eastAsia="pl-PL"/>
        </w:rPr>
        <w:t>Rozporządzenia Ministra Klimatu i Środowiska z dnia 7 września 2021 r. w sprawie wymagań w zakresie prowadzenia pomiarów wielkości emisji (</w:t>
      </w:r>
      <w:proofErr w:type="spellStart"/>
      <w:r w:rsidRPr="00E02F30">
        <w:rPr>
          <w:rFonts w:eastAsia="Times New Roman" w:cs="Arial"/>
          <w:szCs w:val="24"/>
          <w:lang w:eastAsia="pl-PL"/>
        </w:rPr>
        <w:t>t.j</w:t>
      </w:r>
      <w:proofErr w:type="spellEnd"/>
      <w:r w:rsidRPr="00E02F30">
        <w:rPr>
          <w:rFonts w:eastAsia="Times New Roman" w:cs="Arial"/>
          <w:szCs w:val="24"/>
          <w:lang w:eastAsia="pl-PL"/>
        </w:rPr>
        <w:t>. Dz. U. z 2023 r. poz. 1706),</w:t>
      </w:r>
    </w:p>
    <w:p w14:paraId="7EFA0E6F" w14:textId="77777777" w:rsidR="00E02F30" w:rsidRPr="00E02F30" w:rsidRDefault="00E02F30">
      <w:pPr>
        <w:numPr>
          <w:ilvl w:val="0"/>
          <w:numId w:val="8"/>
        </w:numPr>
        <w:spacing w:after="0" w:line="276" w:lineRule="auto"/>
        <w:jc w:val="both"/>
        <w:rPr>
          <w:rFonts w:eastAsia="Times New Roman" w:cs="Arial"/>
          <w:szCs w:val="24"/>
          <w:lang w:eastAsia="pl-PL"/>
        </w:rPr>
      </w:pPr>
      <w:r w:rsidRPr="00E02F30">
        <w:rPr>
          <w:rFonts w:eastAsia="Times New Roman" w:cs="Arial"/>
          <w:szCs w:val="24"/>
          <w:lang w:eastAsia="pl-PL"/>
        </w:rPr>
        <w:t>§ 2 rozporządzenia Ministra Środowiska z dnia 24 sierpnia 2012 r. w sprawie poziomów niektórych substancji w powietrzu (tj. Dz. U. z 2021 r. poz. 845),</w:t>
      </w:r>
    </w:p>
    <w:p w14:paraId="5A08B527" w14:textId="2F1D0FE0" w:rsidR="00E02F30" w:rsidRPr="00E02F30" w:rsidRDefault="00E02F30">
      <w:pPr>
        <w:numPr>
          <w:ilvl w:val="0"/>
          <w:numId w:val="8"/>
        </w:numPr>
        <w:spacing w:after="0" w:line="276" w:lineRule="auto"/>
        <w:jc w:val="both"/>
        <w:rPr>
          <w:rFonts w:eastAsia="Times New Roman" w:cs="Arial"/>
          <w:szCs w:val="24"/>
          <w:lang w:eastAsia="pl-PL"/>
        </w:rPr>
      </w:pPr>
      <w:r w:rsidRPr="00E02F30">
        <w:rPr>
          <w:rFonts w:eastAsia="Times New Roman" w:cs="Arial"/>
          <w:szCs w:val="24"/>
          <w:lang w:val="x-none" w:eastAsia="pl-PL"/>
        </w:rPr>
        <w:t>§ 2 ust. 1</w:t>
      </w:r>
      <w:r w:rsidRPr="00E02F30">
        <w:rPr>
          <w:rFonts w:eastAsia="Times New Roman" w:cs="Arial"/>
          <w:szCs w:val="24"/>
          <w:lang w:eastAsia="pl-PL"/>
        </w:rPr>
        <w:t xml:space="preserve"> </w:t>
      </w:r>
      <w:r w:rsidRPr="00E02F30">
        <w:rPr>
          <w:rFonts w:eastAsia="Times New Roman" w:cs="Arial"/>
          <w:szCs w:val="24"/>
          <w:lang w:val="x-none" w:eastAsia="pl-PL"/>
        </w:rPr>
        <w:t>rozporządzenia Ministra Środowiska z dnia 26 stycznia 2010 r.</w:t>
      </w:r>
      <w:r>
        <w:rPr>
          <w:rFonts w:eastAsia="Times New Roman" w:cs="Arial"/>
          <w:szCs w:val="24"/>
          <w:lang w:val="x-none" w:eastAsia="pl-PL"/>
        </w:rPr>
        <w:t xml:space="preserve"> </w:t>
      </w:r>
      <w:r w:rsidRPr="00E02F30">
        <w:rPr>
          <w:rFonts w:eastAsia="Times New Roman" w:cs="Arial"/>
          <w:szCs w:val="24"/>
          <w:lang w:val="x-none" w:eastAsia="pl-PL"/>
        </w:rPr>
        <w:t>w</w:t>
      </w:r>
      <w:r>
        <w:rPr>
          <w:rFonts w:eastAsia="Times New Roman" w:cs="Arial"/>
          <w:szCs w:val="24"/>
          <w:lang w:val="x-none" w:eastAsia="pl-PL"/>
        </w:rPr>
        <w:t> </w:t>
      </w:r>
      <w:r w:rsidRPr="00E02F30">
        <w:rPr>
          <w:rFonts w:eastAsia="Times New Roman" w:cs="Arial"/>
          <w:szCs w:val="24"/>
          <w:lang w:val="x-none" w:eastAsia="pl-PL"/>
        </w:rPr>
        <w:t>sprawie wartości odniesienia dla niektórych substancji w powietrzu (Dz. U. Nr 16 poz. 87),</w:t>
      </w:r>
    </w:p>
    <w:p w14:paraId="1B1A8AB0" w14:textId="77777777" w:rsidR="00E02F30" w:rsidRPr="00E02F30" w:rsidRDefault="00E02F30">
      <w:pPr>
        <w:keepNext/>
        <w:numPr>
          <w:ilvl w:val="0"/>
          <w:numId w:val="8"/>
        </w:numPr>
        <w:spacing w:before="60" w:after="60" w:line="276" w:lineRule="auto"/>
        <w:contextualSpacing/>
        <w:jc w:val="both"/>
        <w:rPr>
          <w:rFonts w:eastAsia="Times New Roman" w:cs="Arial"/>
          <w:szCs w:val="24"/>
          <w:lang w:val="x-none" w:eastAsia="pl-PL"/>
        </w:rPr>
      </w:pPr>
      <w:r w:rsidRPr="00E02F30">
        <w:rPr>
          <w:rFonts w:eastAsia="Times New Roman" w:cs="Arial"/>
          <w:szCs w:val="24"/>
          <w:lang w:eastAsia="pl-PL"/>
        </w:rPr>
        <w:lastRenderedPageBreak/>
        <w:t>R</w:t>
      </w:r>
      <w:proofErr w:type="spellStart"/>
      <w:r w:rsidRPr="00E02F30">
        <w:rPr>
          <w:rFonts w:eastAsia="Times New Roman" w:cs="Arial"/>
          <w:szCs w:val="24"/>
          <w:lang w:val="x-none" w:eastAsia="pl-PL"/>
        </w:rPr>
        <w:t>ozporządzen</w:t>
      </w:r>
      <w:r w:rsidRPr="00E02F30">
        <w:rPr>
          <w:rFonts w:eastAsia="Times New Roman" w:cs="Arial"/>
          <w:szCs w:val="24"/>
          <w:lang w:eastAsia="pl-PL"/>
        </w:rPr>
        <w:t>ia</w:t>
      </w:r>
      <w:proofErr w:type="spellEnd"/>
      <w:r w:rsidRPr="00E02F30">
        <w:rPr>
          <w:rFonts w:eastAsia="Times New Roman" w:cs="Arial"/>
          <w:szCs w:val="24"/>
          <w:lang w:eastAsia="pl-PL"/>
        </w:rPr>
        <w:t xml:space="preserve"> </w:t>
      </w:r>
      <w:r w:rsidRPr="00E02F30">
        <w:rPr>
          <w:rFonts w:eastAsia="Times New Roman" w:cs="Arial"/>
          <w:szCs w:val="24"/>
          <w:lang w:val="x-none" w:eastAsia="pl-PL"/>
        </w:rPr>
        <w:t xml:space="preserve">Ministra Środowiska z dnia 14 czerwca 2007 r. w sprawie dopuszczalnych poziomów hałasu w środowisku (Dz. U. z 2014 r. poz. 112), </w:t>
      </w:r>
    </w:p>
    <w:p w14:paraId="1BEA08E5" w14:textId="682A6246" w:rsidR="00E02F30" w:rsidRPr="00E02F30" w:rsidRDefault="00E02F30">
      <w:pPr>
        <w:keepNext/>
        <w:numPr>
          <w:ilvl w:val="0"/>
          <w:numId w:val="8"/>
        </w:numPr>
        <w:spacing w:before="60" w:after="60" w:line="276" w:lineRule="auto"/>
        <w:contextualSpacing/>
        <w:jc w:val="both"/>
        <w:rPr>
          <w:rFonts w:eastAsia="Times New Roman" w:cs="Arial"/>
          <w:szCs w:val="24"/>
          <w:lang w:val="x-none" w:eastAsia="pl-PL"/>
        </w:rPr>
      </w:pPr>
      <w:r w:rsidRPr="00E02F30">
        <w:rPr>
          <w:rFonts w:eastAsia="Times New Roman" w:cs="Arial"/>
          <w:szCs w:val="24"/>
          <w:lang w:val="x-none" w:eastAsia="pl-PL"/>
        </w:rPr>
        <w:t>§ 2, § 5, § 6</w:t>
      </w:r>
      <w:r w:rsidRPr="00E02F30">
        <w:rPr>
          <w:rFonts w:eastAsia="Times New Roman" w:cs="Arial"/>
          <w:szCs w:val="24"/>
          <w:lang w:eastAsia="pl-PL"/>
        </w:rPr>
        <w:t>,</w:t>
      </w:r>
      <w:r w:rsidRPr="00E02F30">
        <w:rPr>
          <w:rFonts w:eastAsia="Times New Roman" w:cs="Arial"/>
          <w:szCs w:val="24"/>
          <w:lang w:val="x-none" w:eastAsia="pl-PL"/>
        </w:rPr>
        <w:t xml:space="preserve"> § 7</w:t>
      </w:r>
      <w:r w:rsidRPr="00E02F30">
        <w:rPr>
          <w:rFonts w:eastAsia="Times New Roman" w:cs="Arial"/>
          <w:szCs w:val="24"/>
          <w:lang w:eastAsia="pl-PL"/>
        </w:rPr>
        <w:t xml:space="preserve">, </w:t>
      </w:r>
      <w:r w:rsidRPr="00E02F30">
        <w:rPr>
          <w:rFonts w:eastAsia="Times New Roman" w:cs="Arial"/>
          <w:szCs w:val="24"/>
          <w:lang w:val="x-none" w:eastAsia="pl-PL"/>
        </w:rPr>
        <w:t xml:space="preserve">§ </w:t>
      </w:r>
      <w:r w:rsidRPr="00E02F30">
        <w:rPr>
          <w:rFonts w:eastAsia="Times New Roman" w:cs="Arial"/>
          <w:szCs w:val="24"/>
          <w:lang w:eastAsia="pl-PL"/>
        </w:rPr>
        <w:t>8</w:t>
      </w:r>
      <w:r w:rsidRPr="00E02F30">
        <w:rPr>
          <w:rFonts w:eastAsia="Times New Roman" w:cs="Arial"/>
          <w:szCs w:val="24"/>
          <w:lang w:val="x-none" w:eastAsia="pl-PL"/>
        </w:rPr>
        <w:t xml:space="preserve"> </w:t>
      </w:r>
      <w:r w:rsidRPr="00E02F30">
        <w:rPr>
          <w:rFonts w:eastAsia="Times New Roman" w:cs="Arial"/>
          <w:szCs w:val="24"/>
          <w:lang w:eastAsia="pl-PL"/>
        </w:rPr>
        <w:t>Rozporządzenie Ministra Klimatu i Środowiska z dnia</w:t>
      </w:r>
      <w:r>
        <w:rPr>
          <w:rFonts w:eastAsia="Times New Roman" w:cs="Arial"/>
          <w:szCs w:val="24"/>
          <w:lang w:eastAsia="pl-PL"/>
        </w:rPr>
        <w:t xml:space="preserve"> </w:t>
      </w:r>
      <w:r w:rsidRPr="00E02F30">
        <w:rPr>
          <w:rFonts w:eastAsia="Times New Roman" w:cs="Arial"/>
          <w:szCs w:val="24"/>
          <w:lang w:eastAsia="pl-PL"/>
        </w:rPr>
        <w:t>15 grudnia 2020 r. w sprawie rodzajów wyników pomiarów prowadzonych w związku z eksploatacją instalacji lub urządzenia i innych danych zbieranych w wyniku monitorowania procesów technologicznych oraz terminów i sposobów prezentacji (Dz. U. poz. 2405),</w:t>
      </w:r>
    </w:p>
    <w:p w14:paraId="7C640AB6" w14:textId="77777777" w:rsidR="00E02F30" w:rsidRPr="00E02F30" w:rsidRDefault="00E02F30" w:rsidP="00E02F30">
      <w:pPr>
        <w:keepNext/>
        <w:tabs>
          <w:tab w:val="left" w:pos="360"/>
        </w:tabs>
        <w:spacing w:before="360" w:after="120" w:line="276" w:lineRule="auto"/>
        <w:jc w:val="both"/>
        <w:rPr>
          <w:rFonts w:eastAsia="Calibri" w:cs="Arial"/>
          <w:b/>
          <w:bCs/>
          <w:strike/>
          <w:szCs w:val="24"/>
        </w:rPr>
      </w:pPr>
      <w:r w:rsidRPr="00E02F30">
        <w:rPr>
          <w:rFonts w:eastAsia="Times New Roman" w:cs="Arial"/>
          <w:szCs w:val="24"/>
          <w:lang w:eastAsia="pl-PL"/>
        </w:rPr>
        <w:t xml:space="preserve">po rozpatrzeniu </w:t>
      </w:r>
      <w:bookmarkStart w:id="0" w:name="_Hlk156482023"/>
      <w:r w:rsidRPr="00E02F30">
        <w:rPr>
          <w:rFonts w:eastAsia="Times New Roman" w:cs="Arial"/>
          <w:szCs w:val="24"/>
          <w:lang w:eastAsia="pl-PL"/>
        </w:rPr>
        <w:t xml:space="preserve">wniosku Spółki: </w:t>
      </w:r>
      <w:r w:rsidRPr="00E02F30">
        <w:rPr>
          <w:rFonts w:eastAsia="Times New Roman" w:cs="Arial"/>
          <w:b/>
          <w:bCs/>
          <w:szCs w:val="24"/>
          <w:lang w:eastAsia="pl-PL"/>
        </w:rPr>
        <w:t xml:space="preserve">Sarzyna </w:t>
      </w:r>
      <w:proofErr w:type="spellStart"/>
      <w:r w:rsidRPr="00E02F30">
        <w:rPr>
          <w:rFonts w:eastAsia="Times New Roman" w:cs="Arial"/>
          <w:b/>
          <w:bCs/>
          <w:szCs w:val="24"/>
          <w:lang w:eastAsia="pl-PL"/>
        </w:rPr>
        <w:t>Chemical</w:t>
      </w:r>
      <w:proofErr w:type="spellEnd"/>
      <w:r w:rsidRPr="00E02F30">
        <w:rPr>
          <w:rFonts w:eastAsia="Times New Roman" w:cs="Arial"/>
          <w:b/>
          <w:bCs/>
          <w:szCs w:val="24"/>
          <w:lang w:eastAsia="pl-PL"/>
        </w:rPr>
        <w:t xml:space="preserve"> Sp. z o.o. </w:t>
      </w:r>
      <w:r w:rsidRPr="00E02F30">
        <w:rPr>
          <w:rFonts w:eastAsia="Calibri" w:cs="Arial"/>
          <w:b/>
          <w:bCs/>
          <w:szCs w:val="24"/>
          <w:lang w:eastAsia="pl-PL"/>
        </w:rPr>
        <w:t>ul</w:t>
      </w:r>
      <w:r w:rsidRPr="00E02F30">
        <w:rPr>
          <w:rFonts w:eastAsia="Calibri" w:cs="Arial"/>
          <w:b/>
          <w:szCs w:val="24"/>
          <w:lang w:eastAsia="pl-PL"/>
        </w:rPr>
        <w:t>. Chemików 1, 37- 310 Nowa Sarzyna NIP 7010625863, REGON 365703807</w:t>
      </w:r>
      <w:r w:rsidRPr="00E02F30">
        <w:rPr>
          <w:rFonts w:eastAsia="Times New Roman" w:cs="Arial"/>
          <w:szCs w:val="24"/>
          <w:lang w:eastAsia="pl-PL"/>
        </w:rPr>
        <w:t xml:space="preserve"> </w:t>
      </w:r>
      <w:r w:rsidRPr="00E02F30">
        <w:rPr>
          <w:rFonts w:eastAsia="Times New Roman" w:cs="Arial"/>
          <w:szCs w:val="24"/>
          <w:lang w:eastAsia="pl-PL" w:bidi="pl-PL"/>
        </w:rPr>
        <w:t xml:space="preserve">z dnia </w:t>
      </w:r>
      <w:r w:rsidRPr="00E02F30">
        <w:rPr>
          <w:rFonts w:eastAsia="Times New Roman" w:cs="Arial"/>
          <w:szCs w:val="24"/>
          <w:lang w:eastAsia="pl-PL"/>
        </w:rPr>
        <w:t xml:space="preserve">24 października 2023 r., </w:t>
      </w:r>
      <w:r w:rsidRPr="00E02F30">
        <w:rPr>
          <w:rFonts w:eastAsia="Calibri" w:cs="Arial"/>
          <w:szCs w:val="24"/>
          <w:lang w:eastAsia="pl-PL"/>
        </w:rPr>
        <w:t xml:space="preserve">o wydanie </w:t>
      </w:r>
      <w:r w:rsidRPr="00E02F30">
        <w:rPr>
          <w:rFonts w:eastAsia="Times New Roman" w:cs="Arial"/>
          <w:szCs w:val="24"/>
          <w:shd w:val="clear" w:color="auto" w:fill="FFFFFF"/>
          <w:lang w:eastAsia="pl-PL"/>
        </w:rPr>
        <w:t xml:space="preserve">nowego pozwolenia zintegrowanego na prowadzenie dwóch instalacji w przemyśle chemicznym do wytwarzania </w:t>
      </w:r>
      <w:bookmarkStart w:id="1" w:name="_Hlk156479705"/>
      <w:r w:rsidRPr="00E02F30">
        <w:rPr>
          <w:rFonts w:eastAsia="Times New Roman" w:cs="Arial"/>
          <w:szCs w:val="24"/>
          <w:shd w:val="clear" w:color="auto" w:fill="FFFFFF"/>
          <w:lang w:eastAsia="pl-PL"/>
        </w:rPr>
        <w:t xml:space="preserve">przy zastosowaniu procesów chemicznych organicznych substancji chemicznych tj.: </w:t>
      </w:r>
      <w:bookmarkEnd w:id="1"/>
      <w:r w:rsidRPr="00E02F30">
        <w:rPr>
          <w:rFonts w:eastAsia="Times New Roman" w:cs="Arial"/>
          <w:szCs w:val="24"/>
          <w:shd w:val="clear" w:color="auto" w:fill="FFFFFF"/>
          <w:lang w:eastAsia="pl-PL"/>
        </w:rPr>
        <w:t>Instalacji Nienasyconych Żywic Poliestrowych (Z)</w:t>
      </w:r>
    </w:p>
    <w:bookmarkEnd w:id="0"/>
    <w:p w14:paraId="24FBD9EF" w14:textId="77777777" w:rsidR="00E02F30" w:rsidRPr="00E02F30" w:rsidRDefault="00E02F30" w:rsidP="00E02F30">
      <w:pPr>
        <w:suppressAutoHyphens/>
        <w:autoSpaceDE w:val="0"/>
        <w:autoSpaceDN w:val="0"/>
        <w:adjustRightInd w:val="0"/>
        <w:spacing w:before="360" w:after="480" w:line="276" w:lineRule="auto"/>
        <w:contextualSpacing/>
        <w:jc w:val="center"/>
        <w:rPr>
          <w:rFonts w:eastAsia="Calibri" w:cs="Arial"/>
          <w:b/>
          <w:bCs/>
          <w:spacing w:val="20"/>
          <w:szCs w:val="24"/>
        </w:rPr>
      </w:pPr>
      <w:r w:rsidRPr="00E02F30">
        <w:rPr>
          <w:rFonts w:eastAsia="Calibri" w:cs="Arial"/>
          <w:b/>
          <w:bCs/>
          <w:spacing w:val="20"/>
          <w:szCs w:val="24"/>
        </w:rPr>
        <w:t>orzekam</w:t>
      </w:r>
    </w:p>
    <w:p w14:paraId="6CE47C5D" w14:textId="77777777" w:rsidR="00E02F30" w:rsidRPr="00E02F30" w:rsidRDefault="00E02F30" w:rsidP="00E02F30">
      <w:pPr>
        <w:keepNext/>
        <w:autoSpaceDE w:val="0"/>
        <w:autoSpaceDN w:val="0"/>
        <w:adjustRightInd w:val="0"/>
        <w:spacing w:before="120" w:after="120" w:line="276" w:lineRule="auto"/>
        <w:contextualSpacing/>
        <w:jc w:val="both"/>
        <w:rPr>
          <w:rFonts w:eastAsia="Times New Roman" w:cs="Arial"/>
          <w:szCs w:val="24"/>
          <w:lang w:eastAsia="pl-PL"/>
        </w:rPr>
      </w:pPr>
      <w:r w:rsidRPr="00E02F30">
        <w:rPr>
          <w:rFonts w:eastAsia="Calibri" w:cs="Arial"/>
          <w:szCs w:val="24"/>
        </w:rPr>
        <w:t xml:space="preserve">udzielam Spółce: </w:t>
      </w:r>
      <w:r w:rsidRPr="00E02F30">
        <w:rPr>
          <w:rFonts w:eastAsia="Times New Roman" w:cs="Arial"/>
          <w:b/>
          <w:bCs/>
          <w:szCs w:val="24"/>
          <w:lang w:eastAsia="pl-PL"/>
        </w:rPr>
        <w:t xml:space="preserve">Sarzyna </w:t>
      </w:r>
      <w:proofErr w:type="spellStart"/>
      <w:r w:rsidRPr="00E02F30">
        <w:rPr>
          <w:rFonts w:eastAsia="Times New Roman" w:cs="Arial"/>
          <w:b/>
          <w:bCs/>
          <w:szCs w:val="24"/>
          <w:lang w:eastAsia="pl-PL"/>
        </w:rPr>
        <w:t>Chemical</w:t>
      </w:r>
      <w:proofErr w:type="spellEnd"/>
      <w:r w:rsidRPr="00E02F30">
        <w:rPr>
          <w:rFonts w:eastAsia="Times New Roman" w:cs="Arial"/>
          <w:b/>
          <w:bCs/>
          <w:szCs w:val="24"/>
          <w:lang w:eastAsia="pl-PL"/>
        </w:rPr>
        <w:t xml:space="preserve"> Sp. z o.o. </w:t>
      </w:r>
      <w:r w:rsidRPr="00E02F30">
        <w:rPr>
          <w:rFonts w:eastAsia="Calibri" w:cs="Arial"/>
          <w:b/>
          <w:bCs/>
          <w:szCs w:val="24"/>
          <w:lang w:eastAsia="pl-PL"/>
        </w:rPr>
        <w:t>ul</w:t>
      </w:r>
      <w:r w:rsidRPr="00E02F30">
        <w:rPr>
          <w:rFonts w:eastAsia="Calibri" w:cs="Arial"/>
          <w:b/>
          <w:szCs w:val="24"/>
          <w:lang w:eastAsia="pl-PL"/>
        </w:rPr>
        <w:t>. Chemików 1, 37-310 Nowa Sarzyna NIP 7010625863, REGON 365703807</w:t>
      </w:r>
      <w:r w:rsidRPr="00E02F30">
        <w:rPr>
          <w:rFonts w:eastAsia="Calibri" w:cs="Arial"/>
          <w:szCs w:val="24"/>
        </w:rPr>
        <w:t xml:space="preserve"> pozwolenia zintegrowanego na prowadzenie instalacji </w:t>
      </w:r>
      <w:r w:rsidRPr="00E02F30">
        <w:rPr>
          <w:rFonts w:eastAsia="Times New Roman" w:cs="Arial"/>
          <w:szCs w:val="24"/>
          <w:lang w:eastAsia="pl-PL"/>
        </w:rPr>
        <w:t>do wytwarzania</w:t>
      </w:r>
      <w:r w:rsidRPr="00E02F30">
        <w:rPr>
          <w:rFonts w:eastAsia="Times New Roman" w:cs="Arial"/>
          <w:szCs w:val="24"/>
          <w:shd w:val="clear" w:color="auto" w:fill="FFFFFF"/>
          <w:lang w:eastAsia="pl-PL"/>
        </w:rPr>
        <w:t xml:space="preserve"> przy zastosowaniu procesów chemicznych organicznych substancji chemicznych tj.: </w:t>
      </w:r>
      <w:bookmarkStart w:id="2" w:name="_Hlk159922046"/>
      <w:r w:rsidRPr="00E02F30">
        <w:rPr>
          <w:rFonts w:eastAsia="Times New Roman" w:cs="Arial"/>
          <w:szCs w:val="24"/>
          <w:shd w:val="clear" w:color="auto" w:fill="FFFFFF"/>
          <w:lang w:eastAsia="pl-PL"/>
        </w:rPr>
        <w:t xml:space="preserve">Instalacji Nienasyconych Żywic Poliestrowych (Z) </w:t>
      </w:r>
      <w:bookmarkEnd w:id="2"/>
      <w:r w:rsidRPr="00E02F30">
        <w:rPr>
          <w:rFonts w:eastAsia="Times New Roman" w:cs="Arial"/>
          <w:szCs w:val="24"/>
          <w:lang w:eastAsia="pl-PL"/>
        </w:rPr>
        <w:t xml:space="preserve">i określam: </w:t>
      </w:r>
    </w:p>
    <w:p w14:paraId="1483F41F" w14:textId="77777777" w:rsidR="00E02F30" w:rsidRPr="00E02F30" w:rsidRDefault="00E02F30">
      <w:pPr>
        <w:keepNext/>
        <w:widowControl w:val="0"/>
        <w:numPr>
          <w:ilvl w:val="0"/>
          <w:numId w:val="45"/>
        </w:numPr>
        <w:adjustRightInd w:val="0"/>
        <w:spacing w:after="0" w:line="276" w:lineRule="auto"/>
        <w:ind w:left="426" w:hanging="426"/>
        <w:jc w:val="both"/>
        <w:textAlignment w:val="baseline"/>
        <w:outlineLvl w:val="1"/>
        <w:rPr>
          <w:rFonts w:eastAsia="Calibri" w:cs="Arial"/>
          <w:b/>
          <w:szCs w:val="24"/>
          <w:lang w:val="en-US"/>
        </w:rPr>
      </w:pPr>
      <w:proofErr w:type="spellStart"/>
      <w:r w:rsidRPr="00E02F30">
        <w:rPr>
          <w:rFonts w:eastAsia="Calibri" w:cs="Arial"/>
          <w:b/>
          <w:szCs w:val="24"/>
          <w:lang w:val="en-US"/>
        </w:rPr>
        <w:t>Rodzaj</w:t>
      </w:r>
      <w:proofErr w:type="spellEnd"/>
      <w:r w:rsidRPr="00E02F30">
        <w:rPr>
          <w:rFonts w:eastAsia="Calibri" w:cs="Arial"/>
          <w:b/>
          <w:szCs w:val="24"/>
          <w:lang w:val="en-US"/>
        </w:rPr>
        <w:t xml:space="preserve"> i </w:t>
      </w:r>
      <w:proofErr w:type="spellStart"/>
      <w:r w:rsidRPr="00E02F30">
        <w:rPr>
          <w:rFonts w:eastAsia="Calibri" w:cs="Arial"/>
          <w:b/>
          <w:szCs w:val="24"/>
          <w:lang w:val="en-US"/>
        </w:rPr>
        <w:t>parametry</w:t>
      </w:r>
      <w:proofErr w:type="spellEnd"/>
      <w:r w:rsidRPr="00E02F30">
        <w:rPr>
          <w:rFonts w:eastAsia="Calibri" w:cs="Arial"/>
          <w:b/>
          <w:szCs w:val="24"/>
          <w:lang w:val="en-US"/>
        </w:rPr>
        <w:t xml:space="preserve"> </w:t>
      </w:r>
      <w:proofErr w:type="spellStart"/>
      <w:r w:rsidRPr="00E02F30">
        <w:rPr>
          <w:rFonts w:eastAsia="Calibri" w:cs="Arial"/>
          <w:b/>
          <w:szCs w:val="24"/>
          <w:lang w:val="en-US"/>
        </w:rPr>
        <w:t>instalacji</w:t>
      </w:r>
      <w:proofErr w:type="spellEnd"/>
      <w:r w:rsidRPr="00E02F30">
        <w:rPr>
          <w:rFonts w:eastAsia="Calibri" w:cs="Arial"/>
          <w:b/>
          <w:szCs w:val="24"/>
          <w:lang w:val="en-US"/>
        </w:rPr>
        <w:t xml:space="preserve"> </w:t>
      </w:r>
      <w:proofErr w:type="spellStart"/>
      <w:r w:rsidRPr="00E02F30">
        <w:rPr>
          <w:rFonts w:eastAsia="Calibri" w:cs="Arial"/>
          <w:b/>
          <w:szCs w:val="24"/>
          <w:lang w:val="en-US"/>
        </w:rPr>
        <w:t>oraz</w:t>
      </w:r>
      <w:proofErr w:type="spellEnd"/>
      <w:r w:rsidRPr="00E02F30">
        <w:rPr>
          <w:rFonts w:eastAsia="Calibri" w:cs="Arial"/>
          <w:b/>
          <w:szCs w:val="24"/>
          <w:lang w:val="en-US"/>
        </w:rPr>
        <w:t xml:space="preserve"> </w:t>
      </w:r>
      <w:proofErr w:type="spellStart"/>
      <w:r w:rsidRPr="00E02F30">
        <w:rPr>
          <w:rFonts w:eastAsia="Calibri" w:cs="Arial"/>
          <w:b/>
          <w:szCs w:val="24"/>
          <w:lang w:val="en-US"/>
        </w:rPr>
        <w:t>rodzaj</w:t>
      </w:r>
      <w:proofErr w:type="spellEnd"/>
      <w:r w:rsidRPr="00E02F30">
        <w:rPr>
          <w:rFonts w:eastAsia="Calibri" w:cs="Arial"/>
          <w:b/>
          <w:szCs w:val="24"/>
          <w:lang w:val="en-US"/>
        </w:rPr>
        <w:t xml:space="preserve"> </w:t>
      </w:r>
      <w:proofErr w:type="spellStart"/>
      <w:r w:rsidRPr="00E02F30">
        <w:rPr>
          <w:rFonts w:eastAsia="Calibri" w:cs="Arial"/>
          <w:b/>
          <w:szCs w:val="24"/>
          <w:lang w:val="en-US"/>
        </w:rPr>
        <w:t>prowadzonej</w:t>
      </w:r>
      <w:proofErr w:type="spellEnd"/>
      <w:r w:rsidRPr="00E02F30">
        <w:rPr>
          <w:rFonts w:eastAsia="Calibri" w:cs="Arial"/>
          <w:b/>
          <w:szCs w:val="24"/>
          <w:lang w:val="en-US"/>
        </w:rPr>
        <w:t xml:space="preserve"> </w:t>
      </w:r>
      <w:proofErr w:type="spellStart"/>
      <w:r w:rsidRPr="00E02F30">
        <w:rPr>
          <w:rFonts w:eastAsia="Calibri" w:cs="Arial"/>
          <w:b/>
          <w:szCs w:val="24"/>
          <w:lang w:val="en-US"/>
        </w:rPr>
        <w:t>działalności</w:t>
      </w:r>
      <w:proofErr w:type="spellEnd"/>
      <w:r w:rsidRPr="00E02F30">
        <w:rPr>
          <w:rFonts w:eastAsia="Calibri" w:cs="Arial"/>
          <w:b/>
          <w:szCs w:val="24"/>
          <w:lang w:val="en-US"/>
        </w:rPr>
        <w:t xml:space="preserve">: </w:t>
      </w:r>
    </w:p>
    <w:p w14:paraId="25391850" w14:textId="77777777" w:rsidR="00E02F30" w:rsidRPr="00E02F30" w:rsidRDefault="00E02F30" w:rsidP="00E02F30">
      <w:pPr>
        <w:keepNext/>
        <w:widowControl w:val="0"/>
        <w:adjustRightInd w:val="0"/>
        <w:spacing w:before="120" w:after="0" w:line="276" w:lineRule="auto"/>
        <w:jc w:val="both"/>
        <w:textAlignment w:val="baseline"/>
        <w:outlineLvl w:val="2"/>
        <w:rPr>
          <w:rFonts w:eastAsia="Times New Roman" w:cs="Arial"/>
          <w:b/>
          <w:szCs w:val="24"/>
          <w:lang w:eastAsia="pl-PL"/>
        </w:rPr>
      </w:pPr>
      <w:bookmarkStart w:id="3" w:name="_Toc486534295"/>
      <w:r w:rsidRPr="00E02F30">
        <w:rPr>
          <w:rFonts w:eastAsia="Times New Roman" w:cs="Arial"/>
          <w:b/>
          <w:szCs w:val="24"/>
          <w:lang w:eastAsia="pl-PL"/>
        </w:rPr>
        <w:t xml:space="preserve">I.1. </w:t>
      </w:r>
      <w:bookmarkStart w:id="4" w:name="_Hlk159576649"/>
      <w:r w:rsidRPr="00E02F30">
        <w:rPr>
          <w:rFonts w:eastAsia="Times New Roman" w:cs="Arial"/>
          <w:b/>
          <w:szCs w:val="24"/>
          <w:lang w:eastAsia="pl-PL"/>
        </w:rPr>
        <w:t>Instalacja Nienasyconych Żywic Poliestrowych (Z)</w:t>
      </w:r>
      <w:bookmarkEnd w:id="4"/>
    </w:p>
    <w:p w14:paraId="1A6680BE" w14:textId="77777777" w:rsidR="00E02F30" w:rsidRPr="00E02F30" w:rsidRDefault="00E02F30" w:rsidP="00E02F30">
      <w:pPr>
        <w:keepNext/>
        <w:widowControl w:val="0"/>
        <w:adjustRightInd w:val="0"/>
        <w:spacing w:after="0" w:line="276" w:lineRule="auto"/>
        <w:jc w:val="both"/>
        <w:textAlignment w:val="baseline"/>
        <w:outlineLvl w:val="3"/>
        <w:rPr>
          <w:rFonts w:eastAsia="Times New Roman" w:cs="Arial"/>
          <w:b/>
          <w:szCs w:val="24"/>
          <w:lang w:eastAsia="pl-PL"/>
        </w:rPr>
      </w:pPr>
      <w:r w:rsidRPr="00E02F30">
        <w:rPr>
          <w:rFonts w:eastAsia="Times New Roman" w:cs="Arial"/>
          <w:b/>
          <w:szCs w:val="24"/>
          <w:lang w:eastAsia="pl-PL"/>
        </w:rPr>
        <w:t>I.1.1. Rodzaj instalacji oraz rodzaj prowadzonej działalności</w:t>
      </w:r>
    </w:p>
    <w:p w14:paraId="6965BE08"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 xml:space="preserve">W Instalacji Nienasyconych Żywic Poliestrowych prowadzona będzie synteza żywic poliestrowych: </w:t>
      </w:r>
      <w:proofErr w:type="spellStart"/>
      <w:r w:rsidRPr="00E02F30">
        <w:rPr>
          <w:rFonts w:eastAsia="Times New Roman" w:cs="Arial"/>
          <w:szCs w:val="24"/>
          <w:lang w:eastAsia="pl-PL"/>
        </w:rPr>
        <w:t>ortoftalowych</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izoftalowych</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tereftalowych</w:t>
      </w:r>
      <w:proofErr w:type="spellEnd"/>
      <w:r w:rsidRPr="00E02F30">
        <w:rPr>
          <w:rFonts w:eastAsia="Times New Roman" w:cs="Arial"/>
          <w:szCs w:val="24"/>
          <w:lang w:eastAsia="pl-PL"/>
        </w:rPr>
        <w:t xml:space="preserve">, na bazie </w:t>
      </w:r>
      <w:proofErr w:type="spellStart"/>
      <w:r w:rsidRPr="00E02F30">
        <w:rPr>
          <w:rFonts w:eastAsia="Times New Roman" w:cs="Arial"/>
          <w:szCs w:val="24"/>
          <w:lang w:eastAsia="pl-PL"/>
        </w:rPr>
        <w:t>dicyklopentadienu</w:t>
      </w:r>
      <w:proofErr w:type="spellEnd"/>
      <w:r w:rsidRPr="00E02F30">
        <w:rPr>
          <w:rFonts w:eastAsia="Times New Roman" w:cs="Arial"/>
          <w:szCs w:val="24"/>
          <w:lang w:eastAsia="pl-PL"/>
        </w:rPr>
        <w:t xml:space="preserve">, nasyconych żywic poliestrowych (plastyfikatorów i rozcieńczalników), żelkotów, żywicy </w:t>
      </w:r>
      <w:proofErr w:type="spellStart"/>
      <w:r w:rsidRPr="00E02F30">
        <w:rPr>
          <w:rFonts w:eastAsia="Times New Roman" w:cs="Arial"/>
          <w:szCs w:val="24"/>
          <w:lang w:eastAsia="pl-PL"/>
        </w:rPr>
        <w:t>nowolakowej</w:t>
      </w:r>
      <w:proofErr w:type="spellEnd"/>
      <w:r w:rsidRPr="00E02F30">
        <w:rPr>
          <w:rFonts w:eastAsia="Times New Roman" w:cs="Arial"/>
          <w:szCs w:val="24"/>
          <w:lang w:eastAsia="pl-PL"/>
        </w:rPr>
        <w:t xml:space="preserve"> (KN) i </w:t>
      </w:r>
      <w:proofErr w:type="spellStart"/>
      <w:r w:rsidRPr="00E02F30">
        <w:rPr>
          <w:rFonts w:eastAsia="Times New Roman" w:cs="Arial"/>
          <w:szCs w:val="24"/>
          <w:lang w:eastAsia="pl-PL"/>
        </w:rPr>
        <w:t>poliplastów</w:t>
      </w:r>
      <w:proofErr w:type="spellEnd"/>
      <w:r w:rsidRPr="00E02F30">
        <w:rPr>
          <w:rFonts w:eastAsia="Times New Roman" w:cs="Arial"/>
          <w:szCs w:val="24"/>
          <w:lang w:eastAsia="pl-PL"/>
        </w:rPr>
        <w:t>.</w:t>
      </w:r>
    </w:p>
    <w:p w14:paraId="7F381DE8"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 xml:space="preserve">Proces produkcji nienasyconych żywic poliestrowych polegał będzie na kondensacji lub addycji kwasów karboksylowych lub ich bezwodników lub </w:t>
      </w:r>
      <w:proofErr w:type="spellStart"/>
      <w:r w:rsidRPr="00E02F30">
        <w:rPr>
          <w:rFonts w:eastAsia="Times New Roman" w:cs="Arial"/>
          <w:szCs w:val="24"/>
          <w:lang w:eastAsia="pl-PL"/>
        </w:rPr>
        <w:t>transestryfikacji</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politereftalanu</w:t>
      </w:r>
      <w:proofErr w:type="spellEnd"/>
      <w:r w:rsidRPr="00E02F30">
        <w:rPr>
          <w:rFonts w:eastAsia="Times New Roman" w:cs="Arial"/>
          <w:szCs w:val="24"/>
          <w:lang w:eastAsia="pl-PL"/>
        </w:rPr>
        <w:t xml:space="preserve"> etylenu z glikolami. Produktem procesu będzie poliester (</w:t>
      </w:r>
      <w:proofErr w:type="spellStart"/>
      <w:r w:rsidRPr="00E02F30">
        <w:rPr>
          <w:rFonts w:eastAsia="Times New Roman" w:cs="Arial"/>
          <w:szCs w:val="24"/>
          <w:lang w:eastAsia="pl-PL"/>
        </w:rPr>
        <w:t>alkid</w:t>
      </w:r>
      <w:proofErr w:type="spellEnd"/>
      <w:r w:rsidRPr="00E02F30">
        <w:rPr>
          <w:rFonts w:eastAsia="Times New Roman" w:cs="Arial"/>
          <w:szCs w:val="24"/>
          <w:lang w:eastAsia="pl-PL"/>
        </w:rPr>
        <w:t>). Otrzymany poliester będzie rozpuszczany w styrenie lub innym monomerze sieciującym, w wyniku czego uzyskana zostanie nienasycona żywica poliestrowa</w:t>
      </w:r>
    </w:p>
    <w:p w14:paraId="26E047CA"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 xml:space="preserve">Proces produkcji poliestrów nasyconych polegał będzie na kondensacji lub addycji kwasów karboksylowych lub ich bezwodników lub </w:t>
      </w:r>
      <w:proofErr w:type="spellStart"/>
      <w:r w:rsidRPr="00E02F30">
        <w:rPr>
          <w:rFonts w:eastAsia="Times New Roman" w:cs="Arial"/>
          <w:szCs w:val="24"/>
          <w:lang w:eastAsia="pl-PL"/>
        </w:rPr>
        <w:t>transestryfikacji</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politereftalanu</w:t>
      </w:r>
      <w:proofErr w:type="spellEnd"/>
      <w:r w:rsidRPr="00E02F30">
        <w:rPr>
          <w:rFonts w:eastAsia="Times New Roman" w:cs="Arial"/>
          <w:szCs w:val="24"/>
          <w:lang w:eastAsia="pl-PL"/>
        </w:rPr>
        <w:t xml:space="preserve"> etylenu i olejów roślinnych z glikolami.</w:t>
      </w:r>
    </w:p>
    <w:p w14:paraId="052EE9A0"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 xml:space="preserve">Proces produkcji Żywic KN polegał będzie na kondensacji </w:t>
      </w:r>
      <w:proofErr w:type="spellStart"/>
      <w:r w:rsidRPr="00E02F30">
        <w:rPr>
          <w:rFonts w:eastAsia="Times New Roman" w:cs="Arial"/>
          <w:szCs w:val="24"/>
          <w:lang w:eastAsia="pl-PL"/>
        </w:rPr>
        <w:t>alkilofenoli</w:t>
      </w:r>
      <w:proofErr w:type="spellEnd"/>
      <w:r w:rsidRPr="00E02F30">
        <w:rPr>
          <w:rFonts w:eastAsia="Times New Roman" w:cs="Arial"/>
          <w:szCs w:val="24"/>
          <w:lang w:eastAsia="pl-PL"/>
        </w:rPr>
        <w:t xml:space="preserve"> z urotropiną.</w:t>
      </w:r>
    </w:p>
    <w:p w14:paraId="73C55F69" w14:textId="77777777" w:rsidR="00E02F30" w:rsidRPr="00E02F30" w:rsidRDefault="00E02F30" w:rsidP="00E02F30">
      <w:pPr>
        <w:keepNext/>
        <w:widowControl w:val="0"/>
        <w:adjustRightInd w:val="0"/>
        <w:spacing w:before="120" w:after="0" w:line="276" w:lineRule="auto"/>
        <w:jc w:val="both"/>
        <w:textAlignment w:val="baseline"/>
        <w:outlineLvl w:val="3"/>
        <w:rPr>
          <w:rFonts w:eastAsia="Times New Roman" w:cs="Arial"/>
          <w:b/>
          <w:szCs w:val="24"/>
          <w:lang w:eastAsia="pl-PL"/>
        </w:rPr>
      </w:pPr>
      <w:r w:rsidRPr="00E02F30">
        <w:rPr>
          <w:rFonts w:eastAsia="Times New Roman" w:cs="Arial"/>
          <w:b/>
          <w:szCs w:val="24"/>
          <w:lang w:eastAsia="pl-PL"/>
        </w:rPr>
        <w:t>I.1.2. Parametry instalacji i urządzeń istotne z punktu widzenia przeciwdziałania zanieczyszczeniom</w:t>
      </w:r>
    </w:p>
    <w:p w14:paraId="75EA3980"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W skład instalacji wchodzą następujące linie technologiczne:</w:t>
      </w:r>
    </w:p>
    <w:p w14:paraId="35ACD52B" w14:textId="77777777" w:rsidR="00E02F30" w:rsidRPr="00E02F30" w:rsidRDefault="00E02F30">
      <w:pPr>
        <w:widowControl w:val="0"/>
        <w:numPr>
          <w:ilvl w:val="0"/>
          <w:numId w:val="85"/>
        </w:numPr>
        <w:adjustRightInd w:val="0"/>
        <w:spacing w:after="0" w:line="240" w:lineRule="auto"/>
        <w:ind w:left="284" w:hanging="284"/>
        <w:jc w:val="both"/>
        <w:textAlignment w:val="baseline"/>
        <w:rPr>
          <w:rFonts w:eastAsia="Times New Roman" w:cs="Arial"/>
          <w:szCs w:val="24"/>
          <w:lang w:eastAsia="pl-PL"/>
        </w:rPr>
      </w:pPr>
      <w:r w:rsidRPr="00E02F30">
        <w:rPr>
          <w:rFonts w:eastAsia="Calibri" w:cs="Arial"/>
          <w:snapToGrid w:val="0"/>
          <w:szCs w:val="24"/>
          <w:lang w:eastAsia="pl-PL"/>
        </w:rPr>
        <w:t>linia produkcyjna nienasyconych żywic poliestrowych w obiekcie 524 o wydajności 15 000 Mg/rok,</w:t>
      </w:r>
    </w:p>
    <w:p w14:paraId="427A9B3A" w14:textId="77777777" w:rsidR="00E02F30" w:rsidRPr="00E02F30" w:rsidRDefault="00E02F30">
      <w:pPr>
        <w:widowControl w:val="0"/>
        <w:numPr>
          <w:ilvl w:val="0"/>
          <w:numId w:val="85"/>
        </w:numPr>
        <w:adjustRightInd w:val="0"/>
        <w:spacing w:after="0" w:line="240" w:lineRule="auto"/>
        <w:ind w:left="284" w:hanging="284"/>
        <w:jc w:val="both"/>
        <w:textAlignment w:val="baseline"/>
        <w:rPr>
          <w:rFonts w:eastAsia="Times New Roman" w:cs="Arial"/>
          <w:szCs w:val="24"/>
          <w:lang w:eastAsia="pl-PL"/>
        </w:rPr>
      </w:pPr>
      <w:r w:rsidRPr="00E02F30">
        <w:rPr>
          <w:rFonts w:eastAsia="Calibri" w:cs="Arial"/>
          <w:snapToGrid w:val="0"/>
          <w:szCs w:val="24"/>
          <w:lang w:eastAsia="pl-PL"/>
        </w:rPr>
        <w:t>linia produkcyjna nienasyconych żywic poliestrowych w obiekcie 524 A o wydajności 17 000 Mg/rok,</w:t>
      </w:r>
    </w:p>
    <w:p w14:paraId="74A1DA48" w14:textId="77777777" w:rsidR="00E02F30" w:rsidRPr="00E02F30" w:rsidRDefault="00E02F30">
      <w:pPr>
        <w:widowControl w:val="0"/>
        <w:numPr>
          <w:ilvl w:val="0"/>
          <w:numId w:val="85"/>
        </w:numPr>
        <w:adjustRightInd w:val="0"/>
        <w:spacing w:after="0" w:line="240" w:lineRule="auto"/>
        <w:ind w:left="284" w:hanging="284"/>
        <w:jc w:val="both"/>
        <w:textAlignment w:val="baseline"/>
        <w:rPr>
          <w:rFonts w:eastAsia="Calibri" w:cs="Arial"/>
          <w:snapToGrid w:val="0"/>
          <w:szCs w:val="24"/>
          <w:lang w:eastAsia="pl-PL"/>
        </w:rPr>
      </w:pPr>
      <w:r w:rsidRPr="00E02F30">
        <w:rPr>
          <w:rFonts w:eastAsia="Calibri" w:cs="Arial"/>
          <w:snapToGrid w:val="0"/>
          <w:szCs w:val="24"/>
          <w:lang w:eastAsia="pl-PL"/>
        </w:rPr>
        <w:t>linia produkcyjna nienasyconych żywic poliestrowych w obiekcie 501 o wydajności 5 700 Mg/rok,</w:t>
      </w:r>
    </w:p>
    <w:p w14:paraId="003FF0AD" w14:textId="77777777" w:rsidR="00E02F30" w:rsidRPr="00E02F30" w:rsidRDefault="00E02F30">
      <w:pPr>
        <w:widowControl w:val="0"/>
        <w:numPr>
          <w:ilvl w:val="0"/>
          <w:numId w:val="85"/>
        </w:numPr>
        <w:adjustRightInd w:val="0"/>
        <w:spacing w:after="0" w:line="240" w:lineRule="auto"/>
        <w:ind w:left="284" w:hanging="284"/>
        <w:jc w:val="both"/>
        <w:textAlignment w:val="baseline"/>
        <w:rPr>
          <w:rFonts w:eastAsia="Times New Roman" w:cs="Arial"/>
          <w:szCs w:val="24"/>
          <w:lang w:eastAsia="pl-PL"/>
        </w:rPr>
      </w:pPr>
      <w:r w:rsidRPr="00E02F30">
        <w:rPr>
          <w:rFonts w:eastAsia="Calibri" w:cs="Arial"/>
          <w:snapToGrid w:val="0"/>
          <w:szCs w:val="24"/>
          <w:lang w:eastAsia="pl-PL"/>
        </w:rPr>
        <w:t>linia w obiekcie 524 – produkcji półfabrykatu do utwardzaczy typu modyfikowanych poliamid,</w:t>
      </w:r>
    </w:p>
    <w:p w14:paraId="3000BB58" w14:textId="77777777" w:rsidR="00E02F30" w:rsidRPr="00E02F30" w:rsidRDefault="00E02F30" w:rsidP="00E02F30">
      <w:pPr>
        <w:spacing w:after="0" w:line="240" w:lineRule="auto"/>
        <w:ind w:left="284" w:hanging="284"/>
        <w:jc w:val="both"/>
        <w:rPr>
          <w:rFonts w:eastAsia="Times New Roman" w:cs="Arial"/>
          <w:szCs w:val="24"/>
          <w:lang w:eastAsia="pl-PL"/>
        </w:rPr>
      </w:pPr>
      <w:r w:rsidRPr="00E02F30">
        <w:rPr>
          <w:rFonts w:eastAsia="Times New Roman" w:cs="Arial"/>
          <w:szCs w:val="24"/>
          <w:lang w:eastAsia="pl-PL"/>
        </w:rPr>
        <w:t>Wytwarzany będzie następujący asortyment wyrobów:</w:t>
      </w:r>
    </w:p>
    <w:p w14:paraId="271FF60A" w14:textId="77777777" w:rsidR="00E02F30" w:rsidRPr="00E02F30" w:rsidRDefault="00E02F30">
      <w:pPr>
        <w:widowControl w:val="0"/>
        <w:numPr>
          <w:ilvl w:val="0"/>
          <w:numId w:val="86"/>
        </w:numPr>
        <w:adjustRightInd w:val="0"/>
        <w:spacing w:after="0" w:line="240" w:lineRule="auto"/>
        <w:ind w:left="284" w:hanging="284"/>
        <w:jc w:val="both"/>
        <w:textAlignment w:val="baseline"/>
        <w:rPr>
          <w:rFonts w:eastAsia="Times New Roman" w:cs="Arial"/>
          <w:szCs w:val="24"/>
          <w:lang w:eastAsia="pl-PL"/>
        </w:rPr>
      </w:pPr>
      <w:r w:rsidRPr="00E02F30">
        <w:rPr>
          <w:rFonts w:eastAsia="Calibri" w:cs="Arial"/>
          <w:snapToGrid w:val="0"/>
          <w:szCs w:val="24"/>
          <w:lang w:eastAsia="pl-PL"/>
        </w:rPr>
        <w:t>nienasycone żywice poliestrowe i żelkoty poliestrowe,</w:t>
      </w:r>
    </w:p>
    <w:p w14:paraId="102EA20C" w14:textId="77777777" w:rsidR="00E02F30" w:rsidRPr="00E02F30" w:rsidRDefault="00E02F30">
      <w:pPr>
        <w:widowControl w:val="0"/>
        <w:numPr>
          <w:ilvl w:val="0"/>
          <w:numId w:val="86"/>
        </w:numPr>
        <w:adjustRightInd w:val="0"/>
        <w:spacing w:after="0" w:line="240" w:lineRule="auto"/>
        <w:ind w:left="284" w:hanging="284"/>
        <w:jc w:val="both"/>
        <w:textAlignment w:val="baseline"/>
        <w:rPr>
          <w:rFonts w:eastAsia="Times New Roman" w:cs="Arial"/>
          <w:szCs w:val="24"/>
          <w:lang w:eastAsia="pl-PL"/>
        </w:rPr>
      </w:pPr>
      <w:r w:rsidRPr="00E02F30">
        <w:rPr>
          <w:rFonts w:eastAsia="Calibri" w:cs="Arial"/>
          <w:snapToGrid w:val="0"/>
          <w:szCs w:val="24"/>
          <w:lang w:eastAsia="pl-PL"/>
        </w:rPr>
        <w:t>poliestry nasycone (plastyfikatory, rozcieńczalniki i komponenty do poliuretanów),</w:t>
      </w:r>
    </w:p>
    <w:p w14:paraId="680B539D" w14:textId="77777777" w:rsidR="00E02F30" w:rsidRPr="00E02F30" w:rsidRDefault="00E02F30">
      <w:pPr>
        <w:widowControl w:val="0"/>
        <w:numPr>
          <w:ilvl w:val="0"/>
          <w:numId w:val="86"/>
        </w:numPr>
        <w:adjustRightInd w:val="0"/>
        <w:spacing w:after="0" w:line="240" w:lineRule="auto"/>
        <w:ind w:left="284" w:hanging="284"/>
        <w:jc w:val="both"/>
        <w:textAlignment w:val="baseline"/>
        <w:rPr>
          <w:rFonts w:eastAsia="Times New Roman" w:cs="Arial"/>
          <w:szCs w:val="24"/>
          <w:lang w:eastAsia="pl-PL"/>
        </w:rPr>
      </w:pPr>
      <w:r w:rsidRPr="00E02F30">
        <w:rPr>
          <w:rFonts w:eastAsia="Calibri" w:cs="Arial"/>
          <w:snapToGrid w:val="0"/>
          <w:szCs w:val="24"/>
          <w:lang w:eastAsia="pl-PL"/>
        </w:rPr>
        <w:t xml:space="preserve">żywice </w:t>
      </w:r>
      <w:proofErr w:type="spellStart"/>
      <w:r w:rsidRPr="00E02F30">
        <w:rPr>
          <w:rFonts w:eastAsia="Calibri" w:cs="Arial"/>
          <w:snapToGrid w:val="0"/>
          <w:szCs w:val="24"/>
          <w:lang w:eastAsia="pl-PL"/>
        </w:rPr>
        <w:t>nowolakowe</w:t>
      </w:r>
      <w:proofErr w:type="spellEnd"/>
      <w:r w:rsidRPr="00E02F30">
        <w:rPr>
          <w:rFonts w:eastAsia="Calibri" w:cs="Arial"/>
          <w:snapToGrid w:val="0"/>
          <w:szCs w:val="24"/>
          <w:lang w:eastAsia="pl-PL"/>
        </w:rPr>
        <w:t xml:space="preserve"> o nazwie handlowej Żywica KN,</w:t>
      </w:r>
    </w:p>
    <w:p w14:paraId="1593A327" w14:textId="77777777" w:rsidR="00E02F30" w:rsidRPr="00E02F30" w:rsidRDefault="00E02F30">
      <w:pPr>
        <w:widowControl w:val="0"/>
        <w:numPr>
          <w:ilvl w:val="0"/>
          <w:numId w:val="86"/>
        </w:numPr>
        <w:adjustRightInd w:val="0"/>
        <w:spacing w:after="0" w:line="240" w:lineRule="auto"/>
        <w:ind w:left="284" w:hanging="284"/>
        <w:jc w:val="both"/>
        <w:textAlignment w:val="baseline"/>
        <w:rPr>
          <w:rFonts w:eastAsia="Times New Roman" w:cs="Arial"/>
          <w:szCs w:val="24"/>
          <w:lang w:eastAsia="pl-PL"/>
        </w:rPr>
      </w:pPr>
      <w:r w:rsidRPr="00E02F30">
        <w:rPr>
          <w:rFonts w:eastAsia="Calibri" w:cs="Arial"/>
          <w:snapToGrid w:val="0"/>
          <w:szCs w:val="24"/>
          <w:lang w:eastAsia="pl-PL"/>
        </w:rPr>
        <w:t>dodatki do żywic poliestrowych.</w:t>
      </w:r>
    </w:p>
    <w:p w14:paraId="5BE6BEF9" w14:textId="77777777" w:rsidR="00E02F30" w:rsidRPr="00E02F30" w:rsidRDefault="00E02F30" w:rsidP="00E02F30">
      <w:pPr>
        <w:keepNext/>
        <w:widowControl w:val="0"/>
        <w:adjustRightInd w:val="0"/>
        <w:spacing w:before="240" w:after="0" w:line="276" w:lineRule="auto"/>
        <w:jc w:val="both"/>
        <w:textAlignment w:val="baseline"/>
        <w:outlineLvl w:val="3"/>
        <w:rPr>
          <w:rFonts w:eastAsia="Times New Roman" w:cs="Arial"/>
          <w:b/>
          <w:color w:val="000000"/>
          <w:szCs w:val="24"/>
          <w:lang w:eastAsia="pl-PL"/>
        </w:rPr>
      </w:pPr>
      <w:r w:rsidRPr="00E02F30">
        <w:rPr>
          <w:rFonts w:eastAsia="Times New Roman" w:cs="Arial"/>
          <w:b/>
          <w:color w:val="000000"/>
          <w:szCs w:val="24"/>
          <w:lang w:eastAsia="pl-PL"/>
        </w:rPr>
        <w:t xml:space="preserve">I.1.3. </w:t>
      </w:r>
      <w:r w:rsidRPr="00E02F30">
        <w:rPr>
          <w:rFonts w:eastAsia="Times New Roman" w:cs="Arial"/>
          <w:b/>
          <w:szCs w:val="24"/>
          <w:lang w:eastAsia="pl-PL"/>
        </w:rPr>
        <w:t xml:space="preserve">Charakterystyka prowadzonych procesów </w:t>
      </w:r>
      <w:r w:rsidRPr="00E02F30">
        <w:rPr>
          <w:rFonts w:eastAsia="Times New Roman" w:cs="Arial"/>
          <w:b/>
          <w:color w:val="000000"/>
          <w:szCs w:val="24"/>
          <w:lang w:eastAsia="pl-PL"/>
        </w:rPr>
        <w:t>prowadzonych w instalacji</w:t>
      </w:r>
    </w:p>
    <w:bookmarkEnd w:id="3"/>
    <w:p w14:paraId="3E392BF3" w14:textId="77777777" w:rsidR="00E02F30" w:rsidRPr="00E02F30" w:rsidRDefault="00E02F30" w:rsidP="00E02F30">
      <w:pPr>
        <w:keepNext/>
        <w:spacing w:after="0" w:line="276" w:lineRule="auto"/>
        <w:jc w:val="both"/>
        <w:rPr>
          <w:rFonts w:eastAsia="Times New Roman" w:cs="Arial"/>
          <w:b/>
          <w:bCs/>
          <w:szCs w:val="24"/>
          <w:u w:val="single"/>
          <w:lang w:eastAsia="pl-PL"/>
        </w:rPr>
      </w:pPr>
      <w:r w:rsidRPr="00E02F30">
        <w:rPr>
          <w:rFonts w:eastAsia="Times New Roman" w:cs="Arial"/>
          <w:b/>
          <w:bCs/>
          <w:szCs w:val="24"/>
          <w:u w:val="single"/>
          <w:lang w:eastAsia="pl-PL"/>
        </w:rPr>
        <w:t>Proces produkcyjny nienasyconych żywic poliestrowych odbywał będzie się w </w:t>
      </w:r>
      <w:proofErr w:type="spellStart"/>
      <w:r w:rsidRPr="00E02F30">
        <w:rPr>
          <w:rFonts w:eastAsia="Times New Roman" w:cs="Arial"/>
          <w:b/>
          <w:bCs/>
          <w:szCs w:val="24"/>
          <w:u w:val="single"/>
          <w:lang w:eastAsia="pl-PL"/>
        </w:rPr>
        <w:t>astępujących</w:t>
      </w:r>
      <w:proofErr w:type="spellEnd"/>
      <w:r w:rsidRPr="00E02F30">
        <w:rPr>
          <w:rFonts w:eastAsia="Times New Roman" w:cs="Arial"/>
          <w:b/>
          <w:bCs/>
          <w:szCs w:val="24"/>
          <w:u w:val="single"/>
          <w:lang w:eastAsia="pl-PL"/>
        </w:rPr>
        <w:t xml:space="preserve"> etapach:</w:t>
      </w:r>
    </w:p>
    <w:p w14:paraId="3257ECC9" w14:textId="77777777" w:rsidR="00E02F30" w:rsidRPr="00E02F30" w:rsidRDefault="00E02F30">
      <w:pPr>
        <w:widowControl w:val="0"/>
        <w:numPr>
          <w:ilvl w:val="0"/>
          <w:numId w:val="87"/>
        </w:numPr>
        <w:adjustRightInd w:val="0"/>
        <w:spacing w:after="0" w:line="276" w:lineRule="auto"/>
        <w:ind w:left="425" w:hanging="357"/>
        <w:jc w:val="both"/>
        <w:textAlignment w:val="baseline"/>
        <w:rPr>
          <w:rFonts w:eastAsia="Calibri" w:cs="Arial"/>
          <w:snapToGrid w:val="0"/>
          <w:szCs w:val="24"/>
          <w:lang w:eastAsia="pl-PL"/>
        </w:rPr>
      </w:pPr>
      <w:r w:rsidRPr="00E02F30">
        <w:rPr>
          <w:rFonts w:eastAsia="Calibri" w:cs="Arial"/>
          <w:snapToGrid w:val="0"/>
          <w:szCs w:val="24"/>
          <w:lang w:eastAsia="pl-PL"/>
        </w:rPr>
        <w:t>Magazynowanie, przygotowanie surowców, półfabrykatów do produkcji (od temperatury otoczenia do 120 °C),</w:t>
      </w:r>
    </w:p>
    <w:p w14:paraId="722396E2" w14:textId="77777777" w:rsidR="00E02F30" w:rsidRPr="00E02F30" w:rsidRDefault="00E02F30">
      <w:pPr>
        <w:widowControl w:val="0"/>
        <w:numPr>
          <w:ilvl w:val="0"/>
          <w:numId w:val="87"/>
        </w:numPr>
        <w:adjustRightInd w:val="0"/>
        <w:spacing w:after="0" w:line="276" w:lineRule="auto"/>
        <w:ind w:left="425" w:hanging="357"/>
        <w:jc w:val="both"/>
        <w:textAlignment w:val="baseline"/>
        <w:rPr>
          <w:rFonts w:eastAsia="Calibri" w:cs="Arial"/>
          <w:snapToGrid w:val="0"/>
          <w:szCs w:val="24"/>
          <w:lang w:eastAsia="pl-PL"/>
        </w:rPr>
      </w:pPr>
      <w:r w:rsidRPr="00E02F30">
        <w:rPr>
          <w:rFonts w:eastAsia="Calibri" w:cs="Arial"/>
          <w:snapToGrid w:val="0"/>
          <w:szCs w:val="24"/>
          <w:lang w:eastAsia="pl-PL"/>
        </w:rPr>
        <w:t xml:space="preserve">Kondensacja właściwa i próżniowa – otrzymywanie </w:t>
      </w:r>
      <w:proofErr w:type="spellStart"/>
      <w:r w:rsidRPr="00E02F30">
        <w:rPr>
          <w:rFonts w:eastAsia="Calibri" w:cs="Arial"/>
          <w:snapToGrid w:val="0"/>
          <w:szCs w:val="24"/>
          <w:lang w:eastAsia="pl-PL"/>
        </w:rPr>
        <w:t>alkidu</w:t>
      </w:r>
      <w:proofErr w:type="spellEnd"/>
      <w:r w:rsidRPr="00E02F30">
        <w:rPr>
          <w:rFonts w:eastAsia="Calibri" w:cs="Arial"/>
          <w:snapToGrid w:val="0"/>
          <w:szCs w:val="24"/>
          <w:lang w:eastAsia="pl-PL"/>
        </w:rPr>
        <w:t xml:space="preserve"> (temperatura do 220 °C, podciśnienie podczas kondensacji próżniowej: 0,09 </w:t>
      </w:r>
      <w:proofErr w:type="spellStart"/>
      <w:r w:rsidRPr="00E02F30">
        <w:rPr>
          <w:rFonts w:eastAsia="Calibri" w:cs="Arial"/>
          <w:snapToGrid w:val="0"/>
          <w:szCs w:val="24"/>
          <w:lang w:eastAsia="pl-PL"/>
        </w:rPr>
        <w:t>MPa</w:t>
      </w:r>
      <w:proofErr w:type="spellEnd"/>
      <w:r w:rsidRPr="00E02F30">
        <w:rPr>
          <w:rFonts w:eastAsia="Calibri" w:cs="Arial"/>
          <w:snapToGrid w:val="0"/>
          <w:szCs w:val="24"/>
          <w:lang w:eastAsia="pl-PL"/>
        </w:rPr>
        <w:t>) – do 40 h,</w:t>
      </w:r>
    </w:p>
    <w:p w14:paraId="5A606153" w14:textId="77777777" w:rsidR="00E02F30" w:rsidRPr="00E02F30" w:rsidRDefault="00E02F30">
      <w:pPr>
        <w:widowControl w:val="0"/>
        <w:numPr>
          <w:ilvl w:val="0"/>
          <w:numId w:val="87"/>
        </w:numPr>
        <w:adjustRightInd w:val="0"/>
        <w:spacing w:after="0" w:line="276" w:lineRule="auto"/>
        <w:ind w:left="425" w:hanging="357"/>
        <w:jc w:val="both"/>
        <w:textAlignment w:val="baseline"/>
        <w:rPr>
          <w:rFonts w:eastAsia="Calibri" w:cs="Arial"/>
          <w:snapToGrid w:val="0"/>
          <w:szCs w:val="24"/>
          <w:lang w:eastAsia="pl-PL"/>
        </w:rPr>
      </w:pPr>
      <w:r w:rsidRPr="00E02F30">
        <w:rPr>
          <w:rFonts w:eastAsia="Calibri" w:cs="Arial"/>
          <w:snapToGrid w:val="0"/>
          <w:szCs w:val="24"/>
          <w:lang w:eastAsia="pl-PL"/>
        </w:rPr>
        <w:t xml:space="preserve">Rozpuszczanie </w:t>
      </w:r>
      <w:proofErr w:type="spellStart"/>
      <w:r w:rsidRPr="00E02F30">
        <w:rPr>
          <w:rFonts w:eastAsia="Calibri" w:cs="Arial"/>
          <w:snapToGrid w:val="0"/>
          <w:szCs w:val="24"/>
          <w:lang w:eastAsia="pl-PL"/>
        </w:rPr>
        <w:t>alkidu</w:t>
      </w:r>
      <w:proofErr w:type="spellEnd"/>
      <w:r w:rsidRPr="00E02F30">
        <w:rPr>
          <w:rFonts w:eastAsia="Calibri" w:cs="Arial"/>
          <w:snapToGrid w:val="0"/>
          <w:szCs w:val="24"/>
          <w:lang w:eastAsia="pl-PL"/>
        </w:rPr>
        <w:t xml:space="preserve"> w styrenie – otrzymywanie nienasyconych żywic poliestrowych (od temperatury otoczenia do 80 °C) – do 20 h,</w:t>
      </w:r>
    </w:p>
    <w:p w14:paraId="3E82857E" w14:textId="77777777" w:rsidR="00E02F30" w:rsidRPr="00E02F30" w:rsidRDefault="00E02F30">
      <w:pPr>
        <w:widowControl w:val="0"/>
        <w:numPr>
          <w:ilvl w:val="0"/>
          <w:numId w:val="87"/>
        </w:numPr>
        <w:adjustRightInd w:val="0"/>
        <w:spacing w:after="0" w:line="276" w:lineRule="auto"/>
        <w:ind w:left="425" w:hanging="357"/>
        <w:jc w:val="both"/>
        <w:textAlignment w:val="baseline"/>
        <w:rPr>
          <w:rFonts w:eastAsia="Calibri" w:cs="Arial"/>
          <w:snapToGrid w:val="0"/>
          <w:szCs w:val="24"/>
          <w:lang w:eastAsia="pl-PL"/>
        </w:rPr>
      </w:pPr>
      <w:r w:rsidRPr="00E02F30">
        <w:rPr>
          <w:rFonts w:eastAsia="Calibri" w:cs="Arial"/>
          <w:snapToGrid w:val="0"/>
          <w:szCs w:val="24"/>
          <w:lang w:eastAsia="pl-PL"/>
        </w:rPr>
        <w:t>Modyfikacja nienasyconych żywic poliestrowych i wytwarzanie żelkotów poliestrowych (od temperatury otoczenia do 50 °C) – do 20 h,</w:t>
      </w:r>
    </w:p>
    <w:p w14:paraId="30481288" w14:textId="77777777" w:rsidR="00E02F30" w:rsidRPr="00E02F30" w:rsidRDefault="00E02F30">
      <w:pPr>
        <w:widowControl w:val="0"/>
        <w:numPr>
          <w:ilvl w:val="0"/>
          <w:numId w:val="87"/>
        </w:numPr>
        <w:adjustRightInd w:val="0"/>
        <w:spacing w:after="0" w:line="276" w:lineRule="auto"/>
        <w:ind w:left="425" w:hanging="357"/>
        <w:jc w:val="both"/>
        <w:textAlignment w:val="baseline"/>
        <w:rPr>
          <w:rFonts w:eastAsia="Calibri" w:cs="Arial"/>
          <w:snapToGrid w:val="0"/>
          <w:szCs w:val="24"/>
          <w:lang w:eastAsia="pl-PL"/>
        </w:rPr>
      </w:pPr>
      <w:r w:rsidRPr="00E02F30">
        <w:rPr>
          <w:rFonts w:eastAsia="Calibri" w:cs="Arial"/>
          <w:snapToGrid w:val="0"/>
          <w:szCs w:val="24"/>
          <w:lang w:eastAsia="pl-PL"/>
        </w:rPr>
        <w:t>Magazynowanie i konfekcja nienasyconych żywic poliestrowych oraz żelkotów (w temperaturze do 30 °C).</w:t>
      </w:r>
    </w:p>
    <w:p w14:paraId="57FBCA7D"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W etapie kondensacji w linii ob. 524 i ob.524 A powietrze z dozowania surowców sypkich będzie oczyszczane w cyklonie lub filtrach. Następnie powietrze to będzie kierowane do hydrocyklonu układu hermetyzacji kwaśnej skąd odprowadzane będzie do powietrza emitorem E-1/Z, natomiast powstałe ścieki z hydrocyklonu będą kierowane do kanalizacji ścieków przemysłowych.</w:t>
      </w:r>
    </w:p>
    <w:p w14:paraId="71940A81"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 xml:space="preserve">Oczyszczanie powietrza technologicznego pochodzącego z wszystkich trzech linii produkcyjnych zawierającego związki organiczne z reaktorów, mieszalników i zbiorników prowadzić się będzie w sposób ciągły poprzez ich spalanie w dopalaczu termicznym komorowym typu regeneracyjnego produkcji firmy BABCOCK. Komora spalania posiada palnik, który zasilany jest gazem ziemnym i wytwarza szeroki płomień poprzeczny w komorze dla osiągnięcia wysokiej sprawności spalania i jednorodnej temperatury w całej strefie spalania. </w:t>
      </w:r>
      <w:proofErr w:type="spellStart"/>
      <w:r w:rsidRPr="00E02F30">
        <w:rPr>
          <w:rFonts w:eastAsia="Times New Roman" w:cs="Arial"/>
          <w:szCs w:val="24"/>
          <w:lang w:eastAsia="pl-PL"/>
        </w:rPr>
        <w:t>Odgazy</w:t>
      </w:r>
      <w:proofErr w:type="spellEnd"/>
      <w:r w:rsidRPr="00E02F30">
        <w:rPr>
          <w:rFonts w:eastAsia="Times New Roman" w:cs="Arial"/>
          <w:szCs w:val="24"/>
          <w:lang w:eastAsia="pl-PL"/>
        </w:rPr>
        <w:t xml:space="preserve"> przed wejściem do komory spalania będą ogrzewane w jednej z dwóch kolumn (pracujących naprzemiennie) przepływając poprzez rozgrzane ceramiczne złoże.</w:t>
      </w:r>
    </w:p>
    <w:p w14:paraId="5763E2AF"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 xml:space="preserve">Obiekty produkcyjne i magazynowe z poszczególnych linii (501, 501A, 524, 524A, 528, 528A i 523) połączone będą z dopalaczem kanałami </w:t>
      </w:r>
      <w:proofErr w:type="spellStart"/>
      <w:r w:rsidRPr="00E02F30">
        <w:rPr>
          <w:rFonts w:eastAsia="Times New Roman" w:cs="Arial"/>
          <w:szCs w:val="24"/>
          <w:lang w:eastAsia="pl-PL"/>
        </w:rPr>
        <w:t>odgazów</w:t>
      </w:r>
      <w:proofErr w:type="spellEnd"/>
      <w:r w:rsidRPr="00E02F30">
        <w:rPr>
          <w:rFonts w:eastAsia="Times New Roman" w:cs="Arial"/>
          <w:szCs w:val="24"/>
          <w:lang w:eastAsia="pl-PL"/>
        </w:rPr>
        <w:t xml:space="preserve"> (powietrza procesowego) wyposażonymi w odpowiednie urządzenia regulacyjno-pomiarowe.</w:t>
      </w:r>
    </w:p>
    <w:p w14:paraId="2DFC3C1A"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 xml:space="preserve">Przy czym </w:t>
      </w:r>
      <w:proofErr w:type="spellStart"/>
      <w:r w:rsidRPr="00E02F30">
        <w:rPr>
          <w:rFonts w:eastAsia="Times New Roman" w:cs="Arial"/>
          <w:szCs w:val="24"/>
          <w:lang w:eastAsia="pl-PL"/>
        </w:rPr>
        <w:t>odgazy</w:t>
      </w:r>
      <w:proofErr w:type="spellEnd"/>
      <w:r w:rsidRPr="00E02F30">
        <w:rPr>
          <w:rFonts w:eastAsia="Times New Roman" w:cs="Arial"/>
          <w:szCs w:val="24"/>
          <w:lang w:eastAsia="pl-PL"/>
        </w:rPr>
        <w:t xml:space="preserve"> z obiektów 501, 501A połączone zostaną z dopalaczem po uprzednim oczyszczeniu w filtrze patronowym typu DOWNFLO OVAL 1.</w:t>
      </w:r>
    </w:p>
    <w:p w14:paraId="409A73D5"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Na wlocie do dopalacza zainstalowany zostanie układ zabezpieczający w postaci by- </w:t>
      </w:r>
      <w:proofErr w:type="spellStart"/>
      <w:r w:rsidRPr="00E02F30">
        <w:rPr>
          <w:rFonts w:eastAsia="Times New Roman" w:cs="Arial"/>
          <w:szCs w:val="24"/>
          <w:lang w:eastAsia="pl-PL"/>
        </w:rPr>
        <w:t>passu</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odgazów</w:t>
      </w:r>
      <w:proofErr w:type="spellEnd"/>
      <w:r w:rsidRPr="00E02F30">
        <w:rPr>
          <w:rFonts w:eastAsia="Times New Roman" w:cs="Arial"/>
          <w:szCs w:val="24"/>
          <w:lang w:eastAsia="pl-PL"/>
        </w:rPr>
        <w:t>. Gazy spalinowe z dopalacza odprowadzane będą do komina o średnicy wewnętrznej Φ 800 mm i wysokości 16 m. W komorze spalania dopalacza pod wpływem wysokiej temperatury następować będzie utlenianie (spalanie) węglowodorów- styrenu i innych związków organicznych do dwutlenku węgla (CO</w:t>
      </w:r>
      <w:r w:rsidRPr="00E02F30">
        <w:rPr>
          <w:rFonts w:eastAsia="Times New Roman" w:cs="Arial"/>
          <w:szCs w:val="24"/>
          <w:vertAlign w:val="subscript"/>
          <w:lang w:eastAsia="pl-PL"/>
        </w:rPr>
        <w:t>2</w:t>
      </w:r>
      <w:r w:rsidRPr="00E02F30">
        <w:rPr>
          <w:rFonts w:eastAsia="Times New Roman" w:cs="Arial"/>
          <w:szCs w:val="24"/>
          <w:lang w:eastAsia="pl-PL"/>
        </w:rPr>
        <w:t>) i pary wodnej (H</w:t>
      </w:r>
      <w:r w:rsidRPr="00E02F30">
        <w:rPr>
          <w:rFonts w:eastAsia="Times New Roman" w:cs="Arial"/>
          <w:szCs w:val="24"/>
          <w:vertAlign w:val="subscript"/>
          <w:lang w:eastAsia="pl-PL"/>
        </w:rPr>
        <w:t>2</w:t>
      </w:r>
      <w:r w:rsidRPr="00E02F30">
        <w:rPr>
          <w:rFonts w:eastAsia="Times New Roman" w:cs="Arial"/>
          <w:szCs w:val="24"/>
          <w:lang w:eastAsia="pl-PL"/>
        </w:rPr>
        <w:t xml:space="preserve">O). Ogrzany strumień gazów spalinowych z komory spalania kierowany będzie na złoże ceramiczne w jednej z dwóch kolumn, gdzie następować będzie jego ochłodzenie i jednocześnie ogrzanie złoża. Kolumny ze złożem ceramicznym działać będą w sposób przemienny w cyklach ogrzewania </w:t>
      </w:r>
      <w:proofErr w:type="spellStart"/>
      <w:r w:rsidRPr="00E02F30">
        <w:rPr>
          <w:rFonts w:eastAsia="Times New Roman" w:cs="Arial"/>
          <w:szCs w:val="24"/>
          <w:lang w:eastAsia="pl-PL"/>
        </w:rPr>
        <w:t>odgazów</w:t>
      </w:r>
      <w:proofErr w:type="spellEnd"/>
      <w:r w:rsidRPr="00E02F30">
        <w:rPr>
          <w:rFonts w:eastAsia="Times New Roman" w:cs="Arial"/>
          <w:szCs w:val="24"/>
          <w:lang w:eastAsia="pl-PL"/>
        </w:rPr>
        <w:t xml:space="preserve"> wlotowych przed komorą spalania-chłodzenia gazów spalinowych i odwrotnie.</w:t>
      </w:r>
    </w:p>
    <w:p w14:paraId="005A89AD"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Dopalacz zasilany będzie z sieci ogólnozakładowych w następujące media: paliwo – gaz ziemny, energia elektryczna i sprężone powietrze. Palnik gazowy o mocy cieplnej 900 000 kcal/h z wyposażeniem elektronicznym regulacyjno-pomiarowym. Maksymalny przepływ powietrza procesowego 18 164 Nm</w:t>
      </w:r>
      <w:r w:rsidRPr="00E02F30">
        <w:rPr>
          <w:rFonts w:eastAsia="Times New Roman" w:cs="Arial"/>
          <w:szCs w:val="24"/>
          <w:vertAlign w:val="superscript"/>
          <w:lang w:eastAsia="pl-PL"/>
        </w:rPr>
        <w:t>3</w:t>
      </w:r>
      <w:r w:rsidRPr="00E02F30">
        <w:rPr>
          <w:rFonts w:eastAsia="Times New Roman" w:cs="Arial"/>
          <w:szCs w:val="24"/>
          <w:lang w:eastAsia="pl-PL"/>
        </w:rPr>
        <w:t xml:space="preserve">/h. Temperatura w komorze spalania: maksymalna 950 </w:t>
      </w:r>
      <w:proofErr w:type="spellStart"/>
      <w:r w:rsidRPr="00E02F30">
        <w:rPr>
          <w:rFonts w:eastAsia="Times New Roman" w:cs="Arial"/>
          <w:szCs w:val="24"/>
          <w:vertAlign w:val="superscript"/>
          <w:lang w:eastAsia="pl-PL"/>
        </w:rPr>
        <w:t>o</w:t>
      </w:r>
      <w:r w:rsidRPr="00E02F30">
        <w:rPr>
          <w:rFonts w:eastAsia="Times New Roman" w:cs="Arial"/>
          <w:szCs w:val="24"/>
          <w:lang w:eastAsia="pl-PL"/>
        </w:rPr>
        <w:t>C</w:t>
      </w:r>
      <w:proofErr w:type="spellEnd"/>
      <w:r w:rsidRPr="00E02F30">
        <w:rPr>
          <w:rFonts w:eastAsia="Times New Roman" w:cs="Arial"/>
          <w:szCs w:val="24"/>
          <w:lang w:eastAsia="pl-PL"/>
        </w:rPr>
        <w:t xml:space="preserve">, minimalna 750 </w:t>
      </w:r>
      <w:proofErr w:type="spellStart"/>
      <w:r w:rsidRPr="00E02F30">
        <w:rPr>
          <w:rFonts w:eastAsia="Times New Roman" w:cs="Arial"/>
          <w:szCs w:val="24"/>
          <w:vertAlign w:val="superscript"/>
          <w:lang w:eastAsia="pl-PL"/>
        </w:rPr>
        <w:t>o</w:t>
      </w:r>
      <w:r w:rsidRPr="00E02F30">
        <w:rPr>
          <w:rFonts w:eastAsia="Times New Roman" w:cs="Arial"/>
          <w:szCs w:val="24"/>
          <w:lang w:eastAsia="pl-PL"/>
        </w:rPr>
        <w:t>C.</w:t>
      </w:r>
      <w:proofErr w:type="spellEnd"/>
      <w:r w:rsidRPr="00E02F30">
        <w:rPr>
          <w:rFonts w:eastAsia="Times New Roman" w:cs="Arial"/>
          <w:szCs w:val="24"/>
          <w:lang w:eastAsia="pl-PL"/>
        </w:rPr>
        <w:t xml:space="preserve"> Spaliny z dopalacza odprowadzane będą kominem (emitorem E-2/Z) o wymiarach jak powyżej.</w:t>
      </w:r>
    </w:p>
    <w:p w14:paraId="2C60566A"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W linii ob. 501 powietrze z dozowania surowców po oczyszczeniu w filtrze pyłowym DFO-3-3 (Donaldson) będzie kierowane do powietrza emitorem E-7/Z.</w:t>
      </w:r>
    </w:p>
    <w:p w14:paraId="06DFEC91"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W etapie kondensacji powstawać będzie woda kondensacyjna zawierająca składniki (reagenty). Woda ta kierowana będzie do kolumn rektyfikacyjnych / zwrotnych, w których poddawana będzie procesowi rektyfikacji, tj. rozdziału składników. Odzyskane składniki zawracane będą do produkcji. Podczyszczona woda po skropleniu w skraplaczach kierowana będzie poprzez łapacz do kanalizacji ścieków przemysłowych.</w:t>
      </w:r>
    </w:p>
    <w:p w14:paraId="5783202F"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 xml:space="preserve">W etapie rozpuszczania </w:t>
      </w:r>
      <w:proofErr w:type="spellStart"/>
      <w:r w:rsidRPr="00E02F30">
        <w:rPr>
          <w:rFonts w:eastAsia="Times New Roman" w:cs="Arial"/>
          <w:szCs w:val="24"/>
          <w:lang w:eastAsia="pl-PL"/>
        </w:rPr>
        <w:t>alkidu</w:t>
      </w:r>
      <w:proofErr w:type="spellEnd"/>
      <w:r w:rsidRPr="00E02F30">
        <w:rPr>
          <w:rFonts w:eastAsia="Times New Roman" w:cs="Arial"/>
          <w:szCs w:val="24"/>
          <w:lang w:eastAsia="pl-PL"/>
        </w:rPr>
        <w:t xml:space="preserve"> w styrenie będą powstawały opary styrenu, które wychładzane będą w układzie chłodnic zwrotnych i skraplaczy. Skroplone składniki (głównie styren) zawracane będą na bieżąco do mieszalnika w którym następować będzie rozpuszczanie </w:t>
      </w:r>
      <w:proofErr w:type="spellStart"/>
      <w:r w:rsidRPr="00E02F30">
        <w:rPr>
          <w:rFonts w:eastAsia="Times New Roman" w:cs="Arial"/>
          <w:szCs w:val="24"/>
          <w:lang w:eastAsia="pl-PL"/>
        </w:rPr>
        <w:t>alkidu</w:t>
      </w:r>
      <w:proofErr w:type="spellEnd"/>
      <w:r w:rsidRPr="00E02F30">
        <w:rPr>
          <w:rFonts w:eastAsia="Times New Roman" w:cs="Arial"/>
          <w:szCs w:val="24"/>
          <w:lang w:eastAsia="pl-PL"/>
        </w:rPr>
        <w:t xml:space="preserve">. </w:t>
      </w:r>
    </w:p>
    <w:p w14:paraId="5C769D0A"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 xml:space="preserve">Odpady powstałe z poszczególnych etapów produkcji nienasyconych żywic poliestrowych i żelkotów będą segregowane, pakowane, ważone, znakowane i magazynowane w wyznaczonych miejscach, a następnie będą przekazywane do zewnętrznych odbiorców celem odzysku lub unieszkodliwienia. </w:t>
      </w:r>
    </w:p>
    <w:p w14:paraId="4D736D09" w14:textId="77777777" w:rsidR="00E02F30" w:rsidRPr="00E02F30" w:rsidRDefault="00E02F30" w:rsidP="00E02F30">
      <w:pPr>
        <w:keepNext/>
        <w:spacing w:before="120" w:after="0" w:line="276" w:lineRule="auto"/>
        <w:jc w:val="both"/>
        <w:rPr>
          <w:rFonts w:eastAsia="Times New Roman" w:cs="Arial"/>
          <w:b/>
          <w:szCs w:val="24"/>
          <w:u w:val="single"/>
          <w:lang w:eastAsia="pl-PL"/>
        </w:rPr>
      </w:pPr>
      <w:r w:rsidRPr="00E02F30">
        <w:rPr>
          <w:rFonts w:eastAsia="Times New Roman" w:cs="Arial"/>
          <w:b/>
          <w:szCs w:val="24"/>
          <w:u w:val="single"/>
          <w:lang w:eastAsia="pl-PL"/>
        </w:rPr>
        <w:t>Proces produkcyjny poliestrów nasyconych odbywał się będzie w  następujących etapach:</w:t>
      </w:r>
    </w:p>
    <w:p w14:paraId="602ADB64" w14:textId="77777777" w:rsidR="00E02F30" w:rsidRPr="00E02F30" w:rsidRDefault="00E02F30">
      <w:pPr>
        <w:widowControl w:val="0"/>
        <w:numPr>
          <w:ilvl w:val="0"/>
          <w:numId w:val="88"/>
        </w:numPr>
        <w:adjustRightInd w:val="0"/>
        <w:spacing w:after="0" w:line="276" w:lineRule="auto"/>
        <w:ind w:left="426"/>
        <w:jc w:val="both"/>
        <w:textAlignment w:val="baseline"/>
        <w:rPr>
          <w:rFonts w:eastAsia="Calibri" w:cs="Arial"/>
          <w:snapToGrid w:val="0"/>
          <w:szCs w:val="24"/>
          <w:lang w:eastAsia="pl-PL"/>
        </w:rPr>
      </w:pPr>
      <w:r w:rsidRPr="00E02F30">
        <w:rPr>
          <w:rFonts w:eastAsia="Calibri" w:cs="Arial"/>
          <w:snapToGrid w:val="0"/>
          <w:szCs w:val="24"/>
          <w:lang w:eastAsia="pl-PL"/>
        </w:rPr>
        <w:t>Magazynowanie i przygotowanie surowców, półfabrykatów do produkcji (od temperatury otoczenia do 100°C),</w:t>
      </w:r>
    </w:p>
    <w:p w14:paraId="672F8576" w14:textId="77777777" w:rsidR="00E02F30" w:rsidRPr="00E02F30" w:rsidRDefault="00E02F30">
      <w:pPr>
        <w:widowControl w:val="0"/>
        <w:numPr>
          <w:ilvl w:val="0"/>
          <w:numId w:val="88"/>
        </w:numPr>
        <w:adjustRightInd w:val="0"/>
        <w:spacing w:after="0" w:line="276" w:lineRule="auto"/>
        <w:ind w:left="426"/>
        <w:jc w:val="both"/>
        <w:textAlignment w:val="baseline"/>
        <w:rPr>
          <w:rFonts w:eastAsia="Calibri" w:cs="Arial"/>
          <w:snapToGrid w:val="0"/>
          <w:szCs w:val="24"/>
          <w:lang w:eastAsia="pl-PL"/>
        </w:rPr>
      </w:pPr>
      <w:r w:rsidRPr="00E02F30">
        <w:rPr>
          <w:rFonts w:eastAsia="Calibri" w:cs="Arial"/>
          <w:snapToGrid w:val="0"/>
          <w:szCs w:val="24"/>
          <w:lang w:eastAsia="pl-PL"/>
        </w:rPr>
        <w:t>Kondensacja - właściwa i próżniowa/</w:t>
      </w:r>
      <w:proofErr w:type="spellStart"/>
      <w:r w:rsidRPr="00E02F30">
        <w:rPr>
          <w:rFonts w:eastAsia="Calibri" w:cs="Arial"/>
          <w:snapToGrid w:val="0"/>
          <w:szCs w:val="24"/>
          <w:lang w:eastAsia="pl-PL"/>
        </w:rPr>
        <w:t>przeestryfikowanie</w:t>
      </w:r>
      <w:proofErr w:type="spellEnd"/>
      <w:r w:rsidRPr="00E02F30">
        <w:rPr>
          <w:rFonts w:eastAsia="Calibri" w:cs="Arial"/>
          <w:snapToGrid w:val="0"/>
          <w:szCs w:val="24"/>
          <w:lang w:eastAsia="pl-PL"/>
        </w:rPr>
        <w:t xml:space="preserve"> (do temperatury 230°C, ciśnienie podczas kondensacji do 0,8 </w:t>
      </w:r>
      <w:proofErr w:type="spellStart"/>
      <w:r w:rsidRPr="00E02F30">
        <w:rPr>
          <w:rFonts w:eastAsia="Calibri" w:cs="Arial"/>
          <w:snapToGrid w:val="0"/>
          <w:szCs w:val="24"/>
          <w:lang w:eastAsia="pl-PL"/>
        </w:rPr>
        <w:t>MPa</w:t>
      </w:r>
      <w:proofErr w:type="spellEnd"/>
      <w:r w:rsidRPr="00E02F30">
        <w:rPr>
          <w:rFonts w:eastAsia="Calibri" w:cs="Arial"/>
          <w:snapToGrid w:val="0"/>
          <w:szCs w:val="24"/>
          <w:lang w:eastAsia="pl-PL"/>
        </w:rPr>
        <w:t xml:space="preserve">, podciśnienie podczas </w:t>
      </w:r>
      <w:proofErr w:type="spellStart"/>
      <w:r w:rsidRPr="00E02F30">
        <w:rPr>
          <w:rFonts w:eastAsia="Calibri" w:cs="Arial"/>
          <w:snapToGrid w:val="0"/>
          <w:szCs w:val="24"/>
          <w:lang w:eastAsia="pl-PL"/>
        </w:rPr>
        <w:t>przeestryfikowania</w:t>
      </w:r>
      <w:proofErr w:type="spellEnd"/>
      <w:r w:rsidRPr="00E02F30">
        <w:rPr>
          <w:rFonts w:eastAsia="Calibri" w:cs="Arial"/>
          <w:snapToGrid w:val="0"/>
          <w:szCs w:val="24"/>
          <w:lang w:eastAsia="pl-PL"/>
        </w:rPr>
        <w:t xml:space="preserve"> do: 0,09 </w:t>
      </w:r>
      <w:proofErr w:type="spellStart"/>
      <w:r w:rsidRPr="00E02F30">
        <w:rPr>
          <w:rFonts w:eastAsia="Calibri" w:cs="Arial"/>
          <w:snapToGrid w:val="0"/>
          <w:szCs w:val="24"/>
          <w:lang w:eastAsia="pl-PL"/>
        </w:rPr>
        <w:t>MPa</w:t>
      </w:r>
      <w:proofErr w:type="spellEnd"/>
      <w:r w:rsidRPr="00E02F30">
        <w:rPr>
          <w:rFonts w:eastAsia="Calibri" w:cs="Arial"/>
          <w:snapToGrid w:val="0"/>
          <w:szCs w:val="24"/>
          <w:lang w:eastAsia="pl-PL"/>
        </w:rPr>
        <w:t>) – do 20 h,</w:t>
      </w:r>
    </w:p>
    <w:p w14:paraId="251FDC8E" w14:textId="77777777" w:rsidR="00E02F30" w:rsidRPr="00E02F30" w:rsidRDefault="00E02F30">
      <w:pPr>
        <w:widowControl w:val="0"/>
        <w:numPr>
          <w:ilvl w:val="0"/>
          <w:numId w:val="88"/>
        </w:numPr>
        <w:adjustRightInd w:val="0"/>
        <w:spacing w:after="0" w:line="276" w:lineRule="auto"/>
        <w:ind w:left="426"/>
        <w:jc w:val="both"/>
        <w:textAlignment w:val="baseline"/>
        <w:rPr>
          <w:rFonts w:eastAsia="Calibri" w:cs="Arial"/>
          <w:snapToGrid w:val="0"/>
          <w:szCs w:val="24"/>
          <w:lang w:eastAsia="pl-PL"/>
        </w:rPr>
      </w:pPr>
      <w:r w:rsidRPr="00E02F30">
        <w:rPr>
          <w:rFonts w:eastAsia="Calibri" w:cs="Arial"/>
          <w:snapToGrid w:val="0"/>
          <w:szCs w:val="24"/>
          <w:lang w:eastAsia="pl-PL"/>
        </w:rPr>
        <w:t>Magazynowanie i konfekcja poliestrów nasyconych (w temperaturze do 30 °C).</w:t>
      </w:r>
    </w:p>
    <w:p w14:paraId="525D0183" w14:textId="77777777" w:rsidR="00E02F30" w:rsidRPr="00E02F30" w:rsidRDefault="00E02F30" w:rsidP="00E02F30">
      <w:pPr>
        <w:keepNext/>
        <w:spacing w:after="0" w:line="276" w:lineRule="auto"/>
        <w:jc w:val="both"/>
        <w:rPr>
          <w:rFonts w:eastAsia="Times New Roman" w:cs="Arial"/>
          <w:szCs w:val="24"/>
          <w:lang w:eastAsia="pl-PL"/>
        </w:rPr>
      </w:pPr>
      <w:r w:rsidRPr="00E02F30">
        <w:rPr>
          <w:rFonts w:eastAsia="Times New Roman" w:cs="Arial"/>
          <w:szCs w:val="24"/>
          <w:lang w:eastAsia="pl-PL"/>
        </w:rPr>
        <w:t>W etapie kondensacji w linii ob. 524 i ob. 524 A powietrze z dozowania surowców sypkich będzie oczyszczane w filtrach. Następnie powietrze to będzie kierowane do hydrocyklonu układu hermetyzacji kwaśnej. Oczyszczone powietrze kierowane będzie do powietrza emitorem E-1/Z, natomiast powstałe ścieki z hydrocyklonu kierowane będą do kanalizacji ścieków przemysłowych.</w:t>
      </w:r>
    </w:p>
    <w:p w14:paraId="550FD4D5"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Oczyszczenie powietrza zawierającego związki organiczne z reaktorów, mieszalników i zbiorników prowadzić się będzie jak w punkcie dotyczącym produkcji nienasyconych żywic poliestrowych.</w:t>
      </w:r>
    </w:p>
    <w:p w14:paraId="5B64CBD7"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W linii ob. 501 powietrze z dozowania surowców po oczyszczeniu w filtrze pyłowym DFO-3-3 (Donaldson) będzie kierowane do powietrza emitorem E-7/Z.</w:t>
      </w:r>
    </w:p>
    <w:p w14:paraId="44ECD67D"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W etapie kondensacji powstawać będzie woda kondensacyjna zawierająca składniki (reagenty). Woda ta kierowana będzie do kolumn rektyfikacyjnych / zwrotnych i poddawana będzie procesowi rektyfikacji, tj. rozdziału składników. Odzyskane składniki zawracane będą do produkcji. Podczyszczona woda po skropleniu w skraplaczach kierowana będzie poprzez łapacz do kanalizacji ścieków przemysłowych.</w:t>
      </w:r>
    </w:p>
    <w:p w14:paraId="4CED5C04"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Odpady powstałe z poszczególnych etapów produkcji poliestrów nasyconych oraz łapaczy będą segregowane, pakowane, ważone, znakowane i magazynowane w wyznaczonych miejscach, a następnie będą przekazywane do zewnętrznych odbiorców w celu zagospodarowania.</w:t>
      </w:r>
    </w:p>
    <w:p w14:paraId="48EFE0CA" w14:textId="77777777" w:rsidR="00E02F30" w:rsidRPr="00E02F30" w:rsidRDefault="00E02F30" w:rsidP="00E02F30">
      <w:pPr>
        <w:keepNext/>
        <w:spacing w:before="120" w:after="0" w:line="276" w:lineRule="auto"/>
        <w:jc w:val="both"/>
        <w:rPr>
          <w:rFonts w:eastAsia="Times New Roman" w:cs="Arial"/>
          <w:b/>
          <w:szCs w:val="24"/>
          <w:u w:val="single"/>
          <w:lang w:eastAsia="pl-PL"/>
        </w:rPr>
      </w:pPr>
      <w:r w:rsidRPr="00E02F30">
        <w:rPr>
          <w:rFonts w:eastAsia="Times New Roman" w:cs="Arial"/>
          <w:b/>
          <w:szCs w:val="24"/>
          <w:u w:val="single"/>
          <w:lang w:eastAsia="pl-PL"/>
        </w:rPr>
        <w:t>Proces produkcyjny Żywic KN odbywał się będzie w następujących etapach:</w:t>
      </w:r>
    </w:p>
    <w:p w14:paraId="358F8F55" w14:textId="77777777" w:rsidR="00E02F30" w:rsidRPr="00E02F30" w:rsidRDefault="00E02F30">
      <w:pPr>
        <w:widowControl w:val="0"/>
        <w:numPr>
          <w:ilvl w:val="0"/>
          <w:numId w:val="89"/>
        </w:numPr>
        <w:adjustRightInd w:val="0"/>
        <w:spacing w:after="0" w:line="276" w:lineRule="auto"/>
        <w:ind w:left="284" w:hanging="284"/>
        <w:jc w:val="both"/>
        <w:textAlignment w:val="baseline"/>
        <w:rPr>
          <w:rFonts w:eastAsia="Calibri" w:cs="Arial"/>
          <w:snapToGrid w:val="0"/>
          <w:szCs w:val="24"/>
          <w:lang w:eastAsia="pl-PL"/>
        </w:rPr>
      </w:pPr>
      <w:r w:rsidRPr="00E02F30">
        <w:rPr>
          <w:rFonts w:eastAsia="Calibri" w:cs="Arial"/>
          <w:snapToGrid w:val="0"/>
          <w:szCs w:val="24"/>
          <w:lang w:eastAsia="pl-PL"/>
        </w:rPr>
        <w:t>Magazynowanie i przygotowanie surowców do produkcji (w temp. do 50° C),</w:t>
      </w:r>
    </w:p>
    <w:p w14:paraId="5F7A8392" w14:textId="77777777" w:rsidR="00E02F30" w:rsidRPr="00E02F30" w:rsidRDefault="00E02F30">
      <w:pPr>
        <w:widowControl w:val="0"/>
        <w:numPr>
          <w:ilvl w:val="0"/>
          <w:numId w:val="89"/>
        </w:numPr>
        <w:adjustRightInd w:val="0"/>
        <w:spacing w:after="0" w:line="276" w:lineRule="auto"/>
        <w:ind w:left="284" w:hanging="284"/>
        <w:jc w:val="both"/>
        <w:textAlignment w:val="baseline"/>
        <w:rPr>
          <w:rFonts w:eastAsia="Calibri" w:cs="Arial"/>
          <w:snapToGrid w:val="0"/>
          <w:szCs w:val="24"/>
          <w:lang w:eastAsia="pl-PL"/>
        </w:rPr>
      </w:pPr>
      <w:r w:rsidRPr="00E02F30">
        <w:rPr>
          <w:rFonts w:eastAsia="Calibri" w:cs="Arial"/>
          <w:snapToGrid w:val="0"/>
          <w:szCs w:val="24"/>
          <w:lang w:eastAsia="pl-PL"/>
        </w:rPr>
        <w:t>Kondensacja i modyfikacja (w temperaturze do 220 °C) – do 10 h,</w:t>
      </w:r>
    </w:p>
    <w:p w14:paraId="7A16741E" w14:textId="77777777" w:rsidR="00E02F30" w:rsidRPr="00E02F30" w:rsidRDefault="00E02F30">
      <w:pPr>
        <w:widowControl w:val="0"/>
        <w:numPr>
          <w:ilvl w:val="0"/>
          <w:numId w:val="89"/>
        </w:numPr>
        <w:adjustRightInd w:val="0"/>
        <w:spacing w:after="0" w:line="276" w:lineRule="auto"/>
        <w:ind w:left="284" w:hanging="284"/>
        <w:jc w:val="both"/>
        <w:textAlignment w:val="baseline"/>
        <w:rPr>
          <w:rFonts w:eastAsia="Calibri" w:cs="Arial"/>
          <w:snapToGrid w:val="0"/>
          <w:szCs w:val="24"/>
          <w:lang w:eastAsia="pl-PL"/>
        </w:rPr>
      </w:pPr>
      <w:r w:rsidRPr="00E02F30">
        <w:rPr>
          <w:rFonts w:eastAsia="Calibri" w:cs="Arial"/>
          <w:snapToGrid w:val="0"/>
          <w:szCs w:val="24"/>
          <w:lang w:eastAsia="pl-PL"/>
        </w:rPr>
        <w:t xml:space="preserve">Rozdrabnianie - </w:t>
      </w:r>
      <w:proofErr w:type="spellStart"/>
      <w:r w:rsidRPr="00E02F30">
        <w:rPr>
          <w:rFonts w:eastAsia="Calibri" w:cs="Arial"/>
          <w:snapToGrid w:val="0"/>
          <w:szCs w:val="24"/>
          <w:lang w:eastAsia="pl-PL"/>
        </w:rPr>
        <w:t>łuskowanie</w:t>
      </w:r>
      <w:proofErr w:type="spellEnd"/>
      <w:r w:rsidRPr="00E02F30">
        <w:rPr>
          <w:rFonts w:eastAsia="Calibri" w:cs="Arial"/>
          <w:snapToGrid w:val="0"/>
          <w:szCs w:val="24"/>
          <w:lang w:eastAsia="pl-PL"/>
        </w:rPr>
        <w:t xml:space="preserve"> (w temperaturze do 170 °C) – ok. 16 h,</w:t>
      </w:r>
    </w:p>
    <w:p w14:paraId="4A719B4F" w14:textId="77777777" w:rsidR="00E02F30" w:rsidRPr="00E02F30" w:rsidRDefault="00E02F30">
      <w:pPr>
        <w:widowControl w:val="0"/>
        <w:numPr>
          <w:ilvl w:val="0"/>
          <w:numId w:val="89"/>
        </w:numPr>
        <w:adjustRightInd w:val="0"/>
        <w:spacing w:after="0" w:line="276" w:lineRule="auto"/>
        <w:ind w:left="284" w:hanging="284"/>
        <w:jc w:val="both"/>
        <w:textAlignment w:val="baseline"/>
        <w:rPr>
          <w:rFonts w:eastAsia="Calibri" w:cs="Arial"/>
          <w:snapToGrid w:val="0"/>
          <w:szCs w:val="24"/>
          <w:lang w:eastAsia="pl-PL"/>
        </w:rPr>
      </w:pPr>
      <w:r w:rsidRPr="00E02F30">
        <w:rPr>
          <w:rFonts w:eastAsia="Calibri" w:cs="Arial"/>
          <w:snapToGrid w:val="0"/>
          <w:szCs w:val="24"/>
          <w:lang w:eastAsia="pl-PL"/>
        </w:rPr>
        <w:t>Magazynowanie i konfekcja Żywic KN (w temperaturze otoczenia).</w:t>
      </w:r>
    </w:p>
    <w:p w14:paraId="035FFBA5"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W etapie kondensacji będzie powstawał amoniak, który będzie absorbowany w wodzie. Powstałe ścieki z absorpcji kierowane będą do kanalizacji ścieków przemysłowych.</w:t>
      </w:r>
    </w:p>
    <w:p w14:paraId="1445A988"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Odpady powstałe w poszczególnych etapach produkcji Żywic KN będą segregowane, pakowane, ważone, znakowane i magazynowane w wyznaczonych miejscach, a następnie będą przekazywane do zewnętrznych odbiorców w celu zagospodarowania.</w:t>
      </w:r>
    </w:p>
    <w:p w14:paraId="4F858FE9" w14:textId="77777777" w:rsidR="00E02F30" w:rsidRPr="00E02F30" w:rsidRDefault="00E02F30" w:rsidP="00E02F30">
      <w:pPr>
        <w:keepNext/>
        <w:spacing w:before="120" w:after="60" w:line="276" w:lineRule="auto"/>
        <w:jc w:val="both"/>
        <w:rPr>
          <w:rFonts w:eastAsia="Times New Roman" w:cs="Arial"/>
          <w:b/>
          <w:szCs w:val="24"/>
          <w:u w:val="single"/>
          <w:lang w:eastAsia="pl-PL"/>
        </w:rPr>
      </w:pPr>
      <w:r w:rsidRPr="00E02F30">
        <w:rPr>
          <w:rFonts w:eastAsia="Times New Roman" w:cs="Arial"/>
          <w:b/>
          <w:szCs w:val="24"/>
          <w:u w:val="single"/>
          <w:lang w:eastAsia="pl-PL"/>
        </w:rPr>
        <w:t xml:space="preserve">Proces produkcyjny nienasyconych żywic poliestrowych na bazie </w:t>
      </w:r>
      <w:proofErr w:type="spellStart"/>
      <w:r w:rsidRPr="00E02F30">
        <w:rPr>
          <w:rFonts w:eastAsia="Times New Roman" w:cs="Arial"/>
          <w:b/>
          <w:szCs w:val="24"/>
          <w:u w:val="single"/>
          <w:lang w:eastAsia="pl-PL"/>
        </w:rPr>
        <w:t>dicyklopentadienu</w:t>
      </w:r>
      <w:proofErr w:type="spellEnd"/>
      <w:r w:rsidRPr="00E02F30">
        <w:rPr>
          <w:rFonts w:eastAsia="Times New Roman" w:cs="Arial"/>
          <w:b/>
          <w:szCs w:val="24"/>
          <w:u w:val="single"/>
          <w:lang w:eastAsia="pl-PL"/>
        </w:rPr>
        <w:t xml:space="preserve"> (DCPD) odbywał się będzie w następujących etapach:</w:t>
      </w:r>
    </w:p>
    <w:p w14:paraId="51EEBEC0" w14:textId="77777777" w:rsidR="00E02F30" w:rsidRPr="00E02F30" w:rsidRDefault="00E02F30">
      <w:pPr>
        <w:widowControl w:val="0"/>
        <w:numPr>
          <w:ilvl w:val="0"/>
          <w:numId w:val="90"/>
        </w:numPr>
        <w:adjustRightInd w:val="0"/>
        <w:spacing w:after="0" w:line="276" w:lineRule="auto"/>
        <w:ind w:left="426" w:hanging="284"/>
        <w:jc w:val="both"/>
        <w:textAlignment w:val="baseline"/>
        <w:rPr>
          <w:rFonts w:eastAsia="Calibri" w:cs="Arial"/>
          <w:snapToGrid w:val="0"/>
          <w:szCs w:val="24"/>
          <w:lang w:eastAsia="pl-PL"/>
        </w:rPr>
      </w:pPr>
      <w:r w:rsidRPr="00E02F30">
        <w:rPr>
          <w:rFonts w:eastAsia="Calibri" w:cs="Arial"/>
          <w:snapToGrid w:val="0"/>
          <w:szCs w:val="24"/>
          <w:lang w:eastAsia="pl-PL"/>
        </w:rPr>
        <w:t>Magazynowanie, przygotowanie surowców, półfabrykatów do produkcji (od temperatury otoczenia do 60 °C),</w:t>
      </w:r>
    </w:p>
    <w:p w14:paraId="4F18B52C" w14:textId="77777777" w:rsidR="00E02F30" w:rsidRPr="00E02F30" w:rsidRDefault="00E02F30">
      <w:pPr>
        <w:widowControl w:val="0"/>
        <w:numPr>
          <w:ilvl w:val="0"/>
          <w:numId w:val="90"/>
        </w:numPr>
        <w:adjustRightInd w:val="0"/>
        <w:spacing w:after="0" w:line="276" w:lineRule="auto"/>
        <w:ind w:left="426" w:hanging="284"/>
        <w:jc w:val="both"/>
        <w:textAlignment w:val="baseline"/>
        <w:rPr>
          <w:rFonts w:eastAsia="Calibri" w:cs="Arial"/>
          <w:snapToGrid w:val="0"/>
          <w:szCs w:val="24"/>
          <w:lang w:eastAsia="pl-PL"/>
        </w:rPr>
      </w:pPr>
      <w:r w:rsidRPr="00E02F30">
        <w:rPr>
          <w:rFonts w:eastAsia="Calibri" w:cs="Arial"/>
          <w:snapToGrid w:val="0"/>
          <w:szCs w:val="24"/>
          <w:lang w:eastAsia="pl-PL"/>
        </w:rPr>
        <w:t>Hydroliza bezwodnika maleinowego z wodą,</w:t>
      </w:r>
    </w:p>
    <w:p w14:paraId="01EB48A2" w14:textId="77777777" w:rsidR="00E02F30" w:rsidRPr="00E02F30" w:rsidRDefault="00E02F30">
      <w:pPr>
        <w:widowControl w:val="0"/>
        <w:numPr>
          <w:ilvl w:val="0"/>
          <w:numId w:val="90"/>
        </w:numPr>
        <w:adjustRightInd w:val="0"/>
        <w:spacing w:after="0" w:line="276" w:lineRule="auto"/>
        <w:ind w:left="426" w:hanging="284"/>
        <w:jc w:val="both"/>
        <w:textAlignment w:val="baseline"/>
        <w:rPr>
          <w:rFonts w:eastAsia="Calibri" w:cs="Arial"/>
          <w:snapToGrid w:val="0"/>
          <w:szCs w:val="24"/>
          <w:lang w:eastAsia="pl-PL"/>
        </w:rPr>
      </w:pPr>
      <w:r w:rsidRPr="00E02F30">
        <w:rPr>
          <w:rFonts w:eastAsia="Calibri" w:cs="Arial"/>
          <w:snapToGrid w:val="0"/>
          <w:szCs w:val="24"/>
          <w:lang w:eastAsia="pl-PL"/>
        </w:rPr>
        <w:t xml:space="preserve">Addycja </w:t>
      </w:r>
      <w:proofErr w:type="spellStart"/>
      <w:r w:rsidRPr="00E02F30">
        <w:rPr>
          <w:rFonts w:eastAsia="Calibri" w:cs="Arial"/>
          <w:snapToGrid w:val="0"/>
          <w:szCs w:val="24"/>
          <w:lang w:eastAsia="pl-PL"/>
        </w:rPr>
        <w:t>dicyklopentadienu</w:t>
      </w:r>
      <w:proofErr w:type="spellEnd"/>
      <w:r w:rsidRPr="00E02F30">
        <w:rPr>
          <w:rFonts w:eastAsia="Calibri" w:cs="Arial"/>
          <w:snapToGrid w:val="0"/>
          <w:szCs w:val="24"/>
          <w:lang w:eastAsia="pl-PL"/>
        </w:rPr>
        <w:t xml:space="preserve"> (DCPD) do kwasu maleinowego,</w:t>
      </w:r>
    </w:p>
    <w:p w14:paraId="3A4E14B1" w14:textId="77777777" w:rsidR="00E02F30" w:rsidRPr="00E02F30" w:rsidRDefault="00E02F30">
      <w:pPr>
        <w:widowControl w:val="0"/>
        <w:numPr>
          <w:ilvl w:val="0"/>
          <w:numId w:val="90"/>
        </w:numPr>
        <w:adjustRightInd w:val="0"/>
        <w:spacing w:after="0" w:line="276" w:lineRule="auto"/>
        <w:ind w:left="426" w:hanging="284"/>
        <w:jc w:val="both"/>
        <w:textAlignment w:val="baseline"/>
        <w:rPr>
          <w:rFonts w:eastAsia="Calibri" w:cs="Arial"/>
          <w:snapToGrid w:val="0"/>
          <w:szCs w:val="24"/>
          <w:lang w:eastAsia="pl-PL"/>
        </w:rPr>
      </w:pPr>
      <w:r w:rsidRPr="00E02F30">
        <w:rPr>
          <w:rFonts w:eastAsia="Calibri" w:cs="Arial"/>
          <w:snapToGrid w:val="0"/>
          <w:szCs w:val="24"/>
          <w:lang w:eastAsia="pl-PL"/>
        </w:rPr>
        <w:t xml:space="preserve">Kondensacja właściwa i próżniowa – otrzymywanie </w:t>
      </w:r>
      <w:proofErr w:type="spellStart"/>
      <w:r w:rsidRPr="00E02F30">
        <w:rPr>
          <w:rFonts w:eastAsia="Calibri" w:cs="Arial"/>
          <w:snapToGrid w:val="0"/>
          <w:szCs w:val="24"/>
          <w:lang w:eastAsia="pl-PL"/>
        </w:rPr>
        <w:t>alkidu</w:t>
      </w:r>
      <w:proofErr w:type="spellEnd"/>
      <w:r w:rsidRPr="00E02F30">
        <w:rPr>
          <w:rFonts w:eastAsia="Calibri" w:cs="Arial"/>
          <w:snapToGrid w:val="0"/>
          <w:szCs w:val="24"/>
          <w:lang w:eastAsia="pl-PL"/>
        </w:rPr>
        <w:t xml:space="preserve"> (temperatura do 200 °C, podciśnienie podczas kondensacji próżniowej: 0,07 </w:t>
      </w:r>
      <w:proofErr w:type="spellStart"/>
      <w:r w:rsidRPr="00E02F30">
        <w:rPr>
          <w:rFonts w:eastAsia="Calibri" w:cs="Arial"/>
          <w:snapToGrid w:val="0"/>
          <w:szCs w:val="24"/>
          <w:lang w:eastAsia="pl-PL"/>
        </w:rPr>
        <w:t>MPa</w:t>
      </w:r>
      <w:proofErr w:type="spellEnd"/>
      <w:r w:rsidRPr="00E02F30">
        <w:rPr>
          <w:rFonts w:eastAsia="Calibri" w:cs="Arial"/>
          <w:snapToGrid w:val="0"/>
          <w:szCs w:val="24"/>
          <w:lang w:eastAsia="pl-PL"/>
        </w:rPr>
        <w:t>) – do 40 h,</w:t>
      </w:r>
    </w:p>
    <w:p w14:paraId="607C99BA" w14:textId="77777777" w:rsidR="00E02F30" w:rsidRPr="00E02F30" w:rsidRDefault="00E02F30">
      <w:pPr>
        <w:widowControl w:val="0"/>
        <w:numPr>
          <w:ilvl w:val="0"/>
          <w:numId w:val="90"/>
        </w:numPr>
        <w:adjustRightInd w:val="0"/>
        <w:spacing w:after="0" w:line="276" w:lineRule="auto"/>
        <w:ind w:left="426" w:hanging="284"/>
        <w:jc w:val="both"/>
        <w:textAlignment w:val="baseline"/>
        <w:rPr>
          <w:rFonts w:eastAsia="Calibri" w:cs="Arial"/>
          <w:snapToGrid w:val="0"/>
          <w:szCs w:val="24"/>
          <w:lang w:eastAsia="pl-PL"/>
        </w:rPr>
      </w:pPr>
      <w:r w:rsidRPr="00E02F30">
        <w:rPr>
          <w:rFonts w:eastAsia="Calibri" w:cs="Arial"/>
          <w:snapToGrid w:val="0"/>
          <w:szCs w:val="24"/>
          <w:lang w:eastAsia="pl-PL"/>
        </w:rPr>
        <w:t xml:space="preserve">Rozpuszczanie </w:t>
      </w:r>
      <w:proofErr w:type="spellStart"/>
      <w:r w:rsidRPr="00E02F30">
        <w:rPr>
          <w:rFonts w:eastAsia="Calibri" w:cs="Arial"/>
          <w:snapToGrid w:val="0"/>
          <w:szCs w:val="24"/>
          <w:lang w:eastAsia="pl-PL"/>
        </w:rPr>
        <w:t>alkidu</w:t>
      </w:r>
      <w:proofErr w:type="spellEnd"/>
      <w:r w:rsidRPr="00E02F30">
        <w:rPr>
          <w:rFonts w:eastAsia="Calibri" w:cs="Arial"/>
          <w:snapToGrid w:val="0"/>
          <w:szCs w:val="24"/>
          <w:lang w:eastAsia="pl-PL"/>
        </w:rPr>
        <w:t xml:space="preserve"> – otrzymywanie nienasyconych żywic poliestrowych (od temperatury otoczenia do 70 °C) – do 20 h,</w:t>
      </w:r>
    </w:p>
    <w:p w14:paraId="272253BB" w14:textId="77777777" w:rsidR="00E02F30" w:rsidRPr="00E02F30" w:rsidRDefault="00E02F30">
      <w:pPr>
        <w:widowControl w:val="0"/>
        <w:numPr>
          <w:ilvl w:val="0"/>
          <w:numId w:val="90"/>
        </w:numPr>
        <w:adjustRightInd w:val="0"/>
        <w:spacing w:after="0" w:line="276" w:lineRule="auto"/>
        <w:ind w:left="426" w:hanging="284"/>
        <w:jc w:val="both"/>
        <w:textAlignment w:val="baseline"/>
        <w:rPr>
          <w:rFonts w:eastAsia="Calibri" w:cs="Arial"/>
          <w:snapToGrid w:val="0"/>
          <w:szCs w:val="24"/>
          <w:lang w:eastAsia="pl-PL"/>
        </w:rPr>
      </w:pPr>
      <w:r w:rsidRPr="00E02F30">
        <w:rPr>
          <w:rFonts w:eastAsia="Calibri" w:cs="Arial"/>
          <w:snapToGrid w:val="0"/>
          <w:szCs w:val="24"/>
          <w:lang w:eastAsia="pl-PL"/>
        </w:rPr>
        <w:t>Modyfikacja nienasyconych żywic poliestrowych (od temperatury otoczenia do 50 °C) – do 20 h,</w:t>
      </w:r>
    </w:p>
    <w:p w14:paraId="6AF2FAA2" w14:textId="77777777" w:rsidR="00E02F30" w:rsidRPr="00E02F30" w:rsidRDefault="00E02F30">
      <w:pPr>
        <w:widowControl w:val="0"/>
        <w:numPr>
          <w:ilvl w:val="0"/>
          <w:numId w:val="90"/>
        </w:numPr>
        <w:adjustRightInd w:val="0"/>
        <w:spacing w:after="0" w:line="276" w:lineRule="auto"/>
        <w:ind w:left="426" w:hanging="284"/>
        <w:jc w:val="both"/>
        <w:textAlignment w:val="baseline"/>
        <w:rPr>
          <w:rFonts w:eastAsia="Calibri" w:cs="Arial"/>
          <w:snapToGrid w:val="0"/>
          <w:szCs w:val="24"/>
          <w:lang w:eastAsia="pl-PL"/>
        </w:rPr>
      </w:pPr>
      <w:r w:rsidRPr="00E02F30">
        <w:rPr>
          <w:rFonts w:eastAsia="Calibri" w:cs="Arial"/>
          <w:snapToGrid w:val="0"/>
          <w:szCs w:val="24"/>
          <w:lang w:eastAsia="pl-PL"/>
        </w:rPr>
        <w:t xml:space="preserve">Magazynowanie i konfekcja nienasyconych żywic poliestrowych (w temperaturze do 30 °C). </w:t>
      </w:r>
    </w:p>
    <w:p w14:paraId="0686008E"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 xml:space="preserve">W trakcie syntezy nienasyconych żywic poliestrowych na bazie DCPD w reaktorze nr 2 i 3 w obiekcie 524 emitowane gazy i pyły oczyszczane będą na tych samych urządzeniach oczyszczających jak w przypadku nienasyconych żywic poliestrowych. Strumień powietrza dochodzący z dozowania surowców sypkich oczyszczany będzie w układzie cyklonu lub filtra oraz hydrocyklonu i po oczyszczeniu kierowany będzie do emitora E-1/Z. Natomiast strumień powietrza z układu reaktora nr 2 i 3, mieszalnika i zbiorników kierowany będzie do oczyszczenia w dopalaczu termicznym, skąd po oczyszczeniu odprowadzany będzie kominem- emitorem E-2/Z do powietrza atmosferycznego. Etapy i parametry pracy oraz charakterystyka urządzeń oczyszczających jest jak powyżej w przypadku procesu produkcyjnego nienasyconych żywic poliestrowych. </w:t>
      </w:r>
    </w:p>
    <w:p w14:paraId="5DD00A0C"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 xml:space="preserve">W etapie kondensacji powstawać będzie woda kondensacyjna zawierająca składniki (reagenty). Woda ta kierowana będzie do kolumn rektyfikacyjnych / zwrotnych, w których poddawana będzie procesowi rektyfikacji, tj. rozdziału składników. Odzyskane składniki zawracane będą do produkcji. Podczyszczona woda po skropleniu w skraplaczach kierowana będzie do zbiornika ścieków DCPD o pojemności V- 6 m³. Ścieki ze zbiornika będą przewożone do obiektu 501, gdzie będą podczyszczane poprzez neutralizację i rozdział na fazę organiczną oraz fazę wodną. Faza organiczna jako odpad będzie pakowana, ważona, znakowana i magazynowana w wyznaczonym miejscu, a następnie będzie przekazywana do zewnętrznych odbiorców celem odzysku lub unieszkodliwienia. Faza wodna przekazywana będzie do systemu kanalizacyjnego Spółki: </w:t>
      </w:r>
      <w:bookmarkStart w:id="5" w:name="_Hlk173152675"/>
      <w:proofErr w:type="spellStart"/>
      <w:r w:rsidRPr="00E02F30">
        <w:rPr>
          <w:rFonts w:eastAsia="Times New Roman" w:cs="Arial"/>
          <w:szCs w:val="24"/>
          <w:lang w:eastAsia="pl-PL"/>
        </w:rPr>
        <w:t>Qemetica</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Agricultural</w:t>
      </w:r>
      <w:proofErr w:type="spellEnd"/>
      <w:r w:rsidRPr="00E02F30">
        <w:rPr>
          <w:rFonts w:eastAsia="Times New Roman" w:cs="Arial"/>
          <w:szCs w:val="24"/>
          <w:lang w:eastAsia="pl-PL"/>
        </w:rPr>
        <w:t xml:space="preserve"> Solutions Poland S.A. (wcześniej CIECH Sarzyna S.A.), </w:t>
      </w:r>
      <w:bookmarkEnd w:id="5"/>
      <w:r w:rsidRPr="00E02F30">
        <w:rPr>
          <w:rFonts w:eastAsia="Times New Roman" w:cs="Arial"/>
          <w:szCs w:val="24"/>
          <w:lang w:eastAsia="pl-PL"/>
        </w:rPr>
        <w:t>a następnie do oczyszczania w Komunalnej Biologicznej Oczyszczalni Ścieków Sp. z o.o. w Sarzynie.</w:t>
      </w:r>
    </w:p>
    <w:p w14:paraId="111E4C9F"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 xml:space="preserve">W etapie rozpuszczania </w:t>
      </w:r>
      <w:proofErr w:type="spellStart"/>
      <w:r w:rsidRPr="00E02F30">
        <w:rPr>
          <w:rFonts w:eastAsia="Times New Roman" w:cs="Arial"/>
          <w:szCs w:val="24"/>
          <w:lang w:eastAsia="pl-PL"/>
        </w:rPr>
        <w:t>alkidu</w:t>
      </w:r>
      <w:proofErr w:type="spellEnd"/>
      <w:r w:rsidRPr="00E02F30">
        <w:rPr>
          <w:rFonts w:eastAsia="Times New Roman" w:cs="Arial"/>
          <w:szCs w:val="24"/>
          <w:lang w:eastAsia="pl-PL"/>
        </w:rPr>
        <w:t xml:space="preserve"> w styrenie będą powstawały opary styrenu, które wychładzane będą w układzie chłodnic zwrotnych i skraplaczy. Skroplone składniki (głównie styren) zawracane będą na bieżąco do mieszalnika w którym następować będzie rozpuszczanie </w:t>
      </w:r>
      <w:proofErr w:type="spellStart"/>
      <w:r w:rsidRPr="00E02F30">
        <w:rPr>
          <w:rFonts w:eastAsia="Times New Roman" w:cs="Arial"/>
          <w:szCs w:val="24"/>
          <w:lang w:eastAsia="pl-PL"/>
        </w:rPr>
        <w:t>alkidu</w:t>
      </w:r>
      <w:proofErr w:type="spellEnd"/>
      <w:r w:rsidRPr="00E02F30">
        <w:rPr>
          <w:rFonts w:eastAsia="Times New Roman" w:cs="Arial"/>
          <w:szCs w:val="24"/>
          <w:lang w:eastAsia="pl-PL"/>
        </w:rPr>
        <w:t xml:space="preserve">. </w:t>
      </w:r>
    </w:p>
    <w:p w14:paraId="526E3691"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Odpady powstałe z poszczególnych etapów produkcji nienasyconych żywic poliestrowych na bazie DCPD będą segregowane, pakowane, ważone, znakowane i magazynowane w wyznaczonych miejscach, a następnie będą przekazywane do zewnętrznych odbiorców celem odzysku lub unieszkodliwienia.</w:t>
      </w:r>
    </w:p>
    <w:p w14:paraId="69304B77" w14:textId="77777777" w:rsidR="00E02F30" w:rsidRPr="00E02F30" w:rsidRDefault="00E02F30" w:rsidP="00E02F30">
      <w:pPr>
        <w:keepNext/>
        <w:widowControl w:val="0"/>
        <w:adjustRightInd w:val="0"/>
        <w:spacing w:before="360" w:after="0" w:line="276" w:lineRule="auto"/>
        <w:jc w:val="both"/>
        <w:textAlignment w:val="baseline"/>
        <w:outlineLvl w:val="2"/>
        <w:rPr>
          <w:rFonts w:eastAsia="Times New Roman" w:cs="Times New Roman"/>
          <w:b/>
          <w:szCs w:val="20"/>
          <w:lang w:eastAsia="pl-PL"/>
        </w:rPr>
      </w:pPr>
      <w:r w:rsidRPr="00E02F30">
        <w:rPr>
          <w:rFonts w:eastAsia="Times New Roman" w:cs="Times New Roman"/>
          <w:b/>
          <w:szCs w:val="20"/>
          <w:lang w:eastAsia="pl-PL"/>
        </w:rPr>
        <w:t xml:space="preserve">I.2. WYKAZ I PARAMETRY URZĄDZEŃ ISTOTNYCH Z PUNKTU WIDZENIA PRZECIWDZIAŁANIA ZANIECZYSZCZENIOM W </w:t>
      </w:r>
      <w:r w:rsidRPr="00E02F30">
        <w:rPr>
          <w:rFonts w:eastAsia="Times New Roman" w:cs="Arial"/>
          <w:b/>
          <w:szCs w:val="20"/>
          <w:lang w:val="x-none" w:eastAsia="pl-PL"/>
        </w:rPr>
        <w:t>INSTALACJI NIENASYCONYCH ŻYWIC POLIESTROWYCH (Z)</w:t>
      </w:r>
    </w:p>
    <w:p w14:paraId="7CCBF88E" w14:textId="77777777" w:rsidR="00E02F30" w:rsidRPr="00E02F30" w:rsidRDefault="00E02F30" w:rsidP="00E02F30">
      <w:pPr>
        <w:spacing w:after="0" w:line="276" w:lineRule="auto"/>
        <w:jc w:val="both"/>
        <w:rPr>
          <w:rFonts w:eastAsia="Times New Roman" w:cs="Arial"/>
          <w:b/>
          <w:szCs w:val="24"/>
          <w:lang w:eastAsia="pl-PL"/>
        </w:rPr>
      </w:pPr>
      <w:r w:rsidRPr="00E02F30">
        <w:rPr>
          <w:rFonts w:eastAsia="Times New Roman" w:cs="Arial"/>
          <w:b/>
          <w:szCs w:val="24"/>
          <w:lang w:eastAsia="pl-PL"/>
        </w:rPr>
        <w:t>I.2.1. Linia produkcyjna nienasyconych żywic poliestrowych w obiekcie 524 i 524 A</w:t>
      </w:r>
    </w:p>
    <w:p w14:paraId="380B681B" w14:textId="77777777" w:rsidR="00E02F30" w:rsidRPr="00E02F30" w:rsidRDefault="00E02F30" w:rsidP="00E02F30">
      <w:pPr>
        <w:spacing w:after="0" w:line="276" w:lineRule="auto"/>
        <w:jc w:val="both"/>
        <w:rPr>
          <w:rFonts w:eastAsia="Times New Roman" w:cs="Arial"/>
          <w:b/>
          <w:szCs w:val="24"/>
          <w:lang w:eastAsia="pl-PL"/>
        </w:rPr>
      </w:pPr>
      <w:r w:rsidRPr="00E02F30">
        <w:rPr>
          <w:rFonts w:eastAsia="Times New Roman" w:cs="Arial"/>
          <w:b/>
          <w:szCs w:val="24"/>
          <w:lang w:eastAsia="pl-PL"/>
        </w:rPr>
        <w:t>Tabela nr 1</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Przedstawia opis 20 urządzeń stosowanych w lini produkcyjnej instalacji w obiekcie 524 i 524A z punktu widzenia przeciwdziałania zanieczyszczeniom. Jest podana nazwa oraz typ urządzenia, ich ilość, parametry techniczne oraz zabezpieczenia mające na celu ograniczenie emisji do środowiska."/>
      </w:tblPr>
      <w:tblGrid>
        <w:gridCol w:w="486"/>
        <w:gridCol w:w="3072"/>
        <w:gridCol w:w="660"/>
        <w:gridCol w:w="2245"/>
        <w:gridCol w:w="3342"/>
      </w:tblGrid>
      <w:tr w:rsidR="00E02F30" w:rsidRPr="00E02F30" w14:paraId="39B02A07" w14:textId="77777777" w:rsidTr="00A1631B">
        <w:trPr>
          <w:trHeight w:val="465"/>
          <w:tblHeader/>
        </w:trPr>
        <w:tc>
          <w:tcPr>
            <w:tcW w:w="421" w:type="dxa"/>
            <w:vMerge w:val="restart"/>
            <w:shd w:val="clear" w:color="auto" w:fill="auto"/>
            <w:vAlign w:val="center"/>
          </w:tcPr>
          <w:p w14:paraId="28A5ABDA" w14:textId="77777777" w:rsidR="00E02F30" w:rsidRPr="00E02F30" w:rsidRDefault="00E02F30" w:rsidP="00E02F30">
            <w:pPr>
              <w:spacing w:after="0" w:line="276" w:lineRule="auto"/>
              <w:jc w:val="both"/>
              <w:rPr>
                <w:rFonts w:ascii="Calibri" w:eastAsia="Times New Roman" w:hAnsi="Calibri" w:cs="Times New Roman"/>
                <w:b/>
                <w:sz w:val="22"/>
                <w:lang w:eastAsia="pl-PL"/>
              </w:rPr>
            </w:pPr>
            <w:r w:rsidRPr="00E02F30">
              <w:rPr>
                <w:rFonts w:ascii="Calibri" w:eastAsia="Times New Roman" w:hAnsi="Calibri" w:cs="Times New Roman"/>
                <w:b/>
                <w:sz w:val="22"/>
                <w:lang w:eastAsia="pl-PL"/>
              </w:rPr>
              <w:t>Lp.</w:t>
            </w:r>
          </w:p>
        </w:tc>
        <w:tc>
          <w:tcPr>
            <w:tcW w:w="3095" w:type="dxa"/>
            <w:vMerge w:val="restart"/>
            <w:shd w:val="clear" w:color="auto" w:fill="auto"/>
            <w:vAlign w:val="center"/>
          </w:tcPr>
          <w:p w14:paraId="76BE8E14" w14:textId="77777777" w:rsidR="00E02F30" w:rsidRPr="00E02F30" w:rsidRDefault="00E02F30" w:rsidP="00E02F30">
            <w:pPr>
              <w:spacing w:after="0" w:line="276" w:lineRule="auto"/>
              <w:jc w:val="center"/>
              <w:rPr>
                <w:rFonts w:ascii="Calibri" w:eastAsia="Times New Roman" w:hAnsi="Calibri" w:cs="Times New Roman"/>
                <w:b/>
                <w:sz w:val="22"/>
                <w:lang w:eastAsia="pl-PL"/>
              </w:rPr>
            </w:pPr>
            <w:r w:rsidRPr="00E02F30">
              <w:rPr>
                <w:rFonts w:ascii="Calibri" w:eastAsia="Times New Roman" w:hAnsi="Calibri" w:cs="Times New Roman"/>
                <w:b/>
                <w:sz w:val="22"/>
                <w:lang w:eastAsia="pl-PL"/>
              </w:rPr>
              <w:t>Nazwa, typ urządzenia</w:t>
            </w:r>
          </w:p>
        </w:tc>
        <w:tc>
          <w:tcPr>
            <w:tcW w:w="661" w:type="dxa"/>
            <w:vMerge w:val="restart"/>
            <w:shd w:val="clear" w:color="auto" w:fill="auto"/>
            <w:vAlign w:val="center"/>
          </w:tcPr>
          <w:p w14:paraId="075D84D6" w14:textId="77777777" w:rsidR="00E02F30" w:rsidRPr="00E02F30" w:rsidRDefault="00E02F30" w:rsidP="00E02F30">
            <w:pPr>
              <w:spacing w:after="0" w:line="276" w:lineRule="auto"/>
              <w:jc w:val="center"/>
              <w:rPr>
                <w:rFonts w:ascii="Calibri" w:eastAsia="Times New Roman" w:hAnsi="Calibri" w:cs="Times New Roman"/>
                <w:b/>
                <w:sz w:val="22"/>
                <w:lang w:eastAsia="pl-PL"/>
              </w:rPr>
            </w:pPr>
            <w:r w:rsidRPr="00E02F30">
              <w:rPr>
                <w:rFonts w:ascii="Calibri" w:eastAsia="Times New Roman" w:hAnsi="Calibri" w:cs="Times New Roman"/>
                <w:b/>
                <w:sz w:val="22"/>
                <w:lang w:eastAsia="pl-PL"/>
              </w:rPr>
              <w:t>Ilość</w:t>
            </w:r>
          </w:p>
          <w:p w14:paraId="29BDCB0D" w14:textId="77777777" w:rsidR="00E02F30" w:rsidRPr="00E02F30" w:rsidRDefault="00E02F30" w:rsidP="00E02F30">
            <w:pPr>
              <w:spacing w:after="0" w:line="276" w:lineRule="auto"/>
              <w:jc w:val="center"/>
              <w:rPr>
                <w:rFonts w:ascii="Calibri" w:eastAsia="Times New Roman" w:hAnsi="Calibri" w:cs="Times New Roman"/>
                <w:b/>
                <w:sz w:val="22"/>
                <w:lang w:eastAsia="pl-PL"/>
              </w:rPr>
            </w:pPr>
            <w:r w:rsidRPr="00E02F30">
              <w:rPr>
                <w:rFonts w:ascii="Calibri" w:eastAsia="Times New Roman" w:hAnsi="Calibri" w:cs="Times New Roman"/>
                <w:b/>
                <w:sz w:val="22"/>
                <w:lang w:eastAsia="pl-PL"/>
              </w:rPr>
              <w:t>szt.</w:t>
            </w:r>
          </w:p>
        </w:tc>
        <w:tc>
          <w:tcPr>
            <w:tcW w:w="2262" w:type="dxa"/>
            <w:vMerge w:val="restart"/>
            <w:shd w:val="clear" w:color="auto" w:fill="auto"/>
            <w:vAlign w:val="center"/>
          </w:tcPr>
          <w:p w14:paraId="71238C3C" w14:textId="77777777" w:rsidR="00E02F30" w:rsidRPr="00E02F30" w:rsidRDefault="00E02F30" w:rsidP="00E02F30">
            <w:pPr>
              <w:spacing w:after="0" w:line="276" w:lineRule="auto"/>
              <w:jc w:val="center"/>
              <w:rPr>
                <w:rFonts w:ascii="Calibri" w:eastAsia="Times New Roman" w:hAnsi="Calibri" w:cs="Times New Roman"/>
                <w:b/>
                <w:sz w:val="22"/>
                <w:lang w:eastAsia="pl-PL"/>
              </w:rPr>
            </w:pPr>
            <w:r w:rsidRPr="00E02F30">
              <w:rPr>
                <w:rFonts w:ascii="Calibri" w:eastAsia="Times New Roman" w:hAnsi="Calibri" w:cs="Times New Roman"/>
                <w:b/>
                <w:sz w:val="22"/>
                <w:lang w:eastAsia="pl-PL"/>
              </w:rPr>
              <w:t>Parametry techniczne</w:t>
            </w:r>
          </w:p>
        </w:tc>
        <w:tc>
          <w:tcPr>
            <w:tcW w:w="3366" w:type="dxa"/>
            <w:vMerge w:val="restart"/>
            <w:shd w:val="clear" w:color="auto" w:fill="auto"/>
            <w:vAlign w:val="center"/>
          </w:tcPr>
          <w:p w14:paraId="7BC7C3D1" w14:textId="77777777" w:rsidR="00E02F30" w:rsidRPr="00E02F30" w:rsidRDefault="00E02F30" w:rsidP="00E02F30">
            <w:pPr>
              <w:spacing w:after="0" w:line="276" w:lineRule="auto"/>
              <w:jc w:val="center"/>
              <w:rPr>
                <w:rFonts w:ascii="Calibri" w:eastAsia="Times New Roman" w:hAnsi="Calibri" w:cs="Times New Roman"/>
                <w:b/>
                <w:sz w:val="22"/>
                <w:lang w:eastAsia="pl-PL"/>
              </w:rPr>
            </w:pPr>
            <w:r w:rsidRPr="00E02F30">
              <w:rPr>
                <w:rFonts w:ascii="Calibri" w:eastAsia="Times New Roman" w:hAnsi="Calibri" w:cs="Times New Roman"/>
                <w:b/>
                <w:sz w:val="22"/>
                <w:lang w:eastAsia="pl-PL"/>
              </w:rPr>
              <w:t>Zabezpieczenie mające na celu ograniczenie emisji do środowiska</w:t>
            </w:r>
          </w:p>
        </w:tc>
      </w:tr>
      <w:tr w:rsidR="00E02F30" w:rsidRPr="00E02F30" w14:paraId="26F6213B" w14:textId="77777777" w:rsidTr="00A1631B">
        <w:trPr>
          <w:trHeight w:val="358"/>
          <w:tblHeader/>
        </w:trPr>
        <w:tc>
          <w:tcPr>
            <w:tcW w:w="421" w:type="dxa"/>
            <w:vMerge/>
            <w:shd w:val="clear" w:color="auto" w:fill="auto"/>
          </w:tcPr>
          <w:p w14:paraId="3649272F" w14:textId="77777777" w:rsidR="00E02F30" w:rsidRPr="00E02F30" w:rsidRDefault="00E02F30" w:rsidP="00E02F30">
            <w:pPr>
              <w:keepNext/>
              <w:spacing w:before="60" w:after="60" w:line="276" w:lineRule="auto"/>
              <w:ind w:firstLine="709"/>
              <w:jc w:val="both"/>
              <w:rPr>
                <w:rFonts w:eastAsia="Times New Roman" w:cs="Arial"/>
                <w:sz w:val="18"/>
                <w:szCs w:val="18"/>
                <w:lang w:eastAsia="pl-PL"/>
              </w:rPr>
            </w:pPr>
          </w:p>
        </w:tc>
        <w:tc>
          <w:tcPr>
            <w:tcW w:w="3095" w:type="dxa"/>
            <w:vMerge/>
            <w:shd w:val="clear" w:color="auto" w:fill="auto"/>
          </w:tcPr>
          <w:p w14:paraId="2F710B58" w14:textId="77777777" w:rsidR="00E02F30" w:rsidRPr="00E02F30" w:rsidRDefault="00E02F30" w:rsidP="00E02F30">
            <w:pPr>
              <w:keepNext/>
              <w:spacing w:before="60" w:after="60" w:line="276" w:lineRule="auto"/>
              <w:ind w:firstLine="709"/>
              <w:jc w:val="both"/>
              <w:rPr>
                <w:rFonts w:eastAsia="Times New Roman" w:cs="Arial"/>
                <w:sz w:val="18"/>
                <w:szCs w:val="18"/>
                <w:lang w:eastAsia="pl-PL"/>
              </w:rPr>
            </w:pPr>
          </w:p>
        </w:tc>
        <w:tc>
          <w:tcPr>
            <w:tcW w:w="661" w:type="dxa"/>
            <w:vMerge/>
            <w:shd w:val="clear" w:color="auto" w:fill="auto"/>
          </w:tcPr>
          <w:p w14:paraId="1ECCFD92" w14:textId="77777777" w:rsidR="00E02F30" w:rsidRPr="00E02F30" w:rsidRDefault="00E02F30" w:rsidP="00E02F30">
            <w:pPr>
              <w:keepNext/>
              <w:spacing w:before="60" w:after="60" w:line="276" w:lineRule="auto"/>
              <w:ind w:firstLine="709"/>
              <w:jc w:val="both"/>
              <w:rPr>
                <w:rFonts w:eastAsia="Times New Roman" w:cs="Arial"/>
                <w:sz w:val="18"/>
                <w:szCs w:val="18"/>
                <w:lang w:eastAsia="pl-PL"/>
              </w:rPr>
            </w:pPr>
          </w:p>
        </w:tc>
        <w:tc>
          <w:tcPr>
            <w:tcW w:w="2262" w:type="dxa"/>
            <w:vMerge/>
            <w:shd w:val="clear" w:color="auto" w:fill="auto"/>
          </w:tcPr>
          <w:p w14:paraId="39289245" w14:textId="77777777" w:rsidR="00E02F30" w:rsidRPr="00E02F30" w:rsidRDefault="00E02F30" w:rsidP="00E02F30">
            <w:pPr>
              <w:keepNext/>
              <w:spacing w:before="60" w:after="60" w:line="276" w:lineRule="auto"/>
              <w:ind w:firstLine="709"/>
              <w:jc w:val="both"/>
              <w:rPr>
                <w:rFonts w:eastAsia="Times New Roman" w:cs="Arial"/>
                <w:sz w:val="18"/>
                <w:szCs w:val="18"/>
                <w:lang w:eastAsia="pl-PL"/>
              </w:rPr>
            </w:pPr>
          </w:p>
        </w:tc>
        <w:tc>
          <w:tcPr>
            <w:tcW w:w="3366" w:type="dxa"/>
            <w:vMerge/>
            <w:shd w:val="clear" w:color="auto" w:fill="auto"/>
          </w:tcPr>
          <w:p w14:paraId="64803ECD" w14:textId="77777777" w:rsidR="00E02F30" w:rsidRPr="00E02F30" w:rsidRDefault="00E02F30" w:rsidP="00E02F30">
            <w:pPr>
              <w:keepNext/>
              <w:spacing w:before="60" w:after="60" w:line="276" w:lineRule="auto"/>
              <w:ind w:firstLine="709"/>
              <w:jc w:val="both"/>
              <w:rPr>
                <w:rFonts w:eastAsia="Times New Roman" w:cs="Arial"/>
                <w:sz w:val="18"/>
                <w:szCs w:val="18"/>
                <w:lang w:eastAsia="pl-PL"/>
              </w:rPr>
            </w:pPr>
          </w:p>
        </w:tc>
      </w:tr>
      <w:tr w:rsidR="00E02F30" w:rsidRPr="00E02F30" w14:paraId="59EA3DD1" w14:textId="77777777" w:rsidTr="00A1631B">
        <w:trPr>
          <w:trHeight w:val="55"/>
        </w:trPr>
        <w:tc>
          <w:tcPr>
            <w:tcW w:w="421" w:type="dxa"/>
          </w:tcPr>
          <w:p w14:paraId="4B659758"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136BECA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Zbiorniki glikoli 1, 2 i 3 (glikol etylenowy i propylenowy )</w:t>
            </w:r>
          </w:p>
        </w:tc>
        <w:tc>
          <w:tcPr>
            <w:tcW w:w="661" w:type="dxa"/>
          </w:tcPr>
          <w:p w14:paraId="2E637D4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3</w:t>
            </w:r>
          </w:p>
        </w:tc>
        <w:tc>
          <w:tcPr>
            <w:tcW w:w="2262" w:type="dxa"/>
          </w:tcPr>
          <w:p w14:paraId="39CA74E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V-63 m</w:t>
            </w:r>
            <w:r w:rsidRPr="00E02F30">
              <w:rPr>
                <w:rFonts w:eastAsia="Times New Roman" w:cs="Arial"/>
                <w:sz w:val="18"/>
                <w:szCs w:val="18"/>
                <w:vertAlign w:val="superscript"/>
                <w:lang w:eastAsia="pl-PL"/>
              </w:rPr>
              <w:t>3</w:t>
            </w:r>
          </w:p>
          <w:p w14:paraId="26F450E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366" w:type="dxa"/>
          </w:tcPr>
          <w:p w14:paraId="05D1BA7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-sygnalizacja maksymalnego napełnienia zbiornika nr 1 i 2 i 3</w:t>
            </w:r>
            <w:r w:rsidRPr="00E02F30">
              <w:rPr>
                <w:rFonts w:eastAsia="Times New Roman" w:cs="Arial"/>
                <w:sz w:val="18"/>
                <w:szCs w:val="18"/>
                <w:lang w:eastAsia="pl-PL"/>
              </w:rPr>
              <w:br/>
              <w:t xml:space="preserve">- zamknięcie hydrauliczne odpowietrzenia zbiornika  </w:t>
            </w:r>
          </w:p>
        </w:tc>
      </w:tr>
      <w:tr w:rsidR="00E02F30" w:rsidRPr="00E02F30" w14:paraId="3FC6CDF3" w14:textId="77777777" w:rsidTr="00A1631B">
        <w:trPr>
          <w:trHeight w:val="918"/>
        </w:trPr>
        <w:tc>
          <w:tcPr>
            <w:tcW w:w="421" w:type="dxa"/>
          </w:tcPr>
          <w:p w14:paraId="0A5260AF" w14:textId="77777777" w:rsidR="00E02F30" w:rsidRPr="00E02F30" w:rsidRDefault="00E02F30">
            <w:pPr>
              <w:keepNext/>
              <w:numPr>
                <w:ilvl w:val="0"/>
                <w:numId w:val="83"/>
              </w:numPr>
              <w:tabs>
                <w:tab w:val="left" w:pos="376"/>
              </w:tabs>
              <w:spacing w:before="40" w:after="40" w:line="276" w:lineRule="auto"/>
              <w:ind w:left="357" w:hanging="357"/>
              <w:jc w:val="both"/>
              <w:rPr>
                <w:rFonts w:eastAsia="Times New Roman" w:cs="Arial"/>
                <w:sz w:val="18"/>
                <w:szCs w:val="18"/>
                <w:lang w:eastAsia="pl-PL"/>
              </w:rPr>
            </w:pPr>
          </w:p>
        </w:tc>
        <w:tc>
          <w:tcPr>
            <w:tcW w:w="3095" w:type="dxa"/>
          </w:tcPr>
          <w:p w14:paraId="1553C05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Zbiornik </w:t>
            </w:r>
            <w:proofErr w:type="spellStart"/>
            <w:r w:rsidRPr="00E02F30">
              <w:rPr>
                <w:rFonts w:eastAsia="Times New Roman" w:cs="Arial"/>
                <w:sz w:val="18"/>
                <w:szCs w:val="18"/>
                <w:lang w:eastAsia="pl-PL"/>
              </w:rPr>
              <w:t>MPDiolu</w:t>
            </w:r>
            <w:proofErr w:type="spellEnd"/>
          </w:p>
        </w:tc>
        <w:tc>
          <w:tcPr>
            <w:tcW w:w="661" w:type="dxa"/>
          </w:tcPr>
          <w:p w14:paraId="4905936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75F3D3A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V-63 m</w:t>
            </w:r>
            <w:r w:rsidRPr="00E02F30">
              <w:rPr>
                <w:rFonts w:eastAsia="Times New Roman" w:cs="Arial"/>
                <w:sz w:val="18"/>
                <w:szCs w:val="18"/>
                <w:vertAlign w:val="superscript"/>
                <w:lang w:eastAsia="pl-PL"/>
              </w:rPr>
              <w:t>3</w:t>
            </w:r>
            <w:r w:rsidRPr="00E02F30">
              <w:rPr>
                <w:rFonts w:eastAsia="Times New Roman" w:cs="Arial"/>
                <w:sz w:val="18"/>
                <w:szCs w:val="18"/>
                <w:lang w:eastAsia="pl-PL"/>
              </w:rPr>
              <w:t>,</w:t>
            </w:r>
          </w:p>
          <w:p w14:paraId="260C226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instalacja grzewczo-chłodząca,( ekran )  </w:t>
            </w:r>
          </w:p>
          <w:p w14:paraId="3A8FECB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warstwa izolacyjna na ściankach</w:t>
            </w:r>
          </w:p>
        </w:tc>
        <w:tc>
          <w:tcPr>
            <w:tcW w:w="3366" w:type="dxa"/>
          </w:tcPr>
          <w:p w14:paraId="3E79A7B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 xml:space="preserve">-sygnalizacja maksymalnego napełnienia zbiornika </w:t>
            </w:r>
          </w:p>
          <w:p w14:paraId="5C22D80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zamknięcie hydrauliczne odpowietrzenia zbiornika </w:t>
            </w:r>
          </w:p>
        </w:tc>
      </w:tr>
      <w:tr w:rsidR="00E02F30" w:rsidRPr="00E02F30" w14:paraId="6A6FB92D" w14:textId="77777777" w:rsidTr="00A1631B">
        <w:trPr>
          <w:trHeight w:val="918"/>
        </w:trPr>
        <w:tc>
          <w:tcPr>
            <w:tcW w:w="421" w:type="dxa"/>
          </w:tcPr>
          <w:p w14:paraId="48D7C6B5"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18EEE90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Zbiornik glikolu dwuetylenowego</w:t>
            </w:r>
          </w:p>
        </w:tc>
        <w:tc>
          <w:tcPr>
            <w:tcW w:w="661" w:type="dxa"/>
          </w:tcPr>
          <w:p w14:paraId="206E217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3C05772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V-100 m</w:t>
            </w:r>
            <w:r w:rsidRPr="00E02F30">
              <w:rPr>
                <w:rFonts w:eastAsia="Times New Roman" w:cs="Arial"/>
                <w:sz w:val="18"/>
                <w:szCs w:val="18"/>
                <w:vertAlign w:val="superscript"/>
                <w:lang w:eastAsia="pl-PL"/>
              </w:rPr>
              <w:t>3</w:t>
            </w:r>
          </w:p>
          <w:p w14:paraId="38B8756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instalacja grzewczo-chłodząca ( ekran ), </w:t>
            </w:r>
          </w:p>
          <w:p w14:paraId="177D85C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warstwa izolacyjna na ściankach</w:t>
            </w:r>
          </w:p>
          <w:p w14:paraId="4582F3F2"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366" w:type="dxa"/>
          </w:tcPr>
          <w:p w14:paraId="4BD5690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 xml:space="preserve">-sygnalizacja maksymalnego napełnienia zbiornika </w:t>
            </w:r>
          </w:p>
          <w:p w14:paraId="552AEA6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zamknięcie hydrauliczne odpowietrzenia zbiornika </w:t>
            </w:r>
          </w:p>
        </w:tc>
      </w:tr>
      <w:tr w:rsidR="00E02F30" w:rsidRPr="00E02F30" w14:paraId="11B79465" w14:textId="77777777" w:rsidTr="00A1631B">
        <w:trPr>
          <w:trHeight w:val="918"/>
        </w:trPr>
        <w:tc>
          <w:tcPr>
            <w:tcW w:w="421" w:type="dxa"/>
          </w:tcPr>
          <w:p w14:paraId="5B1FD6ED"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6F852B4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Zbiornik styrenu</w:t>
            </w:r>
          </w:p>
        </w:tc>
        <w:tc>
          <w:tcPr>
            <w:tcW w:w="661" w:type="dxa"/>
          </w:tcPr>
          <w:p w14:paraId="62DADD5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016A77F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V-150 m</w:t>
            </w:r>
            <w:r w:rsidRPr="00E02F30">
              <w:rPr>
                <w:rFonts w:eastAsia="Times New Roman" w:cs="Arial"/>
                <w:sz w:val="18"/>
                <w:szCs w:val="18"/>
                <w:vertAlign w:val="superscript"/>
                <w:lang w:eastAsia="pl-PL"/>
              </w:rPr>
              <w:t>3</w:t>
            </w:r>
          </w:p>
          <w:p w14:paraId="6C8960B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instalacja grzewczo-chłodząca( ekran ),  </w:t>
            </w:r>
          </w:p>
          <w:p w14:paraId="6D508E2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warstwa izolacyjna na ściankach</w:t>
            </w:r>
          </w:p>
        </w:tc>
        <w:tc>
          <w:tcPr>
            <w:tcW w:w="3366" w:type="dxa"/>
          </w:tcPr>
          <w:p w14:paraId="466B01D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 xml:space="preserve">-sygnalizacja maksymalnego napełnienia zbiornika </w:t>
            </w:r>
          </w:p>
          <w:p w14:paraId="123205C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zamknięcie hydrauliczne odpowietrzenia zbiornika </w:t>
            </w:r>
          </w:p>
          <w:p w14:paraId="2413412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w:t>
            </w:r>
          </w:p>
        </w:tc>
      </w:tr>
      <w:tr w:rsidR="00E02F30" w:rsidRPr="00E02F30" w14:paraId="3D335CDB" w14:textId="77777777" w:rsidTr="00A1631B">
        <w:trPr>
          <w:trHeight w:val="918"/>
        </w:trPr>
        <w:tc>
          <w:tcPr>
            <w:tcW w:w="421" w:type="dxa"/>
          </w:tcPr>
          <w:p w14:paraId="4AC499A4"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7347163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Zbiornik 12 </w:t>
            </w:r>
            <w:proofErr w:type="spellStart"/>
            <w:r w:rsidRPr="00E02F30">
              <w:rPr>
                <w:rFonts w:eastAsia="Times New Roman" w:cs="Arial"/>
                <w:sz w:val="18"/>
                <w:szCs w:val="18"/>
                <w:lang w:eastAsia="pl-PL"/>
              </w:rPr>
              <w:t>dicyklopentadienu</w:t>
            </w:r>
            <w:proofErr w:type="spellEnd"/>
            <w:r w:rsidRPr="00E02F30">
              <w:rPr>
                <w:rFonts w:eastAsia="Times New Roman" w:cs="Arial"/>
                <w:sz w:val="18"/>
                <w:szCs w:val="18"/>
                <w:lang w:eastAsia="pl-PL"/>
              </w:rPr>
              <w:t xml:space="preserve"> (DCPD) </w:t>
            </w:r>
          </w:p>
        </w:tc>
        <w:tc>
          <w:tcPr>
            <w:tcW w:w="661" w:type="dxa"/>
          </w:tcPr>
          <w:p w14:paraId="092B726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62D0A52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V-40 m</w:t>
            </w:r>
            <w:r w:rsidRPr="00E02F30">
              <w:rPr>
                <w:rFonts w:eastAsia="Times New Roman" w:cs="Arial"/>
                <w:sz w:val="18"/>
                <w:szCs w:val="18"/>
                <w:vertAlign w:val="superscript"/>
                <w:lang w:eastAsia="pl-PL"/>
              </w:rPr>
              <w:t>3</w:t>
            </w:r>
          </w:p>
          <w:p w14:paraId="795D54F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warstwa izolacyjna na ściankach</w:t>
            </w:r>
          </w:p>
        </w:tc>
        <w:tc>
          <w:tcPr>
            <w:tcW w:w="3366" w:type="dxa"/>
          </w:tcPr>
          <w:p w14:paraId="0C91424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 xml:space="preserve">-sygnalizacja maksymalnego napełnienia zbiornika </w:t>
            </w:r>
          </w:p>
          <w:p w14:paraId="3BA765D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zamknięcie hydrauliczne odpowietrzenia zbiornika </w:t>
            </w:r>
          </w:p>
          <w:p w14:paraId="1FFAEC1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w:t>
            </w:r>
          </w:p>
          <w:p w14:paraId="783FA89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 opcjonalnie do absorberów w przypadku awarii dopalacza</w:t>
            </w:r>
          </w:p>
        </w:tc>
      </w:tr>
      <w:tr w:rsidR="00E02F30" w:rsidRPr="00E02F30" w14:paraId="54969416" w14:textId="77777777" w:rsidTr="00A1631B">
        <w:trPr>
          <w:trHeight w:val="918"/>
        </w:trPr>
        <w:tc>
          <w:tcPr>
            <w:tcW w:w="421" w:type="dxa"/>
          </w:tcPr>
          <w:p w14:paraId="767E19CB"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5EB0719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Zbiorniki 5,6 bezwodnika kwasu maleinowego (BKM)</w:t>
            </w:r>
          </w:p>
        </w:tc>
        <w:tc>
          <w:tcPr>
            <w:tcW w:w="661" w:type="dxa"/>
          </w:tcPr>
          <w:p w14:paraId="3202769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w:t>
            </w:r>
          </w:p>
        </w:tc>
        <w:tc>
          <w:tcPr>
            <w:tcW w:w="2262" w:type="dxa"/>
          </w:tcPr>
          <w:p w14:paraId="238D26D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V-63 m</w:t>
            </w:r>
            <w:r w:rsidRPr="00E02F30">
              <w:rPr>
                <w:rFonts w:eastAsia="Times New Roman" w:cs="Arial"/>
                <w:sz w:val="18"/>
                <w:szCs w:val="18"/>
                <w:vertAlign w:val="superscript"/>
                <w:lang w:eastAsia="pl-PL"/>
              </w:rPr>
              <w:t>3</w:t>
            </w:r>
          </w:p>
          <w:p w14:paraId="7917328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instalacja grzewcza (ekran ),  </w:t>
            </w:r>
          </w:p>
          <w:p w14:paraId="09FB83D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-warstwa izolacyjna na ściankach</w:t>
            </w:r>
          </w:p>
          <w:p w14:paraId="10FDE4E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p w14:paraId="7742B61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366" w:type="dxa"/>
          </w:tcPr>
          <w:p w14:paraId="5551C56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 xml:space="preserve">-sygnalizacja maksymalnego napełnienia zbiornika </w:t>
            </w:r>
          </w:p>
          <w:p w14:paraId="3D0F3A9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na odpowietrzeniu zbiornika; łapaczka sublimującego bezwodnika maleinowego, </w:t>
            </w:r>
          </w:p>
          <w:p w14:paraId="0C48815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w:t>
            </w:r>
          </w:p>
        </w:tc>
      </w:tr>
      <w:tr w:rsidR="00E02F30" w:rsidRPr="00E02F30" w14:paraId="5B4A8FBB" w14:textId="77777777" w:rsidTr="00A1631B">
        <w:trPr>
          <w:trHeight w:val="918"/>
        </w:trPr>
        <w:tc>
          <w:tcPr>
            <w:tcW w:w="421" w:type="dxa"/>
          </w:tcPr>
          <w:p w14:paraId="2FBBF3A6"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587EF11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Podgrzewacz surowców</w:t>
            </w:r>
          </w:p>
        </w:tc>
        <w:tc>
          <w:tcPr>
            <w:tcW w:w="661" w:type="dxa"/>
          </w:tcPr>
          <w:p w14:paraId="18F495C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7A233F5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 = 12,5 m</w:t>
            </w:r>
            <w:r w:rsidRPr="00E02F30">
              <w:rPr>
                <w:rFonts w:eastAsia="Times New Roman" w:cs="Arial"/>
                <w:sz w:val="18"/>
                <w:szCs w:val="18"/>
                <w:vertAlign w:val="superscript"/>
                <w:lang w:eastAsia="pl-PL"/>
              </w:rPr>
              <w:t>3</w:t>
            </w:r>
          </w:p>
          <w:p w14:paraId="35411DE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płaszcz grzewczo-chłodzący  ( para-woda )</w:t>
            </w:r>
          </w:p>
          <w:p w14:paraId="1E261818" w14:textId="77777777" w:rsidR="00E02F30" w:rsidRPr="00E02F30" w:rsidRDefault="00E02F30" w:rsidP="00E02F30">
            <w:pPr>
              <w:spacing w:before="40" w:after="40" w:line="276" w:lineRule="auto"/>
              <w:jc w:val="both"/>
              <w:rPr>
                <w:rFonts w:eastAsia="Times New Roman" w:cs="Arial"/>
                <w:sz w:val="18"/>
                <w:szCs w:val="18"/>
                <w:lang w:eastAsia="pl-PL"/>
              </w:rPr>
            </w:pPr>
          </w:p>
          <w:p w14:paraId="36770206" w14:textId="77777777" w:rsidR="00E02F30" w:rsidRPr="00E02F30" w:rsidRDefault="00E02F30" w:rsidP="00E02F30">
            <w:pPr>
              <w:spacing w:before="40" w:after="40" w:line="276" w:lineRule="auto"/>
              <w:jc w:val="both"/>
              <w:rPr>
                <w:rFonts w:eastAsia="Times New Roman" w:cs="Arial"/>
                <w:sz w:val="18"/>
                <w:szCs w:val="18"/>
                <w:lang w:eastAsia="pl-PL"/>
              </w:rPr>
            </w:pPr>
          </w:p>
          <w:p w14:paraId="0E95679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14B3C34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366" w:type="dxa"/>
          </w:tcPr>
          <w:p w14:paraId="4F584AB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blokada ogrzewania po osiągnięciu zadanej temperatury</w:t>
            </w:r>
            <w:r w:rsidRPr="00E02F30">
              <w:rPr>
                <w:rFonts w:eastAsia="Times New Roman" w:cs="Arial"/>
                <w:sz w:val="18"/>
                <w:szCs w:val="18"/>
                <w:lang w:eastAsia="pl-PL"/>
              </w:rPr>
              <w:br/>
              <w:t xml:space="preserve"> -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w:t>
            </w:r>
          </w:p>
          <w:p w14:paraId="093673D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chłodnica  opar</w:t>
            </w:r>
          </w:p>
          <w:p w14:paraId="0905FB0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457B4CA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zlokalizowany w pomieszczeniu obiektu 524 z kanalizacją ścieków przemysłowych </w:t>
            </w:r>
          </w:p>
          <w:p w14:paraId="26385CB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 </w:t>
            </w:r>
            <w:r w:rsidRPr="00E02F30">
              <w:rPr>
                <w:rFonts w:eastAsia="Times New Roman" w:cs="Arial"/>
                <w:sz w:val="18"/>
                <w:szCs w:val="18"/>
                <w:lang w:eastAsia="pl-PL"/>
              </w:rPr>
              <w:br/>
              <w:t xml:space="preserve">emitory E-3/Z i E-4/Z </w:t>
            </w:r>
          </w:p>
        </w:tc>
      </w:tr>
      <w:tr w:rsidR="00E02F30" w:rsidRPr="00E02F30" w14:paraId="4EACF9AB" w14:textId="77777777" w:rsidTr="00A1631B">
        <w:trPr>
          <w:trHeight w:val="918"/>
        </w:trPr>
        <w:tc>
          <w:tcPr>
            <w:tcW w:w="421" w:type="dxa"/>
          </w:tcPr>
          <w:p w14:paraId="5678E74D"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774E642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Reaktory nr 1 i 3</w:t>
            </w:r>
          </w:p>
        </w:tc>
        <w:tc>
          <w:tcPr>
            <w:tcW w:w="661" w:type="dxa"/>
          </w:tcPr>
          <w:p w14:paraId="15658E6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w:t>
            </w:r>
          </w:p>
        </w:tc>
        <w:tc>
          <w:tcPr>
            <w:tcW w:w="2262" w:type="dxa"/>
          </w:tcPr>
          <w:p w14:paraId="7413E11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 = 13 m</w:t>
            </w:r>
            <w:r w:rsidRPr="00E02F30">
              <w:rPr>
                <w:rFonts w:eastAsia="Times New Roman" w:cs="Arial"/>
                <w:sz w:val="18"/>
                <w:szCs w:val="18"/>
                <w:vertAlign w:val="superscript"/>
                <w:lang w:eastAsia="pl-PL"/>
              </w:rPr>
              <w:t>3</w:t>
            </w:r>
          </w:p>
          <w:p w14:paraId="39AF6F5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grzewczo-chłodząca ( para-woda ),</w:t>
            </w:r>
          </w:p>
          <w:p w14:paraId="1A4E84B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chłodzący ( woda ),</w:t>
            </w:r>
          </w:p>
          <w:p w14:paraId="514637D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0DD951B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366" w:type="dxa"/>
          </w:tcPr>
          <w:p w14:paraId="65213AD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układ próżniowy</w:t>
            </w:r>
            <w:r w:rsidRPr="00E02F30">
              <w:rPr>
                <w:rFonts w:eastAsia="Times New Roman" w:cs="Arial"/>
                <w:sz w:val="18"/>
                <w:szCs w:val="18"/>
                <w:lang w:eastAsia="pl-PL"/>
              </w:rPr>
              <w:br/>
              <w:t xml:space="preserve"> - sterowanie temperaturą</w:t>
            </w:r>
            <w:r w:rsidRPr="00E02F30">
              <w:rPr>
                <w:rFonts w:eastAsia="Times New Roman" w:cs="Arial"/>
                <w:sz w:val="18"/>
                <w:szCs w:val="18"/>
                <w:lang w:eastAsia="pl-PL"/>
              </w:rPr>
              <w:br/>
              <w:t>- blokada ogrzewania po osiągnięciu zadanej temperatury</w:t>
            </w:r>
            <w:r w:rsidRPr="00E02F30">
              <w:rPr>
                <w:rFonts w:eastAsia="Times New Roman" w:cs="Arial"/>
                <w:sz w:val="18"/>
                <w:szCs w:val="18"/>
                <w:lang w:eastAsia="pl-PL"/>
              </w:rPr>
              <w:br/>
              <w:t xml:space="preserve">- sygnalizacja przekroczenia dopuszczalnej temperatury </w:t>
            </w:r>
          </w:p>
          <w:p w14:paraId="46DC188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w:t>
            </w:r>
          </w:p>
          <w:p w14:paraId="04A5267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kolumna rektyfikacyjna opar</w:t>
            </w:r>
            <w:r w:rsidRPr="00E02F30">
              <w:rPr>
                <w:rFonts w:eastAsia="Times New Roman" w:cs="Arial"/>
                <w:sz w:val="18"/>
                <w:szCs w:val="18"/>
                <w:lang w:eastAsia="pl-PL"/>
              </w:rPr>
              <w:br/>
              <w:t>-  chłodnica  podczyszczonych opar,</w:t>
            </w:r>
          </w:p>
          <w:p w14:paraId="4EC18B0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i/lub pod lustro cieczy </w:t>
            </w:r>
            <w:r w:rsidRPr="00E02F30">
              <w:rPr>
                <w:rFonts w:eastAsia="Times New Roman" w:cs="Arial"/>
                <w:sz w:val="18"/>
                <w:szCs w:val="18"/>
                <w:lang w:eastAsia="pl-PL"/>
              </w:rPr>
              <w:br/>
              <w:t xml:space="preserve"> - zlokalizowane w pomieszczeniu obiektu 524 z kanalizacją ścieków przemysłowych </w:t>
            </w:r>
          </w:p>
          <w:p w14:paraId="71FE952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 </w:t>
            </w:r>
            <w:r w:rsidRPr="00E02F30">
              <w:rPr>
                <w:rFonts w:eastAsia="Times New Roman" w:cs="Arial"/>
                <w:sz w:val="18"/>
                <w:szCs w:val="18"/>
                <w:lang w:eastAsia="pl-PL"/>
              </w:rPr>
              <w:br/>
              <w:t>emitory E-3/Z i E-4/Z</w:t>
            </w:r>
          </w:p>
        </w:tc>
      </w:tr>
      <w:tr w:rsidR="00E02F30" w:rsidRPr="00E02F30" w14:paraId="3FF79A44" w14:textId="77777777" w:rsidTr="00A1631B">
        <w:trPr>
          <w:trHeight w:val="439"/>
        </w:trPr>
        <w:tc>
          <w:tcPr>
            <w:tcW w:w="421" w:type="dxa"/>
          </w:tcPr>
          <w:p w14:paraId="5CF302BD"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71BD02E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Reaktor nr 2</w:t>
            </w:r>
          </w:p>
        </w:tc>
        <w:tc>
          <w:tcPr>
            <w:tcW w:w="661" w:type="dxa"/>
          </w:tcPr>
          <w:p w14:paraId="7B24FD2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5510CC0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 = 12,5 m</w:t>
            </w:r>
            <w:r w:rsidRPr="00E02F30">
              <w:rPr>
                <w:rFonts w:eastAsia="Times New Roman" w:cs="Arial"/>
                <w:sz w:val="18"/>
                <w:szCs w:val="18"/>
                <w:vertAlign w:val="superscript"/>
                <w:lang w:eastAsia="pl-PL"/>
              </w:rPr>
              <w:t>3</w:t>
            </w:r>
          </w:p>
          <w:p w14:paraId="006F58E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ogrzewanie elektryczne,</w:t>
            </w:r>
          </w:p>
          <w:p w14:paraId="4AB21FC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chłodząca (woda ),</w:t>
            </w:r>
          </w:p>
          <w:p w14:paraId="2E7B212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p w14:paraId="44B33852"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366" w:type="dxa"/>
          </w:tcPr>
          <w:p w14:paraId="2A847E4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układ próżniowy</w:t>
            </w:r>
            <w:r w:rsidRPr="00E02F30">
              <w:rPr>
                <w:rFonts w:eastAsia="Times New Roman" w:cs="Arial"/>
                <w:sz w:val="18"/>
                <w:szCs w:val="18"/>
                <w:lang w:eastAsia="pl-PL"/>
              </w:rPr>
              <w:br/>
              <w:t xml:space="preserve"> - sterowanie temperaturą</w:t>
            </w:r>
            <w:r w:rsidRPr="00E02F30">
              <w:rPr>
                <w:rFonts w:eastAsia="Times New Roman" w:cs="Arial"/>
                <w:sz w:val="18"/>
                <w:szCs w:val="18"/>
                <w:lang w:eastAsia="pl-PL"/>
              </w:rPr>
              <w:br/>
              <w:t>- blokada ogrzewania po osiągnięciu zadanej temperatury</w:t>
            </w:r>
          </w:p>
          <w:p w14:paraId="37EC3CA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sygnalizacja przekroczenia dopuszczalnej temperatury </w:t>
            </w:r>
          </w:p>
          <w:p w14:paraId="7CDEF57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w:t>
            </w:r>
          </w:p>
          <w:p w14:paraId="107B64D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kolumna rektyfikacyjna opar</w:t>
            </w:r>
            <w:r w:rsidRPr="00E02F30">
              <w:rPr>
                <w:rFonts w:eastAsia="Times New Roman" w:cs="Arial"/>
                <w:sz w:val="18"/>
                <w:szCs w:val="18"/>
                <w:lang w:eastAsia="pl-PL"/>
              </w:rPr>
              <w:br/>
              <w:t>-  chłodnica  podczyszczonych opar</w:t>
            </w:r>
          </w:p>
          <w:p w14:paraId="68D8762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i/lub pod lustro cieczy </w:t>
            </w:r>
            <w:r w:rsidRPr="00E02F30">
              <w:rPr>
                <w:rFonts w:eastAsia="Times New Roman" w:cs="Arial"/>
                <w:sz w:val="18"/>
                <w:szCs w:val="18"/>
                <w:lang w:eastAsia="pl-PL"/>
              </w:rPr>
              <w:br/>
              <w:t xml:space="preserve"> - zlokalizowany w pomieszczeniu obiektu 524 z kanalizacją ścieków przemysłowych </w:t>
            </w:r>
          </w:p>
          <w:p w14:paraId="5338AAA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 </w:t>
            </w:r>
            <w:r w:rsidRPr="00E02F30">
              <w:rPr>
                <w:rFonts w:eastAsia="Times New Roman" w:cs="Arial"/>
                <w:sz w:val="18"/>
                <w:szCs w:val="18"/>
                <w:lang w:eastAsia="pl-PL"/>
              </w:rPr>
              <w:br/>
              <w:t>emitory E-3/Z i E-4/Z</w:t>
            </w:r>
          </w:p>
        </w:tc>
      </w:tr>
      <w:tr w:rsidR="00E02F30" w:rsidRPr="00E02F30" w14:paraId="5A32041A" w14:textId="77777777" w:rsidTr="00A1631B">
        <w:trPr>
          <w:trHeight w:val="439"/>
        </w:trPr>
        <w:tc>
          <w:tcPr>
            <w:tcW w:w="421" w:type="dxa"/>
          </w:tcPr>
          <w:p w14:paraId="18E5F521"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48F99EF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Reaktory nr 4 i 5</w:t>
            </w:r>
          </w:p>
        </w:tc>
        <w:tc>
          <w:tcPr>
            <w:tcW w:w="661" w:type="dxa"/>
          </w:tcPr>
          <w:p w14:paraId="2B5481D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6405BE3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 = 25 m</w:t>
            </w:r>
            <w:r w:rsidRPr="00E02F30">
              <w:rPr>
                <w:rFonts w:eastAsia="Times New Roman" w:cs="Arial"/>
                <w:sz w:val="18"/>
                <w:szCs w:val="18"/>
                <w:vertAlign w:val="superscript"/>
                <w:lang w:eastAsia="pl-PL"/>
              </w:rPr>
              <w:t>3</w:t>
            </w:r>
          </w:p>
          <w:p w14:paraId="4B601FA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grzewczo-chłodząca ( para-woda ),</w:t>
            </w:r>
          </w:p>
          <w:p w14:paraId="41AAF5F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chłodzący (woda),</w:t>
            </w:r>
          </w:p>
          <w:p w14:paraId="56AA528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5F2CEA6B"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366" w:type="dxa"/>
          </w:tcPr>
          <w:p w14:paraId="592A01D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układ próżniowy</w:t>
            </w:r>
            <w:r w:rsidRPr="00E02F30">
              <w:rPr>
                <w:rFonts w:eastAsia="Times New Roman" w:cs="Arial"/>
                <w:sz w:val="18"/>
                <w:szCs w:val="18"/>
                <w:lang w:eastAsia="pl-PL"/>
              </w:rPr>
              <w:br/>
              <w:t xml:space="preserve"> - sterowanie temperaturą</w:t>
            </w:r>
            <w:r w:rsidRPr="00E02F30">
              <w:rPr>
                <w:rFonts w:eastAsia="Times New Roman" w:cs="Arial"/>
                <w:sz w:val="18"/>
                <w:szCs w:val="18"/>
                <w:lang w:eastAsia="pl-PL"/>
              </w:rPr>
              <w:br/>
              <w:t>- blokada ogrzewania po osiągnięciu zadanej temperatury</w:t>
            </w:r>
            <w:r w:rsidRPr="00E02F30">
              <w:rPr>
                <w:rFonts w:eastAsia="Times New Roman" w:cs="Arial"/>
                <w:sz w:val="18"/>
                <w:szCs w:val="18"/>
                <w:lang w:eastAsia="pl-PL"/>
              </w:rPr>
              <w:br/>
              <w:t xml:space="preserve">- sygnalizacja przekroczenia dopuszczalnej temperatury </w:t>
            </w:r>
          </w:p>
          <w:p w14:paraId="3B96197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w:t>
            </w:r>
          </w:p>
          <w:p w14:paraId="085C653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kolumna rektyfikacyjna opar</w:t>
            </w:r>
            <w:r w:rsidRPr="00E02F30">
              <w:rPr>
                <w:rFonts w:eastAsia="Times New Roman" w:cs="Arial"/>
                <w:sz w:val="18"/>
                <w:szCs w:val="18"/>
                <w:lang w:eastAsia="pl-PL"/>
              </w:rPr>
              <w:br/>
              <w:t>-  chłodnica  podczyszczonych opar,</w:t>
            </w:r>
          </w:p>
          <w:p w14:paraId="5BA4C20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i/lub pod lustro cieczy </w:t>
            </w:r>
            <w:r w:rsidRPr="00E02F30">
              <w:rPr>
                <w:rFonts w:eastAsia="Times New Roman" w:cs="Arial"/>
                <w:sz w:val="18"/>
                <w:szCs w:val="18"/>
                <w:lang w:eastAsia="pl-PL"/>
              </w:rPr>
              <w:br/>
              <w:t xml:space="preserve"> - zlokalizowane w pomieszczeniu obiektu 524 A z kanalizacją ścieków przemysłowych </w:t>
            </w:r>
          </w:p>
          <w:p w14:paraId="5AB483D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 </w:t>
            </w:r>
            <w:r w:rsidRPr="00E02F30">
              <w:rPr>
                <w:rFonts w:eastAsia="Times New Roman" w:cs="Arial"/>
                <w:sz w:val="18"/>
                <w:szCs w:val="18"/>
                <w:lang w:eastAsia="pl-PL"/>
              </w:rPr>
              <w:br/>
              <w:t xml:space="preserve">emitory E-3/Z i E-5/Z </w:t>
            </w:r>
          </w:p>
        </w:tc>
      </w:tr>
      <w:tr w:rsidR="00E02F30" w:rsidRPr="00E02F30" w14:paraId="447FD1C8" w14:textId="77777777" w:rsidTr="00A1631B">
        <w:trPr>
          <w:trHeight w:val="465"/>
        </w:trPr>
        <w:tc>
          <w:tcPr>
            <w:tcW w:w="421" w:type="dxa"/>
          </w:tcPr>
          <w:p w14:paraId="4BD43A1A"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27C5DD6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Mieszalniki M1 i M3</w:t>
            </w:r>
          </w:p>
        </w:tc>
        <w:tc>
          <w:tcPr>
            <w:tcW w:w="661" w:type="dxa"/>
          </w:tcPr>
          <w:p w14:paraId="6CCC5A3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w:t>
            </w:r>
          </w:p>
        </w:tc>
        <w:tc>
          <w:tcPr>
            <w:tcW w:w="2262" w:type="dxa"/>
          </w:tcPr>
          <w:p w14:paraId="76AEC67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 = 20 m</w:t>
            </w:r>
            <w:r w:rsidRPr="00E02F30">
              <w:rPr>
                <w:rFonts w:eastAsia="Times New Roman" w:cs="Arial"/>
                <w:sz w:val="18"/>
                <w:szCs w:val="18"/>
                <w:vertAlign w:val="superscript"/>
                <w:lang w:eastAsia="pl-PL"/>
              </w:rPr>
              <w:t>3</w:t>
            </w:r>
          </w:p>
          <w:p w14:paraId="2A011AF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wężownica chłodząca (woda ),</w:t>
            </w:r>
          </w:p>
          <w:p w14:paraId="0773B40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płaszcz chłodzący </w:t>
            </w:r>
          </w:p>
          <w:p w14:paraId="7CCDF23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woda ),</w:t>
            </w:r>
          </w:p>
          <w:p w14:paraId="03D11B7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08187496" w14:textId="77777777" w:rsidR="00E02F30" w:rsidRPr="00E02F30" w:rsidRDefault="00E02F30" w:rsidP="00E02F30">
            <w:pPr>
              <w:spacing w:before="40" w:after="40" w:line="276" w:lineRule="auto"/>
              <w:jc w:val="both"/>
              <w:rPr>
                <w:rFonts w:eastAsia="Times New Roman" w:cs="Arial"/>
                <w:sz w:val="18"/>
                <w:szCs w:val="18"/>
                <w:lang w:eastAsia="pl-PL"/>
              </w:rPr>
            </w:pPr>
          </w:p>
          <w:p w14:paraId="2D3D60BB"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366" w:type="dxa"/>
          </w:tcPr>
          <w:p w14:paraId="26B4AF4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sygnalizacja przekroczenia dopuszczalnej temperatury  </w:t>
            </w:r>
            <w:r w:rsidRPr="00E02F30">
              <w:rPr>
                <w:rFonts w:eastAsia="Times New Roman" w:cs="Arial"/>
                <w:sz w:val="18"/>
                <w:szCs w:val="18"/>
                <w:lang w:eastAsia="pl-PL"/>
              </w:rPr>
              <w:br/>
              <w:t>- chłodnica zwrotna opar</w:t>
            </w:r>
          </w:p>
          <w:p w14:paraId="7CB57D0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598B4D6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w:t>
            </w:r>
          </w:p>
          <w:p w14:paraId="5024BDE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zlokalizowane w pomieszczeniu obiektu 524 z kanalizacją ścieków przemysłowych </w:t>
            </w:r>
          </w:p>
          <w:p w14:paraId="2C97540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 </w:t>
            </w:r>
            <w:r w:rsidRPr="00E02F30">
              <w:rPr>
                <w:rFonts w:eastAsia="Times New Roman" w:cs="Arial"/>
                <w:sz w:val="18"/>
                <w:szCs w:val="18"/>
                <w:lang w:eastAsia="pl-PL"/>
              </w:rPr>
              <w:br/>
              <w:t xml:space="preserve">emitory E-3/Z i E-4/Z  </w:t>
            </w:r>
          </w:p>
        </w:tc>
      </w:tr>
      <w:tr w:rsidR="00E02F30" w:rsidRPr="00E02F30" w14:paraId="045E62D4" w14:textId="77777777" w:rsidTr="00A1631B">
        <w:trPr>
          <w:trHeight w:val="465"/>
        </w:trPr>
        <w:tc>
          <w:tcPr>
            <w:tcW w:w="421" w:type="dxa"/>
          </w:tcPr>
          <w:p w14:paraId="769FD0CD"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6C1A3EE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nr 4</w:t>
            </w:r>
          </w:p>
        </w:tc>
        <w:tc>
          <w:tcPr>
            <w:tcW w:w="661" w:type="dxa"/>
          </w:tcPr>
          <w:p w14:paraId="45ED376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38736FD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 = 40 m</w:t>
            </w:r>
            <w:r w:rsidRPr="00E02F30">
              <w:rPr>
                <w:rFonts w:eastAsia="Times New Roman" w:cs="Arial"/>
                <w:sz w:val="18"/>
                <w:szCs w:val="18"/>
                <w:vertAlign w:val="superscript"/>
                <w:lang w:eastAsia="pl-PL"/>
              </w:rPr>
              <w:t>3</w:t>
            </w:r>
          </w:p>
          <w:p w14:paraId="3F975E6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wężownica chłodząca (woda ),</w:t>
            </w:r>
          </w:p>
          <w:p w14:paraId="2D0C9B1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płaszcz chłodzący </w:t>
            </w:r>
          </w:p>
          <w:p w14:paraId="57A576E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woda ),</w:t>
            </w:r>
          </w:p>
          <w:p w14:paraId="01CF375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058AB9A9"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366" w:type="dxa"/>
          </w:tcPr>
          <w:p w14:paraId="36012C9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sygnalizacja przekroczenia dopuszczalnej temperatury  </w:t>
            </w:r>
            <w:r w:rsidRPr="00E02F30">
              <w:rPr>
                <w:rFonts w:eastAsia="Times New Roman" w:cs="Arial"/>
                <w:sz w:val="18"/>
                <w:szCs w:val="18"/>
                <w:lang w:eastAsia="pl-PL"/>
              </w:rPr>
              <w:br/>
              <w:t>- chłodnica zwrotna opar</w:t>
            </w:r>
          </w:p>
          <w:p w14:paraId="66185D0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4FB6EC8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w:t>
            </w:r>
          </w:p>
          <w:p w14:paraId="379DD0D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zlokalizowane w pomieszczeniu obiektu 524 z kanalizacją ścieków przemysłowych </w:t>
            </w:r>
          </w:p>
          <w:p w14:paraId="3C6185F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 </w:t>
            </w:r>
            <w:r w:rsidRPr="00E02F30">
              <w:rPr>
                <w:rFonts w:eastAsia="Times New Roman" w:cs="Arial"/>
                <w:sz w:val="18"/>
                <w:szCs w:val="18"/>
                <w:lang w:eastAsia="pl-PL"/>
              </w:rPr>
              <w:br/>
              <w:t xml:space="preserve">emitory E-3/Z i E-5/Z  </w:t>
            </w:r>
          </w:p>
        </w:tc>
      </w:tr>
      <w:tr w:rsidR="00E02F30" w:rsidRPr="00E02F30" w14:paraId="3E41CE51" w14:textId="77777777" w:rsidTr="00A1631B">
        <w:trPr>
          <w:trHeight w:val="55"/>
        </w:trPr>
        <w:tc>
          <w:tcPr>
            <w:tcW w:w="421" w:type="dxa"/>
          </w:tcPr>
          <w:p w14:paraId="340214AA"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4EDF99B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M2</w:t>
            </w:r>
          </w:p>
        </w:tc>
        <w:tc>
          <w:tcPr>
            <w:tcW w:w="661" w:type="dxa"/>
          </w:tcPr>
          <w:p w14:paraId="731816A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7E291DF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 = 5 m</w:t>
            </w:r>
            <w:r w:rsidRPr="00E02F30">
              <w:rPr>
                <w:rFonts w:eastAsia="Times New Roman" w:cs="Arial"/>
                <w:sz w:val="18"/>
                <w:szCs w:val="18"/>
                <w:vertAlign w:val="superscript"/>
                <w:lang w:eastAsia="pl-PL"/>
              </w:rPr>
              <w:t>3</w:t>
            </w:r>
          </w:p>
          <w:p w14:paraId="0A6E7F5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wężownica grzewczo-chłodząca (gorąca woda/woda ),</w:t>
            </w:r>
          </w:p>
          <w:p w14:paraId="4C180FE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grzewczo-chłodzący (gorąca woda/woda ),</w:t>
            </w:r>
          </w:p>
          <w:p w14:paraId="522644C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2129E49B" w14:textId="77777777" w:rsidR="00E02F30" w:rsidRPr="00E02F30" w:rsidRDefault="00E02F30" w:rsidP="00E02F30">
            <w:pPr>
              <w:spacing w:before="40" w:after="40" w:line="276" w:lineRule="auto"/>
              <w:jc w:val="both"/>
              <w:rPr>
                <w:rFonts w:eastAsia="Times New Roman" w:cs="Arial"/>
                <w:sz w:val="18"/>
                <w:szCs w:val="18"/>
                <w:lang w:eastAsia="pl-PL"/>
              </w:rPr>
            </w:pPr>
          </w:p>
          <w:p w14:paraId="5F33E560"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366" w:type="dxa"/>
          </w:tcPr>
          <w:p w14:paraId="64F3704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sygnalizacja przekroczenia dopuszczalnej temperatury  </w:t>
            </w:r>
            <w:r w:rsidRPr="00E02F30">
              <w:rPr>
                <w:rFonts w:eastAsia="Times New Roman" w:cs="Arial"/>
                <w:sz w:val="18"/>
                <w:szCs w:val="18"/>
                <w:lang w:eastAsia="pl-PL"/>
              </w:rPr>
              <w:br/>
              <w:t>- chłodnica zwrotna opar</w:t>
            </w:r>
          </w:p>
          <w:p w14:paraId="6A2692C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64D8DCD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w:t>
            </w:r>
          </w:p>
          <w:p w14:paraId="6E9CFF1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zlokalizowany w pomieszczeniu obiektu 524 z kanalizacją ścieków przemysłowych</w:t>
            </w:r>
          </w:p>
          <w:p w14:paraId="17F21CA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 </w:t>
            </w:r>
            <w:r w:rsidRPr="00E02F30">
              <w:rPr>
                <w:rFonts w:eastAsia="Times New Roman" w:cs="Arial"/>
                <w:sz w:val="18"/>
                <w:szCs w:val="18"/>
                <w:lang w:eastAsia="pl-PL"/>
              </w:rPr>
              <w:br/>
              <w:t>emitory E-3/Z i E-4/Z</w:t>
            </w:r>
          </w:p>
        </w:tc>
      </w:tr>
      <w:tr w:rsidR="00E02F30" w:rsidRPr="00E02F30" w14:paraId="61584D96" w14:textId="77777777" w:rsidTr="00A1631B">
        <w:trPr>
          <w:trHeight w:val="55"/>
        </w:trPr>
        <w:tc>
          <w:tcPr>
            <w:tcW w:w="421" w:type="dxa"/>
          </w:tcPr>
          <w:p w14:paraId="7D94D43C"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519F07B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M5</w:t>
            </w:r>
          </w:p>
        </w:tc>
        <w:tc>
          <w:tcPr>
            <w:tcW w:w="661" w:type="dxa"/>
          </w:tcPr>
          <w:p w14:paraId="5CF701E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0B116E7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 = 5 m</w:t>
            </w:r>
            <w:r w:rsidRPr="00E02F30">
              <w:rPr>
                <w:rFonts w:eastAsia="Times New Roman" w:cs="Arial"/>
                <w:sz w:val="18"/>
                <w:szCs w:val="18"/>
                <w:vertAlign w:val="superscript"/>
                <w:lang w:eastAsia="pl-PL"/>
              </w:rPr>
              <w:t>3</w:t>
            </w:r>
          </w:p>
          <w:p w14:paraId="36C67EE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grzanie elektryczne</w:t>
            </w:r>
          </w:p>
          <w:p w14:paraId="77FF30F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tc>
        <w:tc>
          <w:tcPr>
            <w:tcW w:w="3366" w:type="dxa"/>
          </w:tcPr>
          <w:p w14:paraId="1405834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w:t>
            </w:r>
          </w:p>
          <w:p w14:paraId="328988F8" w14:textId="77777777" w:rsidR="00E02F30" w:rsidRPr="00E02F30" w:rsidRDefault="00E02F30" w:rsidP="00E02F30">
            <w:pPr>
              <w:spacing w:before="40" w:after="40" w:line="276" w:lineRule="auto"/>
              <w:jc w:val="both"/>
              <w:rPr>
                <w:rFonts w:eastAsia="Times New Roman" w:cs="Arial"/>
                <w:sz w:val="18"/>
                <w:szCs w:val="18"/>
                <w:lang w:eastAsia="pl-PL"/>
              </w:rPr>
            </w:pPr>
          </w:p>
        </w:tc>
      </w:tr>
      <w:tr w:rsidR="00E02F30" w:rsidRPr="00E02F30" w14:paraId="104A7748" w14:textId="77777777" w:rsidTr="00A1631B">
        <w:trPr>
          <w:trHeight w:val="918"/>
        </w:trPr>
        <w:tc>
          <w:tcPr>
            <w:tcW w:w="421" w:type="dxa"/>
          </w:tcPr>
          <w:p w14:paraId="13A555E0"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48DC38C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Homogenizatory Nr 1, 2, 3, 6</w:t>
            </w:r>
          </w:p>
          <w:p w14:paraId="437C2D2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żywic poliestrowych </w:t>
            </w:r>
          </w:p>
        </w:tc>
        <w:tc>
          <w:tcPr>
            <w:tcW w:w="661" w:type="dxa"/>
          </w:tcPr>
          <w:p w14:paraId="0DDCDD6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4</w:t>
            </w:r>
          </w:p>
        </w:tc>
        <w:tc>
          <w:tcPr>
            <w:tcW w:w="2262" w:type="dxa"/>
          </w:tcPr>
          <w:p w14:paraId="6D258C2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V-63 m</w:t>
            </w:r>
            <w:r w:rsidRPr="00E02F30">
              <w:rPr>
                <w:rFonts w:eastAsia="Times New Roman" w:cs="Arial"/>
                <w:sz w:val="18"/>
                <w:szCs w:val="18"/>
                <w:vertAlign w:val="superscript"/>
                <w:lang w:eastAsia="pl-PL"/>
              </w:rPr>
              <w:t>3</w:t>
            </w:r>
          </w:p>
          <w:p w14:paraId="547EC40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instalacja grzewczo-chłodząca ( ekran ),  </w:t>
            </w:r>
          </w:p>
          <w:p w14:paraId="1E33372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warstwa izolacyjna na ściankach </w:t>
            </w:r>
          </w:p>
          <w:p w14:paraId="2DD7C19D"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366" w:type="dxa"/>
          </w:tcPr>
          <w:p w14:paraId="492B73D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-sygnalizacja maksymalnego napełnienia zbiornika w homogenizatorach nr 1, 2, 3 i 6</w:t>
            </w:r>
          </w:p>
          <w:p w14:paraId="23079D6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zamknięcie hydrauliczne odpowietrzenia zbiornika</w:t>
            </w:r>
          </w:p>
          <w:p w14:paraId="762D546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(azotu) nad lustro cieczy</w:t>
            </w:r>
          </w:p>
          <w:p w14:paraId="440BB5C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 opcjonalnie do absorberów w przypadku awarii dopalacza       </w:t>
            </w:r>
          </w:p>
        </w:tc>
      </w:tr>
      <w:tr w:rsidR="00E02F30" w:rsidRPr="00E02F30" w14:paraId="6FD6F4BE" w14:textId="77777777" w:rsidTr="00A1631B">
        <w:trPr>
          <w:trHeight w:val="555"/>
        </w:trPr>
        <w:tc>
          <w:tcPr>
            <w:tcW w:w="421" w:type="dxa"/>
          </w:tcPr>
          <w:p w14:paraId="13CEB7A9"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7C68923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Homogenizator nr 4</w:t>
            </w:r>
          </w:p>
          <w:p w14:paraId="52BDBD7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żywic poliestrowych </w:t>
            </w:r>
          </w:p>
        </w:tc>
        <w:tc>
          <w:tcPr>
            <w:tcW w:w="661" w:type="dxa"/>
          </w:tcPr>
          <w:p w14:paraId="541B542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3777492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V-12,5 m</w:t>
            </w:r>
            <w:r w:rsidRPr="00E02F30">
              <w:rPr>
                <w:rFonts w:eastAsia="Times New Roman" w:cs="Arial"/>
                <w:sz w:val="18"/>
                <w:szCs w:val="18"/>
                <w:vertAlign w:val="superscript"/>
                <w:lang w:eastAsia="pl-PL"/>
              </w:rPr>
              <w:t>3</w:t>
            </w:r>
          </w:p>
          <w:p w14:paraId="763E753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instalacja grzewcza (płaszcz ), </w:t>
            </w:r>
          </w:p>
          <w:p w14:paraId="5522EE0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warstwa izolacyjna na ściankach</w:t>
            </w:r>
          </w:p>
          <w:p w14:paraId="381388B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366" w:type="dxa"/>
          </w:tcPr>
          <w:p w14:paraId="606FE6E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monitorowanie poziomu napełnienia</w:t>
            </w:r>
            <w:r w:rsidRPr="00E02F30">
              <w:rPr>
                <w:rFonts w:eastAsia="Times New Roman" w:cs="Arial"/>
                <w:sz w:val="18"/>
                <w:szCs w:val="18"/>
                <w:lang w:eastAsia="pl-PL"/>
              </w:rPr>
              <w:br/>
              <w:t xml:space="preserve">-  zawór oddechowy </w:t>
            </w:r>
          </w:p>
          <w:p w14:paraId="3FFB499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2643463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zlokalizowany w pomieszczeniu obiektu 523      </w:t>
            </w:r>
          </w:p>
          <w:p w14:paraId="7DE907A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 opcjonalnie do absorberów w przypadku awarii dopalacza</w:t>
            </w:r>
          </w:p>
        </w:tc>
      </w:tr>
      <w:tr w:rsidR="00E02F30" w:rsidRPr="00E02F30" w14:paraId="31CA69EA" w14:textId="77777777" w:rsidTr="00A1631B">
        <w:trPr>
          <w:trHeight w:val="918"/>
        </w:trPr>
        <w:tc>
          <w:tcPr>
            <w:tcW w:w="421" w:type="dxa"/>
          </w:tcPr>
          <w:p w14:paraId="24781908"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2E65131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Homogenizator nr 5</w:t>
            </w:r>
          </w:p>
          <w:p w14:paraId="7699076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żywic poliestrowych </w:t>
            </w:r>
          </w:p>
        </w:tc>
        <w:tc>
          <w:tcPr>
            <w:tcW w:w="661" w:type="dxa"/>
          </w:tcPr>
          <w:p w14:paraId="67BDFC4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7E83B4A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 = 20 m</w:t>
            </w:r>
            <w:r w:rsidRPr="00E02F30">
              <w:rPr>
                <w:rFonts w:eastAsia="Times New Roman" w:cs="Arial"/>
                <w:sz w:val="18"/>
                <w:szCs w:val="18"/>
                <w:vertAlign w:val="superscript"/>
                <w:lang w:eastAsia="pl-PL"/>
              </w:rPr>
              <w:t>3</w:t>
            </w:r>
            <w:r w:rsidRPr="00E02F30">
              <w:rPr>
                <w:rFonts w:eastAsia="Times New Roman" w:cs="Arial"/>
                <w:sz w:val="18"/>
                <w:szCs w:val="18"/>
                <w:lang w:eastAsia="pl-PL"/>
              </w:rPr>
              <w:t xml:space="preserve"> - instalacja grzewcza ( ekran ), </w:t>
            </w:r>
          </w:p>
          <w:p w14:paraId="1DB6B02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warstwa izolacyjna na ściankach</w:t>
            </w:r>
          </w:p>
          <w:p w14:paraId="0491A71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366" w:type="dxa"/>
          </w:tcPr>
          <w:p w14:paraId="62C2B5D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p>
          <w:p w14:paraId="62C6558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monitorowanie poziomu napełnienia</w:t>
            </w:r>
            <w:r w:rsidRPr="00E02F30">
              <w:rPr>
                <w:rFonts w:eastAsia="Times New Roman" w:cs="Arial"/>
                <w:sz w:val="18"/>
                <w:szCs w:val="18"/>
                <w:lang w:eastAsia="pl-PL"/>
              </w:rPr>
              <w:br/>
              <w:t xml:space="preserve"> 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6DCB781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chłodnica zwrotna opar</w:t>
            </w:r>
            <w:r w:rsidRPr="00E02F30">
              <w:rPr>
                <w:rFonts w:eastAsia="Times New Roman" w:cs="Arial"/>
                <w:sz w:val="18"/>
                <w:szCs w:val="18"/>
                <w:lang w:eastAsia="pl-PL"/>
              </w:rPr>
              <w:b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jak w punkcie 10  </w:t>
            </w:r>
          </w:p>
        </w:tc>
      </w:tr>
      <w:tr w:rsidR="00E02F30" w:rsidRPr="00E02F30" w14:paraId="69D9192D" w14:textId="77777777" w:rsidTr="00A1631B">
        <w:trPr>
          <w:trHeight w:val="918"/>
        </w:trPr>
        <w:tc>
          <w:tcPr>
            <w:tcW w:w="421" w:type="dxa"/>
          </w:tcPr>
          <w:p w14:paraId="3D4DF6F9"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7308747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Zbiorniki magazynowe nr 1,2, 3 i 4 żywic poliestrowych </w:t>
            </w:r>
          </w:p>
        </w:tc>
        <w:tc>
          <w:tcPr>
            <w:tcW w:w="661" w:type="dxa"/>
          </w:tcPr>
          <w:p w14:paraId="2667DF8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4</w:t>
            </w:r>
          </w:p>
        </w:tc>
        <w:tc>
          <w:tcPr>
            <w:tcW w:w="2262" w:type="dxa"/>
          </w:tcPr>
          <w:p w14:paraId="79F80F9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V-63 m</w:t>
            </w:r>
            <w:r w:rsidRPr="00E02F30">
              <w:rPr>
                <w:rFonts w:eastAsia="Times New Roman" w:cs="Arial"/>
                <w:sz w:val="18"/>
                <w:szCs w:val="18"/>
                <w:vertAlign w:val="superscript"/>
                <w:lang w:eastAsia="pl-PL"/>
              </w:rPr>
              <w:t>3</w:t>
            </w:r>
          </w:p>
          <w:p w14:paraId="3C7B1F3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instalacja grzewczo-chłodząca</w:t>
            </w:r>
          </w:p>
          <w:p w14:paraId="5A69A1D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ekran )  </w:t>
            </w:r>
          </w:p>
          <w:p w14:paraId="2173015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-warstwa izolacyjna na ściankach </w:t>
            </w:r>
          </w:p>
        </w:tc>
        <w:tc>
          <w:tcPr>
            <w:tcW w:w="3366" w:type="dxa"/>
          </w:tcPr>
          <w:p w14:paraId="5408061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 xml:space="preserve">- zamknięcie hydrauliczne odpowietrzenia zbiornika </w:t>
            </w:r>
          </w:p>
          <w:p w14:paraId="52DF11E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-sygnalizacja maksymalnego napełnienia zbiornika w zbiornikach nr 1,2,3 i 4</w:t>
            </w:r>
          </w:p>
          <w:p w14:paraId="52BF7BF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w:t>
            </w:r>
          </w:p>
          <w:p w14:paraId="170304B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 opcjonalnie do absorberów w przypadku awarii dopalacza</w:t>
            </w:r>
          </w:p>
        </w:tc>
      </w:tr>
      <w:tr w:rsidR="00E02F30" w:rsidRPr="00E02F30" w14:paraId="74E21F1A" w14:textId="77777777" w:rsidTr="00A1631B">
        <w:trPr>
          <w:trHeight w:val="355"/>
        </w:trPr>
        <w:tc>
          <w:tcPr>
            <w:tcW w:w="421" w:type="dxa"/>
          </w:tcPr>
          <w:p w14:paraId="48A7C9BC"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67F30AD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Zbiorniki magazynowe / homogenizatory nr 5, 6, 7, 8, 9, 10 żywic poliestrowych</w:t>
            </w:r>
          </w:p>
          <w:p w14:paraId="71F38FE7"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661" w:type="dxa"/>
          </w:tcPr>
          <w:p w14:paraId="27E47AC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6</w:t>
            </w:r>
          </w:p>
        </w:tc>
        <w:tc>
          <w:tcPr>
            <w:tcW w:w="2262" w:type="dxa"/>
          </w:tcPr>
          <w:p w14:paraId="03478A8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V-32 m</w:t>
            </w:r>
            <w:r w:rsidRPr="00E02F30">
              <w:rPr>
                <w:rFonts w:eastAsia="Times New Roman" w:cs="Arial"/>
                <w:sz w:val="18"/>
                <w:szCs w:val="18"/>
                <w:vertAlign w:val="superscript"/>
                <w:lang w:eastAsia="pl-PL"/>
              </w:rPr>
              <w:t>3</w:t>
            </w:r>
          </w:p>
          <w:p w14:paraId="6A9AFDA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instalacja grzewczo-chłodząca,( płaszcz )  </w:t>
            </w:r>
          </w:p>
          <w:p w14:paraId="570256A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warstwa izolacyjna na ściankach</w:t>
            </w:r>
          </w:p>
          <w:p w14:paraId="0FC3F54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366" w:type="dxa"/>
          </w:tcPr>
          <w:p w14:paraId="6BA4804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-sygnalizacja maksymalnego napełnienia w zbiornikach nr 5, 6, 7, 8, 9, 10</w:t>
            </w:r>
          </w:p>
          <w:p w14:paraId="20D8F59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zamknięcie hydrauliczne odpowietrzenia zbiornika  </w:t>
            </w:r>
          </w:p>
          <w:p w14:paraId="3E52495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75D4843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 opcjonalnie do absorberów w przypadku awarii dopalacza</w:t>
            </w:r>
          </w:p>
        </w:tc>
      </w:tr>
      <w:tr w:rsidR="00E02F30" w:rsidRPr="00E02F30" w14:paraId="685615B7" w14:textId="77777777" w:rsidTr="00A1631B">
        <w:trPr>
          <w:trHeight w:val="918"/>
        </w:trPr>
        <w:tc>
          <w:tcPr>
            <w:tcW w:w="421" w:type="dxa"/>
          </w:tcPr>
          <w:p w14:paraId="21D02DE5" w14:textId="77777777" w:rsidR="00E02F30" w:rsidRPr="00E02F30" w:rsidRDefault="00E02F30">
            <w:pPr>
              <w:keepNext/>
              <w:numPr>
                <w:ilvl w:val="0"/>
                <w:numId w:val="83"/>
              </w:numPr>
              <w:spacing w:before="40" w:after="40" w:line="276" w:lineRule="auto"/>
              <w:ind w:left="357" w:hanging="357"/>
              <w:jc w:val="both"/>
              <w:rPr>
                <w:rFonts w:eastAsia="Times New Roman" w:cs="Arial"/>
                <w:sz w:val="18"/>
                <w:szCs w:val="18"/>
                <w:lang w:eastAsia="pl-PL"/>
              </w:rPr>
            </w:pPr>
          </w:p>
        </w:tc>
        <w:tc>
          <w:tcPr>
            <w:tcW w:w="3095" w:type="dxa"/>
          </w:tcPr>
          <w:p w14:paraId="4A7D710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Zbiornik magazynowy nr 11</w:t>
            </w:r>
          </w:p>
        </w:tc>
        <w:tc>
          <w:tcPr>
            <w:tcW w:w="661" w:type="dxa"/>
          </w:tcPr>
          <w:p w14:paraId="4964D96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2262" w:type="dxa"/>
          </w:tcPr>
          <w:p w14:paraId="3CF60EE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V-40 m</w:t>
            </w:r>
            <w:r w:rsidRPr="00E02F30">
              <w:rPr>
                <w:rFonts w:eastAsia="Times New Roman" w:cs="Arial"/>
                <w:sz w:val="18"/>
                <w:szCs w:val="18"/>
                <w:vertAlign w:val="superscript"/>
                <w:lang w:eastAsia="pl-PL"/>
              </w:rPr>
              <w:t>3</w:t>
            </w:r>
          </w:p>
          <w:p w14:paraId="46A77C4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warstwa izolacyjna na ściankach</w:t>
            </w:r>
          </w:p>
          <w:p w14:paraId="2256A182"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366" w:type="dxa"/>
          </w:tcPr>
          <w:p w14:paraId="707EAE2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 xml:space="preserve">-sygnalizacja maksymalnego napełnienia w zbiorniku  </w:t>
            </w:r>
          </w:p>
          <w:p w14:paraId="46ECC5C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zamknięcie hydrauliczne odpowietrzenia zbiornika  </w:t>
            </w:r>
          </w:p>
          <w:p w14:paraId="046CE7A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61006CA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do termicznego dopalacza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 emitor E-2/Z, opcjonalnie do absorberów w przypadku awarii dopalacza</w:t>
            </w:r>
          </w:p>
        </w:tc>
      </w:tr>
    </w:tbl>
    <w:p w14:paraId="498C0AC3" w14:textId="77777777" w:rsidR="00E02F30" w:rsidRPr="00E02F30" w:rsidRDefault="00E02F30" w:rsidP="00E02F30">
      <w:pPr>
        <w:keepNext/>
        <w:spacing w:before="60" w:after="120" w:line="276" w:lineRule="auto"/>
        <w:jc w:val="both"/>
        <w:rPr>
          <w:rFonts w:eastAsia="Times New Roman" w:cs="Arial"/>
          <w:b/>
          <w:szCs w:val="24"/>
          <w:lang w:eastAsia="pl-PL"/>
        </w:rPr>
      </w:pPr>
      <w:r w:rsidRPr="00E02F30">
        <w:rPr>
          <w:rFonts w:eastAsia="Times New Roman" w:cs="Arial"/>
          <w:b/>
          <w:szCs w:val="24"/>
          <w:lang w:eastAsia="pl-PL"/>
        </w:rPr>
        <w:t>I.2.1. Linia produkcyjna nienasyconych (lub zamiennie nasyconych) żywic poliestrowych w obiekcie 501</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Przedstawia opis 29 urządzeń stosowanych w lini produkcyjnej instalacji w obiekcie 501 z punktu widzenia przeciwdziałania zanieczyszczeniom. Jest podana nazwa oraz typ urządzenia, ich ilość, parametry techniczne oraz zabezpieczenia mające na celu ograniczenie emisji do środowiska."/>
      </w:tblPr>
      <w:tblGrid>
        <w:gridCol w:w="704"/>
        <w:gridCol w:w="1701"/>
        <w:gridCol w:w="567"/>
        <w:gridCol w:w="3091"/>
        <w:gridCol w:w="3649"/>
      </w:tblGrid>
      <w:tr w:rsidR="00E02F30" w:rsidRPr="00E02F30" w14:paraId="05A18657" w14:textId="77777777" w:rsidTr="00A1631B">
        <w:trPr>
          <w:trHeight w:val="465"/>
          <w:tblHeader/>
        </w:trPr>
        <w:tc>
          <w:tcPr>
            <w:tcW w:w="704" w:type="dxa"/>
            <w:vMerge w:val="restart"/>
            <w:shd w:val="clear" w:color="auto" w:fill="auto"/>
            <w:vAlign w:val="center"/>
          </w:tcPr>
          <w:p w14:paraId="1C85A94B" w14:textId="77777777" w:rsidR="00E02F30" w:rsidRPr="00E02F30" w:rsidRDefault="00E02F30" w:rsidP="00E02F30">
            <w:pPr>
              <w:spacing w:before="120" w:after="0" w:line="276" w:lineRule="auto"/>
              <w:jc w:val="both"/>
              <w:rPr>
                <w:rFonts w:eastAsia="Times New Roman" w:cs="Arial"/>
                <w:b/>
                <w:sz w:val="18"/>
                <w:szCs w:val="18"/>
                <w:lang w:eastAsia="pl-PL"/>
              </w:rPr>
            </w:pPr>
            <w:r w:rsidRPr="00E02F30">
              <w:rPr>
                <w:rFonts w:eastAsia="Times New Roman" w:cs="Arial"/>
                <w:b/>
                <w:sz w:val="18"/>
                <w:szCs w:val="18"/>
                <w:lang w:eastAsia="pl-PL"/>
              </w:rPr>
              <w:t>Lp.</w:t>
            </w:r>
          </w:p>
        </w:tc>
        <w:tc>
          <w:tcPr>
            <w:tcW w:w="1701" w:type="dxa"/>
            <w:vMerge w:val="restart"/>
            <w:shd w:val="clear" w:color="auto" w:fill="auto"/>
            <w:vAlign w:val="center"/>
          </w:tcPr>
          <w:p w14:paraId="4EBC5C8A" w14:textId="77777777" w:rsidR="00E02F30" w:rsidRPr="00E02F30" w:rsidRDefault="00E02F30" w:rsidP="00E02F30">
            <w:pPr>
              <w:spacing w:before="120" w:after="0" w:line="276" w:lineRule="auto"/>
              <w:jc w:val="both"/>
              <w:rPr>
                <w:rFonts w:eastAsia="Times New Roman" w:cs="Arial"/>
                <w:b/>
                <w:sz w:val="18"/>
                <w:szCs w:val="18"/>
                <w:lang w:eastAsia="pl-PL"/>
              </w:rPr>
            </w:pPr>
            <w:r w:rsidRPr="00E02F30">
              <w:rPr>
                <w:rFonts w:eastAsia="Times New Roman" w:cs="Arial"/>
                <w:b/>
                <w:sz w:val="18"/>
                <w:szCs w:val="18"/>
                <w:lang w:eastAsia="pl-PL"/>
              </w:rPr>
              <w:t>Nazwa, typ urządzenia</w:t>
            </w:r>
          </w:p>
        </w:tc>
        <w:tc>
          <w:tcPr>
            <w:tcW w:w="567" w:type="dxa"/>
            <w:vMerge w:val="restart"/>
            <w:shd w:val="clear" w:color="auto" w:fill="auto"/>
            <w:vAlign w:val="center"/>
          </w:tcPr>
          <w:p w14:paraId="2B37001D" w14:textId="77777777" w:rsidR="00E02F30" w:rsidRPr="00E02F30" w:rsidRDefault="00E02F30" w:rsidP="00E02F30">
            <w:pPr>
              <w:spacing w:before="120" w:after="0" w:line="276" w:lineRule="auto"/>
              <w:jc w:val="both"/>
              <w:rPr>
                <w:rFonts w:eastAsia="Times New Roman" w:cs="Arial"/>
                <w:b/>
                <w:sz w:val="18"/>
                <w:szCs w:val="18"/>
                <w:lang w:eastAsia="pl-PL"/>
              </w:rPr>
            </w:pPr>
            <w:r w:rsidRPr="00E02F30">
              <w:rPr>
                <w:rFonts w:eastAsia="Times New Roman" w:cs="Arial"/>
                <w:b/>
                <w:sz w:val="18"/>
                <w:szCs w:val="18"/>
                <w:lang w:eastAsia="pl-PL"/>
              </w:rPr>
              <w:t>Ilość</w:t>
            </w:r>
          </w:p>
          <w:p w14:paraId="780C142D" w14:textId="77777777" w:rsidR="00E02F30" w:rsidRPr="00E02F30" w:rsidRDefault="00E02F30" w:rsidP="00E02F30">
            <w:pPr>
              <w:spacing w:before="120" w:after="0" w:line="276" w:lineRule="auto"/>
              <w:jc w:val="both"/>
              <w:rPr>
                <w:rFonts w:eastAsia="Times New Roman" w:cs="Arial"/>
                <w:b/>
                <w:sz w:val="18"/>
                <w:szCs w:val="18"/>
                <w:lang w:eastAsia="pl-PL"/>
              </w:rPr>
            </w:pPr>
            <w:r w:rsidRPr="00E02F30">
              <w:rPr>
                <w:rFonts w:eastAsia="Times New Roman" w:cs="Arial"/>
                <w:b/>
                <w:sz w:val="18"/>
                <w:szCs w:val="18"/>
                <w:lang w:eastAsia="pl-PL"/>
              </w:rPr>
              <w:t>szt.</w:t>
            </w:r>
          </w:p>
        </w:tc>
        <w:tc>
          <w:tcPr>
            <w:tcW w:w="3091" w:type="dxa"/>
            <w:vMerge w:val="restart"/>
            <w:shd w:val="clear" w:color="auto" w:fill="auto"/>
            <w:vAlign w:val="center"/>
          </w:tcPr>
          <w:p w14:paraId="026EF2AB" w14:textId="77777777" w:rsidR="00E02F30" w:rsidRPr="00E02F30" w:rsidRDefault="00E02F30" w:rsidP="00E02F30">
            <w:pPr>
              <w:spacing w:before="120" w:after="0" w:line="276" w:lineRule="auto"/>
              <w:jc w:val="both"/>
              <w:rPr>
                <w:rFonts w:eastAsia="Times New Roman" w:cs="Arial"/>
                <w:b/>
                <w:sz w:val="18"/>
                <w:szCs w:val="18"/>
                <w:lang w:eastAsia="pl-PL"/>
              </w:rPr>
            </w:pPr>
            <w:r w:rsidRPr="00E02F30">
              <w:rPr>
                <w:rFonts w:eastAsia="Times New Roman" w:cs="Arial"/>
                <w:b/>
                <w:sz w:val="18"/>
                <w:szCs w:val="18"/>
                <w:lang w:eastAsia="pl-PL"/>
              </w:rPr>
              <w:t>Parametry techniczne,</w:t>
            </w:r>
          </w:p>
          <w:p w14:paraId="75604862" w14:textId="77777777" w:rsidR="00E02F30" w:rsidRPr="00E02F30" w:rsidRDefault="00E02F30" w:rsidP="00E02F30">
            <w:pPr>
              <w:spacing w:before="120" w:after="0" w:line="276" w:lineRule="auto"/>
              <w:jc w:val="both"/>
              <w:rPr>
                <w:rFonts w:eastAsia="Times New Roman" w:cs="Arial"/>
                <w:b/>
                <w:sz w:val="18"/>
                <w:szCs w:val="18"/>
                <w:lang w:eastAsia="pl-PL"/>
              </w:rPr>
            </w:pPr>
            <w:r w:rsidRPr="00E02F30">
              <w:rPr>
                <w:rFonts w:eastAsia="Times New Roman" w:cs="Arial"/>
                <w:b/>
                <w:sz w:val="18"/>
                <w:szCs w:val="18"/>
                <w:lang w:eastAsia="pl-PL"/>
              </w:rPr>
              <w:t>wyposażenie</w:t>
            </w:r>
          </w:p>
        </w:tc>
        <w:tc>
          <w:tcPr>
            <w:tcW w:w="3649" w:type="dxa"/>
            <w:vMerge w:val="restart"/>
            <w:shd w:val="clear" w:color="auto" w:fill="auto"/>
            <w:vAlign w:val="center"/>
          </w:tcPr>
          <w:p w14:paraId="09C5D5A3" w14:textId="77777777" w:rsidR="00E02F30" w:rsidRPr="00E02F30" w:rsidRDefault="00E02F30" w:rsidP="00E02F30">
            <w:pPr>
              <w:spacing w:before="120" w:after="0" w:line="276" w:lineRule="auto"/>
              <w:jc w:val="both"/>
              <w:rPr>
                <w:rFonts w:eastAsia="Times New Roman" w:cs="Arial"/>
                <w:b/>
                <w:sz w:val="18"/>
                <w:szCs w:val="18"/>
                <w:lang w:eastAsia="pl-PL"/>
              </w:rPr>
            </w:pPr>
            <w:r w:rsidRPr="00E02F30">
              <w:rPr>
                <w:rFonts w:eastAsia="Times New Roman" w:cs="Arial"/>
                <w:b/>
                <w:sz w:val="18"/>
                <w:szCs w:val="18"/>
                <w:lang w:eastAsia="pl-PL"/>
              </w:rPr>
              <w:t xml:space="preserve"> Zabezpieczenie mające na celu ograniczenie emisji do środowiska</w:t>
            </w:r>
          </w:p>
        </w:tc>
      </w:tr>
      <w:tr w:rsidR="00E02F30" w:rsidRPr="00E02F30" w14:paraId="0A80E00B" w14:textId="77777777" w:rsidTr="00A1631B">
        <w:trPr>
          <w:trHeight w:val="358"/>
          <w:tblHeader/>
        </w:trPr>
        <w:tc>
          <w:tcPr>
            <w:tcW w:w="704" w:type="dxa"/>
            <w:vMerge/>
            <w:shd w:val="clear" w:color="auto" w:fill="auto"/>
          </w:tcPr>
          <w:p w14:paraId="20AB6CF5" w14:textId="77777777" w:rsidR="00E02F30" w:rsidRPr="00E02F30" w:rsidRDefault="00E02F30" w:rsidP="00E02F30">
            <w:pPr>
              <w:keepNext/>
              <w:spacing w:before="60" w:after="60" w:line="276" w:lineRule="auto"/>
              <w:ind w:firstLine="709"/>
              <w:jc w:val="both"/>
              <w:rPr>
                <w:rFonts w:eastAsia="Times New Roman" w:cs="Arial"/>
                <w:sz w:val="18"/>
                <w:szCs w:val="18"/>
                <w:lang w:eastAsia="pl-PL"/>
              </w:rPr>
            </w:pPr>
          </w:p>
        </w:tc>
        <w:tc>
          <w:tcPr>
            <w:tcW w:w="1701" w:type="dxa"/>
            <w:vMerge/>
            <w:shd w:val="clear" w:color="auto" w:fill="auto"/>
          </w:tcPr>
          <w:p w14:paraId="6B7FB311" w14:textId="77777777" w:rsidR="00E02F30" w:rsidRPr="00E02F30" w:rsidRDefault="00E02F30" w:rsidP="00E02F30">
            <w:pPr>
              <w:keepNext/>
              <w:spacing w:before="60" w:after="60" w:line="276" w:lineRule="auto"/>
              <w:ind w:firstLine="709"/>
              <w:jc w:val="both"/>
              <w:rPr>
                <w:rFonts w:eastAsia="Times New Roman" w:cs="Arial"/>
                <w:sz w:val="18"/>
                <w:szCs w:val="18"/>
                <w:lang w:eastAsia="pl-PL"/>
              </w:rPr>
            </w:pPr>
          </w:p>
        </w:tc>
        <w:tc>
          <w:tcPr>
            <w:tcW w:w="567" w:type="dxa"/>
            <w:vMerge/>
            <w:shd w:val="clear" w:color="auto" w:fill="auto"/>
          </w:tcPr>
          <w:p w14:paraId="1D0578A2" w14:textId="77777777" w:rsidR="00E02F30" w:rsidRPr="00E02F30" w:rsidRDefault="00E02F30" w:rsidP="00E02F30">
            <w:pPr>
              <w:keepNext/>
              <w:spacing w:before="60" w:after="60" w:line="276" w:lineRule="auto"/>
              <w:ind w:firstLine="709"/>
              <w:jc w:val="both"/>
              <w:rPr>
                <w:rFonts w:eastAsia="Times New Roman" w:cs="Arial"/>
                <w:sz w:val="18"/>
                <w:szCs w:val="18"/>
                <w:lang w:eastAsia="pl-PL"/>
              </w:rPr>
            </w:pPr>
          </w:p>
        </w:tc>
        <w:tc>
          <w:tcPr>
            <w:tcW w:w="3091" w:type="dxa"/>
            <w:vMerge/>
            <w:shd w:val="clear" w:color="auto" w:fill="auto"/>
          </w:tcPr>
          <w:p w14:paraId="75F1903A" w14:textId="77777777" w:rsidR="00E02F30" w:rsidRPr="00E02F30" w:rsidRDefault="00E02F30" w:rsidP="00E02F30">
            <w:pPr>
              <w:keepNext/>
              <w:spacing w:before="60" w:after="60" w:line="276" w:lineRule="auto"/>
              <w:ind w:firstLine="709"/>
              <w:jc w:val="both"/>
              <w:rPr>
                <w:rFonts w:eastAsia="Times New Roman" w:cs="Arial"/>
                <w:sz w:val="18"/>
                <w:szCs w:val="18"/>
                <w:lang w:eastAsia="pl-PL"/>
              </w:rPr>
            </w:pPr>
          </w:p>
        </w:tc>
        <w:tc>
          <w:tcPr>
            <w:tcW w:w="3649" w:type="dxa"/>
            <w:vMerge/>
            <w:shd w:val="clear" w:color="auto" w:fill="auto"/>
          </w:tcPr>
          <w:p w14:paraId="4F36F5CF" w14:textId="77777777" w:rsidR="00E02F30" w:rsidRPr="00E02F30" w:rsidRDefault="00E02F30" w:rsidP="00E02F30">
            <w:pPr>
              <w:keepNext/>
              <w:spacing w:before="60" w:after="60" w:line="276" w:lineRule="auto"/>
              <w:ind w:firstLine="709"/>
              <w:jc w:val="both"/>
              <w:rPr>
                <w:rFonts w:eastAsia="Times New Roman" w:cs="Arial"/>
                <w:sz w:val="18"/>
                <w:szCs w:val="18"/>
                <w:lang w:eastAsia="pl-PL"/>
              </w:rPr>
            </w:pPr>
          </w:p>
        </w:tc>
      </w:tr>
      <w:tr w:rsidR="00E02F30" w:rsidRPr="00E02F30" w14:paraId="1B30C9D4" w14:textId="77777777" w:rsidTr="00A1631B">
        <w:trPr>
          <w:trHeight w:val="917"/>
        </w:trPr>
        <w:tc>
          <w:tcPr>
            <w:tcW w:w="704" w:type="dxa"/>
          </w:tcPr>
          <w:p w14:paraId="0D1FB14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1701" w:type="dxa"/>
          </w:tcPr>
          <w:p w14:paraId="13E1D6B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Reaktor nr 1</w:t>
            </w:r>
          </w:p>
        </w:tc>
        <w:tc>
          <w:tcPr>
            <w:tcW w:w="567" w:type="dxa"/>
          </w:tcPr>
          <w:p w14:paraId="59F76BC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03EF3CD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V = 2,2 m</w:t>
            </w:r>
            <w:r w:rsidRPr="00E02F30">
              <w:rPr>
                <w:rFonts w:eastAsia="Times New Roman" w:cs="Arial"/>
                <w:sz w:val="18"/>
                <w:szCs w:val="18"/>
                <w:vertAlign w:val="superscript"/>
                <w:lang w:eastAsia="pl-PL"/>
              </w:rPr>
              <w:t>3</w:t>
            </w:r>
          </w:p>
          <w:p w14:paraId="0BFEB64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grzewczo-chłodząca ( para-woda )</w:t>
            </w:r>
          </w:p>
          <w:p w14:paraId="45A3093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grzewczo-chłodzący</w:t>
            </w:r>
          </w:p>
          <w:p w14:paraId="1AA5A43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(para- woda )</w:t>
            </w:r>
          </w:p>
          <w:p w14:paraId="5F9A1AB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35FFA98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649" w:type="dxa"/>
          </w:tcPr>
          <w:p w14:paraId="2C18ACF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sterowanie temperaturą,</w:t>
            </w:r>
            <w:r w:rsidRPr="00E02F30">
              <w:rPr>
                <w:rFonts w:eastAsia="Times New Roman" w:cs="Arial"/>
                <w:sz w:val="18"/>
                <w:szCs w:val="18"/>
                <w:lang w:eastAsia="pl-PL"/>
              </w:rPr>
              <w:br/>
              <w:t>- układ próżniowy,</w:t>
            </w:r>
            <w:r w:rsidRPr="00E02F30">
              <w:rPr>
                <w:rFonts w:eastAsia="Times New Roman" w:cs="Arial"/>
                <w:sz w:val="18"/>
                <w:szCs w:val="18"/>
                <w:lang w:eastAsia="pl-PL"/>
              </w:rPr>
              <w:br/>
              <w:t xml:space="preserve">- odprowadzenie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przez </w:t>
            </w:r>
          </w:p>
          <w:p w14:paraId="49AF52C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absorber – zraszany wodą ,</w:t>
            </w:r>
          </w:p>
          <w:p w14:paraId="66082D4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zlokalizowany w pomieszczeniu obiektu 501 z kanalizacją ścieków przemysłowych </w:t>
            </w:r>
          </w:p>
          <w:p w14:paraId="62BD0BF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0980545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reaktora kierowane są do dopalacza – emitor E-2/Z</w:t>
            </w:r>
          </w:p>
        </w:tc>
      </w:tr>
      <w:tr w:rsidR="00E02F30" w:rsidRPr="00E02F30" w14:paraId="6C0A69B6" w14:textId="77777777" w:rsidTr="00A1631B">
        <w:trPr>
          <w:trHeight w:val="634"/>
        </w:trPr>
        <w:tc>
          <w:tcPr>
            <w:tcW w:w="704" w:type="dxa"/>
          </w:tcPr>
          <w:p w14:paraId="39BB884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w:t>
            </w:r>
          </w:p>
        </w:tc>
        <w:tc>
          <w:tcPr>
            <w:tcW w:w="1701" w:type="dxa"/>
          </w:tcPr>
          <w:p w14:paraId="6A6809D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Reaktory nr 2,3</w:t>
            </w:r>
          </w:p>
        </w:tc>
        <w:tc>
          <w:tcPr>
            <w:tcW w:w="567" w:type="dxa"/>
          </w:tcPr>
          <w:p w14:paraId="344DAB0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w:t>
            </w:r>
          </w:p>
        </w:tc>
        <w:tc>
          <w:tcPr>
            <w:tcW w:w="3091" w:type="dxa"/>
          </w:tcPr>
          <w:p w14:paraId="22A83C4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V = 2,5 m</w:t>
            </w:r>
            <w:r w:rsidRPr="00E02F30">
              <w:rPr>
                <w:rFonts w:eastAsia="Times New Roman" w:cs="Arial"/>
                <w:sz w:val="18"/>
                <w:szCs w:val="18"/>
                <w:vertAlign w:val="superscript"/>
                <w:lang w:eastAsia="pl-PL"/>
              </w:rPr>
              <w:t>3</w:t>
            </w:r>
          </w:p>
          <w:p w14:paraId="2B1C99B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wewnętrzna grzewcza ( para ),</w:t>
            </w:r>
          </w:p>
          <w:p w14:paraId="03414D2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zewnętrzna chłodząca ( woda ),</w:t>
            </w:r>
          </w:p>
          <w:p w14:paraId="7B3ABFC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17DC9FA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649" w:type="dxa"/>
          </w:tcPr>
          <w:p w14:paraId="05E65AA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układ próżniowy</w:t>
            </w:r>
            <w:r w:rsidRPr="00E02F30">
              <w:rPr>
                <w:rFonts w:eastAsia="Times New Roman" w:cs="Arial"/>
                <w:sz w:val="18"/>
                <w:szCs w:val="18"/>
                <w:lang w:eastAsia="pl-PL"/>
              </w:rPr>
              <w:br/>
              <w:t xml:space="preserve"> - sterowanie temperaturą,</w:t>
            </w:r>
            <w:r w:rsidRPr="00E02F30">
              <w:rPr>
                <w:rFonts w:eastAsia="Times New Roman" w:cs="Arial"/>
                <w:sz w:val="18"/>
                <w:szCs w:val="18"/>
                <w:lang w:eastAsia="pl-PL"/>
              </w:rPr>
              <w:br/>
              <w:t>- kolumna zwrotna</w:t>
            </w:r>
            <w:r w:rsidRPr="00E02F30">
              <w:rPr>
                <w:rFonts w:eastAsia="Times New Roman" w:cs="Arial"/>
                <w:sz w:val="18"/>
                <w:szCs w:val="18"/>
                <w:lang w:eastAsia="pl-PL"/>
              </w:rPr>
              <w:br/>
              <w:t>-  chłodnica  opar</w:t>
            </w:r>
          </w:p>
          <w:p w14:paraId="712FC7D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i/lub pod lustro cieczy </w:t>
            </w:r>
          </w:p>
          <w:p w14:paraId="5111D4B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341AACC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zlokalizowane w pomieszczeniu obiektu 501 z kanalizacją ścieków przemysłowych ,</w:t>
            </w:r>
          </w:p>
          <w:p w14:paraId="7E63138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doE-9/Z</w:t>
            </w:r>
          </w:p>
          <w:p w14:paraId="39F0F59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reaktorów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tc>
      </w:tr>
      <w:tr w:rsidR="00E02F30" w:rsidRPr="00E02F30" w14:paraId="74517C3D" w14:textId="77777777" w:rsidTr="00A1631B">
        <w:trPr>
          <w:trHeight w:val="654"/>
        </w:trPr>
        <w:tc>
          <w:tcPr>
            <w:tcW w:w="704" w:type="dxa"/>
          </w:tcPr>
          <w:p w14:paraId="66864C5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3.</w:t>
            </w:r>
          </w:p>
        </w:tc>
        <w:tc>
          <w:tcPr>
            <w:tcW w:w="1701" w:type="dxa"/>
          </w:tcPr>
          <w:p w14:paraId="492CD00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Reaktor nr 5</w:t>
            </w:r>
          </w:p>
        </w:tc>
        <w:tc>
          <w:tcPr>
            <w:tcW w:w="567" w:type="dxa"/>
          </w:tcPr>
          <w:p w14:paraId="5735452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31AAD43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V = 2,2 m</w:t>
            </w:r>
            <w:r w:rsidRPr="00E02F30">
              <w:rPr>
                <w:rFonts w:eastAsia="Times New Roman" w:cs="Arial"/>
                <w:sz w:val="18"/>
                <w:szCs w:val="18"/>
                <w:vertAlign w:val="superscript"/>
                <w:lang w:eastAsia="pl-PL"/>
              </w:rPr>
              <w:t>3</w:t>
            </w:r>
          </w:p>
          <w:p w14:paraId="019D17A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grzewczo-chłodząca ( para-woda )</w:t>
            </w:r>
          </w:p>
          <w:p w14:paraId="02A1464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-warstwa izolacyjna na ściankach</w:t>
            </w:r>
          </w:p>
          <w:p w14:paraId="0012A94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p w14:paraId="66F4DBB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649" w:type="dxa"/>
          </w:tcPr>
          <w:p w14:paraId="5A9D377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sterowanie temperaturą</w:t>
            </w:r>
            <w:r w:rsidRPr="00E02F30">
              <w:rPr>
                <w:rFonts w:eastAsia="Times New Roman" w:cs="Arial"/>
                <w:sz w:val="18"/>
                <w:szCs w:val="18"/>
                <w:lang w:eastAsia="pl-PL"/>
              </w:rPr>
              <w:br/>
              <w:t>- kolumna zwrotna</w:t>
            </w:r>
            <w:r w:rsidRPr="00E02F30">
              <w:rPr>
                <w:rFonts w:eastAsia="Times New Roman" w:cs="Arial"/>
                <w:sz w:val="18"/>
                <w:szCs w:val="18"/>
                <w:lang w:eastAsia="pl-PL"/>
              </w:rPr>
              <w:br/>
              <w:t>-  chłodnica  opar</w:t>
            </w:r>
          </w:p>
          <w:p w14:paraId="5C66AF7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6A6762F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1B4D8B8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zlokalizowany w pomieszczeniu obiektu 501 z kanalizacją ścieków przemysłowych </w:t>
            </w:r>
          </w:p>
          <w:p w14:paraId="08EEB16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4818A3D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reaktora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tc>
      </w:tr>
      <w:tr w:rsidR="00E02F30" w:rsidRPr="00E02F30" w14:paraId="5419E6D6" w14:textId="77777777" w:rsidTr="00A1631B">
        <w:trPr>
          <w:trHeight w:val="674"/>
        </w:trPr>
        <w:tc>
          <w:tcPr>
            <w:tcW w:w="704" w:type="dxa"/>
          </w:tcPr>
          <w:p w14:paraId="75181EE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4.</w:t>
            </w:r>
          </w:p>
        </w:tc>
        <w:tc>
          <w:tcPr>
            <w:tcW w:w="1701" w:type="dxa"/>
          </w:tcPr>
          <w:p w14:paraId="39666FB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Reaktor nr 7</w:t>
            </w:r>
          </w:p>
        </w:tc>
        <w:tc>
          <w:tcPr>
            <w:tcW w:w="567" w:type="dxa"/>
          </w:tcPr>
          <w:p w14:paraId="29D98E3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1A3089D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2,2 m</w:t>
            </w:r>
            <w:r w:rsidRPr="00E02F30">
              <w:rPr>
                <w:rFonts w:eastAsia="Times New Roman" w:cs="Arial"/>
                <w:sz w:val="18"/>
                <w:szCs w:val="18"/>
                <w:vertAlign w:val="superscript"/>
                <w:lang w:eastAsia="pl-PL"/>
              </w:rPr>
              <w:t>3</w:t>
            </w:r>
          </w:p>
          <w:p w14:paraId="53243AF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wężownica wewnętrzna grzewcza ( para )</w:t>
            </w:r>
          </w:p>
          <w:p w14:paraId="2FF620D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zewnętrzna chłodząca ( woda )</w:t>
            </w:r>
          </w:p>
          <w:p w14:paraId="1056CA8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6CA4382A" w14:textId="77777777" w:rsidR="00E02F30" w:rsidRPr="00E02F30" w:rsidRDefault="00E02F30" w:rsidP="00E02F30">
            <w:pPr>
              <w:spacing w:before="40" w:after="40" w:line="276" w:lineRule="auto"/>
              <w:jc w:val="both"/>
              <w:rPr>
                <w:rFonts w:eastAsia="Times New Roman" w:cs="Arial"/>
                <w:sz w:val="18"/>
                <w:szCs w:val="18"/>
                <w:lang w:eastAsia="pl-PL"/>
              </w:rPr>
            </w:pPr>
          </w:p>
          <w:p w14:paraId="730B9A04"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649" w:type="dxa"/>
          </w:tcPr>
          <w:p w14:paraId="1F2087E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układ próżniowy</w:t>
            </w:r>
            <w:r w:rsidRPr="00E02F30">
              <w:rPr>
                <w:rFonts w:eastAsia="Times New Roman" w:cs="Arial"/>
                <w:sz w:val="18"/>
                <w:szCs w:val="18"/>
                <w:lang w:eastAsia="pl-PL"/>
              </w:rPr>
              <w:br/>
              <w:t xml:space="preserve"> - sterowanie temperaturą,</w:t>
            </w:r>
            <w:r w:rsidRPr="00E02F30">
              <w:rPr>
                <w:rFonts w:eastAsia="Times New Roman" w:cs="Arial"/>
                <w:sz w:val="18"/>
                <w:szCs w:val="18"/>
                <w:lang w:eastAsia="pl-PL"/>
              </w:rPr>
              <w:br/>
              <w:t>- kolumna zwrotna</w:t>
            </w:r>
            <w:r w:rsidRPr="00E02F30">
              <w:rPr>
                <w:rFonts w:eastAsia="Times New Roman" w:cs="Arial"/>
                <w:sz w:val="18"/>
                <w:szCs w:val="18"/>
                <w:lang w:eastAsia="pl-PL"/>
              </w:rPr>
              <w:br/>
              <w:t>-  chłodnica  opar</w:t>
            </w:r>
          </w:p>
          <w:p w14:paraId="3E0AC43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i/lub pod lustro cieczy </w:t>
            </w:r>
          </w:p>
          <w:p w14:paraId="3E176D1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23C1F5A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zlokalizowany w pomieszczeniu obiektu 501 z kanalizacją ścieków przemysłowych </w:t>
            </w:r>
          </w:p>
          <w:p w14:paraId="62F92A9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0BE4659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reaktora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tc>
      </w:tr>
      <w:tr w:rsidR="00E02F30" w:rsidRPr="00E02F30" w14:paraId="6A944A08" w14:textId="77777777" w:rsidTr="00A1631B">
        <w:trPr>
          <w:trHeight w:val="142"/>
        </w:trPr>
        <w:tc>
          <w:tcPr>
            <w:tcW w:w="704" w:type="dxa"/>
          </w:tcPr>
          <w:p w14:paraId="00B9743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5.</w:t>
            </w:r>
          </w:p>
        </w:tc>
        <w:tc>
          <w:tcPr>
            <w:tcW w:w="1701" w:type="dxa"/>
          </w:tcPr>
          <w:p w14:paraId="65AB241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nr 1</w:t>
            </w:r>
          </w:p>
        </w:tc>
        <w:tc>
          <w:tcPr>
            <w:tcW w:w="567" w:type="dxa"/>
          </w:tcPr>
          <w:p w14:paraId="71953BB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0521806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2,2 m</w:t>
            </w:r>
            <w:r w:rsidRPr="00E02F30">
              <w:rPr>
                <w:rFonts w:eastAsia="Times New Roman" w:cs="Arial"/>
                <w:sz w:val="18"/>
                <w:szCs w:val="18"/>
                <w:vertAlign w:val="superscript"/>
                <w:lang w:eastAsia="pl-PL"/>
              </w:rPr>
              <w:t>3</w:t>
            </w:r>
          </w:p>
          <w:p w14:paraId="7146BE0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chłodzący (woda)</w:t>
            </w:r>
          </w:p>
          <w:p w14:paraId="41F647D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202E4597"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649" w:type="dxa"/>
          </w:tcPr>
          <w:p w14:paraId="2A3086D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22B125B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zlokalizowany w pomieszczeniu obiektu 501 z kanalizacją ścieków przemysłowych </w:t>
            </w:r>
          </w:p>
          <w:p w14:paraId="0101C2B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3B98A8E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mieszalnika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tc>
      </w:tr>
      <w:tr w:rsidR="00E02F30" w:rsidRPr="00E02F30" w14:paraId="56607817" w14:textId="77777777" w:rsidTr="00A1631B">
        <w:trPr>
          <w:trHeight w:val="398"/>
        </w:trPr>
        <w:tc>
          <w:tcPr>
            <w:tcW w:w="704" w:type="dxa"/>
          </w:tcPr>
          <w:p w14:paraId="55E90F5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6.</w:t>
            </w:r>
          </w:p>
        </w:tc>
        <w:tc>
          <w:tcPr>
            <w:tcW w:w="1701" w:type="dxa"/>
          </w:tcPr>
          <w:p w14:paraId="68FE4EC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nr 2</w:t>
            </w:r>
          </w:p>
        </w:tc>
        <w:tc>
          <w:tcPr>
            <w:tcW w:w="567" w:type="dxa"/>
          </w:tcPr>
          <w:p w14:paraId="7F21F24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5458658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3,5 m</w:t>
            </w:r>
            <w:r w:rsidRPr="00E02F30">
              <w:rPr>
                <w:rFonts w:eastAsia="Times New Roman" w:cs="Arial"/>
                <w:sz w:val="18"/>
                <w:szCs w:val="18"/>
                <w:vertAlign w:val="superscript"/>
                <w:lang w:eastAsia="pl-PL"/>
              </w:rPr>
              <w:t>3</w:t>
            </w:r>
            <w:r w:rsidRPr="00E02F30">
              <w:rPr>
                <w:rFonts w:eastAsia="Times New Roman" w:cs="Arial"/>
                <w:sz w:val="18"/>
                <w:szCs w:val="18"/>
                <w:lang w:eastAsia="pl-PL"/>
              </w:rPr>
              <w:t xml:space="preserve"> </w:t>
            </w:r>
          </w:p>
          <w:p w14:paraId="5E3C073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chłodząca (woda )</w:t>
            </w:r>
          </w:p>
          <w:p w14:paraId="3FEDD00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chłodzący (woda)</w:t>
            </w:r>
          </w:p>
          <w:p w14:paraId="215175F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4D27D9D3"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649" w:type="dxa"/>
          </w:tcPr>
          <w:p w14:paraId="0CDC63F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chłodnica zwrotna opar,</w:t>
            </w:r>
          </w:p>
          <w:p w14:paraId="7DF405A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1589820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574D2BF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zlokalizowany w pomieszczeniu obiektu 501 z kanalizacją ścieków przemysłowych </w:t>
            </w:r>
          </w:p>
          <w:p w14:paraId="469C872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7DF90C7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mieszalnika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tc>
      </w:tr>
      <w:tr w:rsidR="00E02F30" w:rsidRPr="00E02F30" w14:paraId="345A2C0A" w14:textId="77777777" w:rsidTr="00A1631B">
        <w:trPr>
          <w:trHeight w:val="55"/>
        </w:trPr>
        <w:tc>
          <w:tcPr>
            <w:tcW w:w="704" w:type="dxa"/>
          </w:tcPr>
          <w:p w14:paraId="4DEBE73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7.</w:t>
            </w:r>
          </w:p>
        </w:tc>
        <w:tc>
          <w:tcPr>
            <w:tcW w:w="1701" w:type="dxa"/>
          </w:tcPr>
          <w:p w14:paraId="6E111EA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Mieszalnik nr 3 </w:t>
            </w:r>
          </w:p>
        </w:tc>
        <w:tc>
          <w:tcPr>
            <w:tcW w:w="567" w:type="dxa"/>
          </w:tcPr>
          <w:p w14:paraId="21D22DC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173248C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2,2 m</w:t>
            </w:r>
            <w:r w:rsidRPr="00E02F30">
              <w:rPr>
                <w:rFonts w:eastAsia="Times New Roman" w:cs="Arial"/>
                <w:sz w:val="18"/>
                <w:szCs w:val="18"/>
                <w:vertAlign w:val="superscript"/>
                <w:lang w:eastAsia="pl-PL"/>
              </w:rPr>
              <w:t>3</w:t>
            </w:r>
          </w:p>
          <w:p w14:paraId="7F1E402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chłodząca (woda )</w:t>
            </w:r>
          </w:p>
          <w:p w14:paraId="468FCD7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chłodzący (woda)</w:t>
            </w:r>
          </w:p>
          <w:p w14:paraId="15C9479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65CC0FA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649" w:type="dxa"/>
          </w:tcPr>
          <w:p w14:paraId="60820C9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chłodnica zwrotna opar</w:t>
            </w:r>
          </w:p>
          <w:p w14:paraId="7829747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6965C5E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0065420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zlokalizowany w pomieszczeniu obiektu 501 z kanalizacją ścieków przemysłowych </w:t>
            </w:r>
          </w:p>
          <w:p w14:paraId="47A3A31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6BB5B12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mieszalnika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tc>
      </w:tr>
      <w:tr w:rsidR="00E02F30" w:rsidRPr="00E02F30" w14:paraId="29CC66DD" w14:textId="77777777" w:rsidTr="00A1631B">
        <w:trPr>
          <w:trHeight w:val="341"/>
        </w:trPr>
        <w:tc>
          <w:tcPr>
            <w:tcW w:w="704" w:type="dxa"/>
          </w:tcPr>
          <w:p w14:paraId="025853A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8.</w:t>
            </w:r>
          </w:p>
        </w:tc>
        <w:tc>
          <w:tcPr>
            <w:tcW w:w="1701" w:type="dxa"/>
          </w:tcPr>
          <w:p w14:paraId="118ED7B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nr 4</w:t>
            </w:r>
          </w:p>
        </w:tc>
        <w:tc>
          <w:tcPr>
            <w:tcW w:w="567" w:type="dxa"/>
          </w:tcPr>
          <w:p w14:paraId="2FF7108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3441011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2,8 m</w:t>
            </w:r>
            <w:r w:rsidRPr="00E02F30">
              <w:rPr>
                <w:rFonts w:eastAsia="Times New Roman" w:cs="Arial"/>
                <w:sz w:val="18"/>
                <w:szCs w:val="18"/>
                <w:vertAlign w:val="superscript"/>
                <w:lang w:eastAsia="pl-PL"/>
              </w:rPr>
              <w:t>3</w:t>
            </w:r>
          </w:p>
          <w:p w14:paraId="3CD40CE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chłodząca (woda )</w:t>
            </w:r>
          </w:p>
          <w:p w14:paraId="2E00A8B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chłodzący ( woda )</w:t>
            </w:r>
          </w:p>
          <w:p w14:paraId="6A54DB9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5479977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649" w:type="dxa"/>
          </w:tcPr>
          <w:p w14:paraId="57B44EA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chłodnica zwrotna opar</w:t>
            </w:r>
          </w:p>
          <w:p w14:paraId="3B3A2CC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41D43BB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06038D2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zlokalizowany w pomieszczeniu obiektu 501 z kanalizacją ścieków przemysłowych </w:t>
            </w:r>
          </w:p>
          <w:p w14:paraId="514B21C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4A5BBED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mieszalnika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p w14:paraId="3CB5E985" w14:textId="77777777" w:rsidR="00E02F30" w:rsidRPr="00E02F30" w:rsidRDefault="00E02F30" w:rsidP="00E02F30">
            <w:pPr>
              <w:spacing w:before="40" w:after="40" w:line="276" w:lineRule="auto"/>
              <w:jc w:val="both"/>
              <w:rPr>
                <w:rFonts w:eastAsia="Times New Roman" w:cs="Arial"/>
                <w:sz w:val="18"/>
                <w:szCs w:val="18"/>
                <w:lang w:eastAsia="pl-PL"/>
              </w:rPr>
            </w:pPr>
          </w:p>
        </w:tc>
      </w:tr>
      <w:tr w:rsidR="00E02F30" w:rsidRPr="00E02F30" w14:paraId="529324E5" w14:textId="77777777" w:rsidTr="00A1631B">
        <w:trPr>
          <w:trHeight w:val="335"/>
        </w:trPr>
        <w:tc>
          <w:tcPr>
            <w:tcW w:w="704" w:type="dxa"/>
          </w:tcPr>
          <w:p w14:paraId="2192F41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9.</w:t>
            </w:r>
          </w:p>
        </w:tc>
        <w:tc>
          <w:tcPr>
            <w:tcW w:w="1701" w:type="dxa"/>
          </w:tcPr>
          <w:p w14:paraId="1DAA0A7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nr 5</w:t>
            </w:r>
          </w:p>
        </w:tc>
        <w:tc>
          <w:tcPr>
            <w:tcW w:w="567" w:type="dxa"/>
          </w:tcPr>
          <w:p w14:paraId="1F604C5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4C5DD95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1,2 m</w:t>
            </w:r>
            <w:r w:rsidRPr="00E02F30">
              <w:rPr>
                <w:rFonts w:eastAsia="Times New Roman" w:cs="Arial"/>
                <w:sz w:val="18"/>
                <w:szCs w:val="18"/>
                <w:vertAlign w:val="superscript"/>
                <w:lang w:eastAsia="pl-PL"/>
              </w:rPr>
              <w:t>3</w:t>
            </w:r>
            <w:r w:rsidRPr="00E02F30">
              <w:rPr>
                <w:rFonts w:eastAsia="Times New Roman" w:cs="Arial"/>
                <w:sz w:val="18"/>
                <w:szCs w:val="18"/>
                <w:lang w:eastAsia="pl-PL"/>
              </w:rPr>
              <w:t xml:space="preserve">   </w:t>
            </w:r>
          </w:p>
          <w:p w14:paraId="47686EE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chłodzący ( woda )</w:t>
            </w:r>
          </w:p>
          <w:p w14:paraId="0C73242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383FBC26"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649" w:type="dxa"/>
          </w:tcPr>
          <w:p w14:paraId="0021C39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chłodnica zwrotna opar</w:t>
            </w:r>
          </w:p>
          <w:p w14:paraId="2A58494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17FFD3B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4C6A71D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zlokalizowany w pomieszczeniu obiektu 501 z kanalizacją ścieków przemysłowych </w:t>
            </w:r>
          </w:p>
          <w:p w14:paraId="2A9F2FA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37F524D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mieszalnika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tc>
      </w:tr>
      <w:tr w:rsidR="00E02F30" w:rsidRPr="00E02F30" w14:paraId="05A8EE64" w14:textId="77777777" w:rsidTr="00A1631B">
        <w:trPr>
          <w:trHeight w:val="55"/>
        </w:trPr>
        <w:tc>
          <w:tcPr>
            <w:tcW w:w="704" w:type="dxa"/>
          </w:tcPr>
          <w:p w14:paraId="71FB486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10.</w:t>
            </w:r>
          </w:p>
        </w:tc>
        <w:tc>
          <w:tcPr>
            <w:tcW w:w="1701" w:type="dxa"/>
          </w:tcPr>
          <w:p w14:paraId="5015376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Mieszalniki nr 6, </w:t>
            </w:r>
          </w:p>
        </w:tc>
        <w:tc>
          <w:tcPr>
            <w:tcW w:w="567" w:type="dxa"/>
          </w:tcPr>
          <w:p w14:paraId="58FBA69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4931BFF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2,2 m</w:t>
            </w:r>
            <w:r w:rsidRPr="00E02F30">
              <w:rPr>
                <w:rFonts w:eastAsia="Times New Roman" w:cs="Arial"/>
                <w:sz w:val="18"/>
                <w:szCs w:val="18"/>
                <w:vertAlign w:val="superscript"/>
                <w:lang w:eastAsia="pl-PL"/>
              </w:rPr>
              <w:t>3</w:t>
            </w:r>
          </w:p>
          <w:p w14:paraId="149E8F3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płaszcz chłodzący ( woda ,</w:t>
            </w:r>
          </w:p>
          <w:p w14:paraId="21EA2AE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2F7D5AB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649" w:type="dxa"/>
          </w:tcPr>
          <w:p w14:paraId="770D835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chłodnica zwrotna opar</w:t>
            </w:r>
          </w:p>
          <w:p w14:paraId="5C751D5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13F3600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7AB6F88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zlokalizowany w pomieszczeniu obiektu 501 z kanalizacją ścieków przemysłowych </w:t>
            </w:r>
          </w:p>
          <w:p w14:paraId="586A328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7D21683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mieszalników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tc>
      </w:tr>
      <w:tr w:rsidR="00E02F30" w:rsidRPr="00E02F30" w14:paraId="2F10186C" w14:textId="77777777" w:rsidTr="00A1631B">
        <w:trPr>
          <w:trHeight w:val="55"/>
        </w:trPr>
        <w:tc>
          <w:tcPr>
            <w:tcW w:w="704" w:type="dxa"/>
          </w:tcPr>
          <w:p w14:paraId="3CCE1A1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11. </w:t>
            </w:r>
          </w:p>
        </w:tc>
        <w:tc>
          <w:tcPr>
            <w:tcW w:w="1701" w:type="dxa"/>
          </w:tcPr>
          <w:p w14:paraId="49CCB5A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nr 7</w:t>
            </w:r>
          </w:p>
        </w:tc>
        <w:tc>
          <w:tcPr>
            <w:tcW w:w="567" w:type="dxa"/>
          </w:tcPr>
          <w:p w14:paraId="4D62CAA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620608F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6,5 m</w:t>
            </w:r>
            <w:r w:rsidRPr="00E02F30">
              <w:rPr>
                <w:rFonts w:eastAsia="Times New Roman" w:cs="Arial"/>
                <w:sz w:val="18"/>
                <w:szCs w:val="18"/>
                <w:vertAlign w:val="superscript"/>
                <w:lang w:eastAsia="pl-PL"/>
              </w:rPr>
              <w:t>3</w:t>
            </w:r>
          </w:p>
          <w:p w14:paraId="1C93D05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płaszcz chłodzący ( woda ,</w:t>
            </w:r>
          </w:p>
          <w:p w14:paraId="6DAB774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660D0144"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649" w:type="dxa"/>
          </w:tcPr>
          <w:p w14:paraId="1BF6796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599B326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zawór oddechowy zlokalizowany w pomieszczeniu obiektu 501 z kanalizacją ścieków przemysłowych </w:t>
            </w:r>
          </w:p>
          <w:p w14:paraId="31E8E9F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4F65699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mieszalników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p w14:paraId="008FFE0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układ próżniowy</w:t>
            </w:r>
          </w:p>
        </w:tc>
      </w:tr>
      <w:tr w:rsidR="00E02F30" w:rsidRPr="00E02F30" w14:paraId="601E1217" w14:textId="77777777" w:rsidTr="00A1631B">
        <w:trPr>
          <w:trHeight w:val="55"/>
        </w:trPr>
        <w:tc>
          <w:tcPr>
            <w:tcW w:w="704" w:type="dxa"/>
          </w:tcPr>
          <w:p w14:paraId="1785B99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12.</w:t>
            </w:r>
          </w:p>
        </w:tc>
        <w:tc>
          <w:tcPr>
            <w:tcW w:w="1701" w:type="dxa"/>
          </w:tcPr>
          <w:p w14:paraId="002D600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nr 8</w:t>
            </w:r>
          </w:p>
        </w:tc>
        <w:tc>
          <w:tcPr>
            <w:tcW w:w="567" w:type="dxa"/>
          </w:tcPr>
          <w:p w14:paraId="67C90AD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26B302E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3,7 m</w:t>
            </w:r>
            <w:r w:rsidRPr="00E02F30">
              <w:rPr>
                <w:rFonts w:eastAsia="Times New Roman" w:cs="Arial"/>
                <w:sz w:val="18"/>
                <w:szCs w:val="18"/>
                <w:vertAlign w:val="superscript"/>
                <w:lang w:eastAsia="pl-PL"/>
              </w:rPr>
              <w:t>3</w:t>
            </w:r>
          </w:p>
          <w:p w14:paraId="3C8398C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płaszcz chłodzący (woda)</w:t>
            </w:r>
          </w:p>
          <w:p w14:paraId="1F891F5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6A8397D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649" w:type="dxa"/>
          </w:tcPr>
          <w:p w14:paraId="55658B3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chłodnica zwrotna opar</w:t>
            </w:r>
          </w:p>
          <w:p w14:paraId="3399C07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2C78D9F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334E989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zlokalizowany w pomieszczeniu obiektu 501 z kanalizacją ścieków przemysłowych </w:t>
            </w:r>
          </w:p>
          <w:p w14:paraId="693FE99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53F1037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mieszalnika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tc>
      </w:tr>
      <w:tr w:rsidR="00E02F30" w:rsidRPr="00E02F30" w14:paraId="10CF6E0F" w14:textId="77777777" w:rsidTr="00A1631B">
        <w:trPr>
          <w:trHeight w:val="55"/>
        </w:trPr>
        <w:tc>
          <w:tcPr>
            <w:tcW w:w="704" w:type="dxa"/>
          </w:tcPr>
          <w:p w14:paraId="7CA8E8D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13.</w:t>
            </w:r>
          </w:p>
        </w:tc>
        <w:tc>
          <w:tcPr>
            <w:tcW w:w="1701" w:type="dxa"/>
          </w:tcPr>
          <w:p w14:paraId="76F9CDA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nr 9</w:t>
            </w:r>
          </w:p>
        </w:tc>
        <w:tc>
          <w:tcPr>
            <w:tcW w:w="567" w:type="dxa"/>
          </w:tcPr>
          <w:p w14:paraId="6852A2F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45435D0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3,5 m</w:t>
            </w:r>
            <w:r w:rsidRPr="00E02F30">
              <w:rPr>
                <w:rFonts w:eastAsia="Times New Roman" w:cs="Arial"/>
                <w:sz w:val="18"/>
                <w:szCs w:val="18"/>
                <w:vertAlign w:val="superscript"/>
                <w:lang w:eastAsia="pl-PL"/>
              </w:rPr>
              <w:t>3</w:t>
            </w:r>
          </w:p>
          <w:p w14:paraId="4454102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wężownica chłodząca (woda)</w:t>
            </w:r>
          </w:p>
          <w:p w14:paraId="67FCC71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chłodzący (woda)</w:t>
            </w:r>
          </w:p>
          <w:p w14:paraId="676EA12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-warstwa izolacyjna na ściankach</w:t>
            </w:r>
          </w:p>
          <w:p w14:paraId="1A2979A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
        </w:tc>
        <w:tc>
          <w:tcPr>
            <w:tcW w:w="3649" w:type="dxa"/>
          </w:tcPr>
          <w:p w14:paraId="442C309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chłodnica zwrotna opar</w:t>
            </w:r>
          </w:p>
          <w:p w14:paraId="6E50EA8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3142C09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68E368D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zlokalizowany w pomieszczeniu obiektu 501 z kanalizacją ścieków przemysłowych </w:t>
            </w:r>
          </w:p>
          <w:p w14:paraId="773A40A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10CFD94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mieszalnika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tc>
      </w:tr>
      <w:tr w:rsidR="00E02F30" w:rsidRPr="00E02F30" w14:paraId="701D57EE" w14:textId="77777777" w:rsidTr="00A1631B">
        <w:trPr>
          <w:trHeight w:val="55"/>
        </w:trPr>
        <w:tc>
          <w:tcPr>
            <w:tcW w:w="704" w:type="dxa"/>
          </w:tcPr>
          <w:p w14:paraId="00BDF33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14.</w:t>
            </w:r>
          </w:p>
        </w:tc>
        <w:tc>
          <w:tcPr>
            <w:tcW w:w="1701" w:type="dxa"/>
          </w:tcPr>
          <w:p w14:paraId="12276C0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Zbiorniki żywic żelkotowych nr 1,2</w:t>
            </w:r>
          </w:p>
        </w:tc>
        <w:tc>
          <w:tcPr>
            <w:tcW w:w="567" w:type="dxa"/>
          </w:tcPr>
          <w:p w14:paraId="0D6912F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w:t>
            </w:r>
          </w:p>
        </w:tc>
        <w:tc>
          <w:tcPr>
            <w:tcW w:w="3091" w:type="dxa"/>
          </w:tcPr>
          <w:p w14:paraId="1309E78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2,8 m</w:t>
            </w:r>
            <w:r w:rsidRPr="00E02F30">
              <w:rPr>
                <w:rFonts w:eastAsia="Times New Roman" w:cs="Arial"/>
                <w:sz w:val="18"/>
                <w:szCs w:val="18"/>
                <w:vertAlign w:val="superscript"/>
                <w:lang w:eastAsia="pl-PL"/>
              </w:rPr>
              <w:t>3</w:t>
            </w:r>
          </w:p>
          <w:p w14:paraId="7E0350E2"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649" w:type="dxa"/>
          </w:tcPr>
          <w:p w14:paraId="6042F0D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031D43C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14BE694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zlokalizowane w pomieszczeniu obiektu 501 z kanalizacją ścieków przemysłowych ,</w:t>
            </w:r>
          </w:p>
          <w:p w14:paraId="67D8F0C1" w14:textId="77777777" w:rsidR="00E02F30" w:rsidRPr="00E02F30" w:rsidRDefault="00E02F30" w:rsidP="00E02F30">
            <w:pPr>
              <w:spacing w:before="40" w:after="40" w:line="276" w:lineRule="auto"/>
              <w:jc w:val="both"/>
              <w:rPr>
                <w:rFonts w:eastAsia="Times New Roman" w:cs="Arial"/>
                <w:strike/>
                <w:sz w:val="18"/>
                <w:szCs w:val="18"/>
                <w:lang w:eastAsia="pl-PL"/>
              </w:rPr>
            </w:pPr>
            <w:r w:rsidRPr="00E02F30">
              <w:rPr>
                <w:rFonts w:eastAsia="Times New Roman" w:cs="Arial"/>
                <w:sz w:val="18"/>
                <w:szCs w:val="18"/>
                <w:lang w:eastAsia="pl-PL"/>
              </w:rPr>
              <w:t xml:space="preserve">- wentylacja mechaniczna z pomieszczenia produkcji żelkotów </w:t>
            </w:r>
            <w:r w:rsidRPr="00E02F30">
              <w:rPr>
                <w:rFonts w:eastAsia="Times New Roman" w:cs="Arial"/>
                <w:strike/>
                <w:sz w:val="18"/>
                <w:szCs w:val="18"/>
                <w:lang w:eastAsia="pl-PL"/>
              </w:rPr>
              <w:t xml:space="preserve">– </w:t>
            </w:r>
          </w:p>
          <w:p w14:paraId="0898FC8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kierowana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termicznego – emitor E-2/Z</w:t>
            </w:r>
          </w:p>
        </w:tc>
      </w:tr>
      <w:tr w:rsidR="00E02F30" w:rsidRPr="00E02F30" w14:paraId="4CEA4894" w14:textId="77777777" w:rsidTr="00A1631B">
        <w:trPr>
          <w:trHeight w:val="55"/>
        </w:trPr>
        <w:tc>
          <w:tcPr>
            <w:tcW w:w="704" w:type="dxa"/>
          </w:tcPr>
          <w:p w14:paraId="30C333D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15.</w:t>
            </w:r>
          </w:p>
        </w:tc>
        <w:tc>
          <w:tcPr>
            <w:tcW w:w="1701" w:type="dxa"/>
          </w:tcPr>
          <w:p w14:paraId="4BA83B4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Zbiornik nr 5 żywic poliestrowych </w:t>
            </w:r>
          </w:p>
        </w:tc>
        <w:tc>
          <w:tcPr>
            <w:tcW w:w="567" w:type="dxa"/>
          </w:tcPr>
          <w:p w14:paraId="0FF72F3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18DC418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5 m</w:t>
            </w:r>
            <w:r w:rsidRPr="00E02F30">
              <w:rPr>
                <w:rFonts w:eastAsia="Times New Roman" w:cs="Arial"/>
                <w:sz w:val="18"/>
                <w:szCs w:val="18"/>
                <w:vertAlign w:val="superscript"/>
                <w:lang w:eastAsia="pl-PL"/>
              </w:rPr>
              <w:t>3</w:t>
            </w:r>
          </w:p>
          <w:p w14:paraId="54CBAADE"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649" w:type="dxa"/>
          </w:tcPr>
          <w:p w14:paraId="2466EF0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zawór oddechowy</w:t>
            </w:r>
          </w:p>
          <w:p w14:paraId="1BEC93F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p w14:paraId="5DF656C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zlokalizowane w pomieszczeniu obiektu 501 z kanalizacją ścieków przemysłowych </w:t>
            </w:r>
          </w:p>
          <w:p w14:paraId="4E6D0D6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wentylacja mechaniczna z pomieszczenia – emitory  od E-6/Z do E-9/Z</w:t>
            </w:r>
          </w:p>
          <w:p w14:paraId="48A7155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technologiczne znad zbiorników kierowane są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 emitor E-2/Z</w:t>
            </w:r>
          </w:p>
        </w:tc>
      </w:tr>
      <w:tr w:rsidR="00E02F30" w:rsidRPr="00E02F30" w14:paraId="4CF907C3" w14:textId="77777777" w:rsidTr="00A1631B">
        <w:trPr>
          <w:trHeight w:val="1077"/>
        </w:trPr>
        <w:tc>
          <w:tcPr>
            <w:tcW w:w="704" w:type="dxa"/>
          </w:tcPr>
          <w:p w14:paraId="52EF226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16</w:t>
            </w:r>
          </w:p>
        </w:tc>
        <w:tc>
          <w:tcPr>
            <w:tcW w:w="1701" w:type="dxa"/>
          </w:tcPr>
          <w:p w14:paraId="3B0835B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Zbiornik  6 styrenu</w:t>
            </w:r>
          </w:p>
          <w:p w14:paraId="45028FD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Zbiornik 7 żywicy poliestrowej</w:t>
            </w:r>
          </w:p>
        </w:tc>
        <w:tc>
          <w:tcPr>
            <w:tcW w:w="567" w:type="dxa"/>
          </w:tcPr>
          <w:p w14:paraId="0E541DF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w:t>
            </w:r>
          </w:p>
        </w:tc>
        <w:tc>
          <w:tcPr>
            <w:tcW w:w="3091" w:type="dxa"/>
          </w:tcPr>
          <w:p w14:paraId="4C0D784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32 m</w:t>
            </w:r>
            <w:r w:rsidRPr="00E02F30">
              <w:rPr>
                <w:rFonts w:eastAsia="Times New Roman" w:cs="Arial"/>
                <w:sz w:val="18"/>
                <w:szCs w:val="18"/>
                <w:vertAlign w:val="superscript"/>
                <w:lang w:eastAsia="pl-PL"/>
              </w:rPr>
              <w:t>3</w:t>
            </w:r>
          </w:p>
          <w:p w14:paraId="3BCCDBF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instalacja grzewczo-chłodząca (ekran)  </w:t>
            </w:r>
          </w:p>
          <w:p w14:paraId="3D1F833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warstwa izolacyjna na ściankach</w:t>
            </w:r>
          </w:p>
        </w:tc>
        <w:tc>
          <w:tcPr>
            <w:tcW w:w="3649" w:type="dxa"/>
          </w:tcPr>
          <w:p w14:paraId="7CF907A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 xml:space="preserve"> - zawór oddechowy</w:t>
            </w:r>
          </w:p>
          <w:p w14:paraId="78A7807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tc>
      </w:tr>
      <w:tr w:rsidR="00E02F30" w:rsidRPr="00E02F30" w14:paraId="4D9D3AFD" w14:textId="77777777" w:rsidTr="00A1631B">
        <w:trPr>
          <w:trHeight w:val="67"/>
        </w:trPr>
        <w:tc>
          <w:tcPr>
            <w:tcW w:w="704" w:type="dxa"/>
          </w:tcPr>
          <w:p w14:paraId="08ABA14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17.</w:t>
            </w:r>
          </w:p>
        </w:tc>
        <w:tc>
          <w:tcPr>
            <w:tcW w:w="1701" w:type="dxa"/>
          </w:tcPr>
          <w:p w14:paraId="3B56E7A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Zbiornik 8 glikolu etylenowego</w:t>
            </w:r>
          </w:p>
          <w:p w14:paraId="1002AB3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Zbiornik 9 glikolu propylenowego</w:t>
            </w:r>
          </w:p>
        </w:tc>
        <w:tc>
          <w:tcPr>
            <w:tcW w:w="567" w:type="dxa"/>
          </w:tcPr>
          <w:p w14:paraId="517049B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w:t>
            </w:r>
          </w:p>
        </w:tc>
        <w:tc>
          <w:tcPr>
            <w:tcW w:w="3091" w:type="dxa"/>
          </w:tcPr>
          <w:p w14:paraId="5BC96D7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7,2 m</w:t>
            </w:r>
            <w:r w:rsidRPr="00E02F30">
              <w:rPr>
                <w:rFonts w:eastAsia="Times New Roman" w:cs="Arial"/>
                <w:sz w:val="18"/>
                <w:szCs w:val="18"/>
                <w:vertAlign w:val="superscript"/>
                <w:lang w:eastAsia="pl-PL"/>
              </w:rPr>
              <w:t>3</w:t>
            </w:r>
          </w:p>
          <w:p w14:paraId="59794299"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649" w:type="dxa"/>
          </w:tcPr>
          <w:p w14:paraId="1BFCD5A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 xml:space="preserve"> - zawór oddechowy</w:t>
            </w:r>
          </w:p>
        </w:tc>
      </w:tr>
      <w:tr w:rsidR="00E02F30" w:rsidRPr="00E02F30" w14:paraId="29D68EC6" w14:textId="77777777" w:rsidTr="00A1631B">
        <w:trPr>
          <w:trHeight w:val="55"/>
        </w:trPr>
        <w:tc>
          <w:tcPr>
            <w:tcW w:w="704" w:type="dxa"/>
          </w:tcPr>
          <w:p w14:paraId="23ECD52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18.</w:t>
            </w:r>
          </w:p>
        </w:tc>
        <w:tc>
          <w:tcPr>
            <w:tcW w:w="1701" w:type="dxa"/>
          </w:tcPr>
          <w:p w14:paraId="4FB9F97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Zbiornik 10 glikolu dwuetylenowego</w:t>
            </w:r>
          </w:p>
        </w:tc>
        <w:tc>
          <w:tcPr>
            <w:tcW w:w="567" w:type="dxa"/>
          </w:tcPr>
          <w:p w14:paraId="2CA3D18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23A8E6B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10 m</w:t>
            </w:r>
            <w:r w:rsidRPr="00E02F30">
              <w:rPr>
                <w:rFonts w:eastAsia="Times New Roman" w:cs="Arial"/>
                <w:sz w:val="18"/>
                <w:szCs w:val="18"/>
                <w:vertAlign w:val="superscript"/>
                <w:lang w:eastAsia="pl-PL"/>
              </w:rPr>
              <w:t>3</w:t>
            </w:r>
          </w:p>
          <w:p w14:paraId="21A8557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instalacja grzewczo-chłodząca ( ekran )  </w:t>
            </w:r>
          </w:p>
          <w:p w14:paraId="51E4C08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warstwa izolacyjna na ściankach</w:t>
            </w:r>
          </w:p>
        </w:tc>
        <w:tc>
          <w:tcPr>
            <w:tcW w:w="3649" w:type="dxa"/>
          </w:tcPr>
          <w:p w14:paraId="4FB9E6C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 xml:space="preserve"> - zawór oddechowy</w:t>
            </w:r>
          </w:p>
        </w:tc>
      </w:tr>
      <w:tr w:rsidR="00E02F30" w:rsidRPr="00E02F30" w14:paraId="0BFCEF8C" w14:textId="77777777" w:rsidTr="00A1631B">
        <w:trPr>
          <w:trHeight w:val="55"/>
        </w:trPr>
        <w:tc>
          <w:tcPr>
            <w:tcW w:w="704" w:type="dxa"/>
          </w:tcPr>
          <w:p w14:paraId="273003C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19.</w:t>
            </w:r>
          </w:p>
        </w:tc>
        <w:tc>
          <w:tcPr>
            <w:tcW w:w="1701" w:type="dxa"/>
          </w:tcPr>
          <w:p w14:paraId="780E4F9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Zbiornik 11 </w:t>
            </w:r>
            <w:proofErr w:type="spellStart"/>
            <w:r w:rsidRPr="00E02F30">
              <w:rPr>
                <w:rFonts w:eastAsia="Times New Roman" w:cs="Arial"/>
                <w:sz w:val="18"/>
                <w:szCs w:val="18"/>
                <w:lang w:eastAsia="pl-PL"/>
              </w:rPr>
              <w:t>dicyklopentadienu</w:t>
            </w:r>
            <w:proofErr w:type="spellEnd"/>
            <w:r w:rsidRPr="00E02F30">
              <w:rPr>
                <w:rFonts w:eastAsia="Times New Roman" w:cs="Arial"/>
                <w:sz w:val="18"/>
                <w:szCs w:val="18"/>
                <w:lang w:eastAsia="pl-PL"/>
              </w:rPr>
              <w:t xml:space="preserve"> (DCPD)</w:t>
            </w:r>
          </w:p>
        </w:tc>
        <w:tc>
          <w:tcPr>
            <w:tcW w:w="567" w:type="dxa"/>
          </w:tcPr>
          <w:p w14:paraId="58116E8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2FCA6DA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 = 5 m</w:t>
            </w:r>
            <w:r w:rsidRPr="00E02F30">
              <w:rPr>
                <w:rFonts w:eastAsia="Times New Roman" w:cs="Arial"/>
                <w:sz w:val="18"/>
                <w:szCs w:val="18"/>
                <w:vertAlign w:val="superscript"/>
                <w:lang w:eastAsia="pl-PL"/>
              </w:rPr>
              <w:t>3</w:t>
            </w:r>
          </w:p>
          <w:p w14:paraId="03DCE75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warstwa izolacyjna na ściankach</w:t>
            </w:r>
          </w:p>
        </w:tc>
        <w:tc>
          <w:tcPr>
            <w:tcW w:w="3649" w:type="dxa"/>
          </w:tcPr>
          <w:p w14:paraId="4CA31E3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misa betonowa</w:t>
            </w:r>
            <w:r w:rsidRPr="00E02F30">
              <w:rPr>
                <w:rFonts w:eastAsia="Times New Roman" w:cs="Arial"/>
                <w:sz w:val="18"/>
                <w:szCs w:val="18"/>
                <w:lang w:eastAsia="pl-PL"/>
              </w:rPr>
              <w:br/>
              <w:t>- monitorowanie poziomu napełnienia</w:t>
            </w:r>
            <w:r w:rsidRPr="00E02F30">
              <w:rPr>
                <w:rFonts w:eastAsia="Times New Roman" w:cs="Arial"/>
                <w:sz w:val="18"/>
                <w:szCs w:val="18"/>
                <w:lang w:eastAsia="pl-PL"/>
              </w:rPr>
              <w:br/>
              <w:t xml:space="preserve"> - zawór oddechowy</w:t>
            </w:r>
          </w:p>
          <w:p w14:paraId="28CAED4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-system dozowania gazu </w:t>
            </w:r>
            <w:proofErr w:type="spellStart"/>
            <w:r w:rsidRPr="00E02F30">
              <w:rPr>
                <w:rFonts w:eastAsia="Times New Roman" w:cs="Arial"/>
                <w:sz w:val="18"/>
                <w:szCs w:val="18"/>
                <w:lang w:eastAsia="pl-PL"/>
              </w:rPr>
              <w:t>inertnego</w:t>
            </w:r>
            <w:proofErr w:type="spellEnd"/>
            <w:r w:rsidRPr="00E02F30">
              <w:rPr>
                <w:rFonts w:eastAsia="Times New Roman" w:cs="Arial"/>
                <w:sz w:val="18"/>
                <w:szCs w:val="18"/>
                <w:lang w:eastAsia="pl-PL"/>
              </w:rPr>
              <w:t xml:space="preserve"> (azotu) nad  lustro cieczy </w:t>
            </w:r>
          </w:p>
        </w:tc>
      </w:tr>
      <w:tr w:rsidR="00E02F30" w:rsidRPr="00E02F30" w14:paraId="4D06FD3E" w14:textId="77777777" w:rsidTr="00A1631B">
        <w:trPr>
          <w:trHeight w:val="55"/>
        </w:trPr>
        <w:tc>
          <w:tcPr>
            <w:tcW w:w="704" w:type="dxa"/>
          </w:tcPr>
          <w:p w14:paraId="017E76E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20.</w:t>
            </w:r>
          </w:p>
        </w:tc>
        <w:tc>
          <w:tcPr>
            <w:tcW w:w="1701" w:type="dxa"/>
          </w:tcPr>
          <w:p w14:paraId="6BA503E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Mieszalnik Nr M-5  </w:t>
            </w:r>
          </w:p>
        </w:tc>
        <w:tc>
          <w:tcPr>
            <w:tcW w:w="567" w:type="dxa"/>
          </w:tcPr>
          <w:p w14:paraId="3493189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0A2371A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V=1,2 m</w:t>
            </w:r>
            <w:r w:rsidRPr="00E02F30">
              <w:rPr>
                <w:rFonts w:eastAsia="Times New Roman" w:cs="Arial"/>
                <w:sz w:val="18"/>
                <w:szCs w:val="18"/>
                <w:vertAlign w:val="superscript"/>
                <w:lang w:eastAsia="pl-PL"/>
              </w:rPr>
              <w:t>3</w:t>
            </w:r>
          </w:p>
          <w:p w14:paraId="0CCB3BB5"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649" w:type="dxa"/>
          </w:tcPr>
          <w:p w14:paraId="6BBE38C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7B95736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zlokalizowane w pomieszczeniu obiektu 501 z kanalizacją ścieków przemysłowych </w:t>
            </w:r>
          </w:p>
          <w:p w14:paraId="2F78FDF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mieszalnika </w:t>
            </w:r>
          </w:p>
          <w:p w14:paraId="4FB4254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–gazy kierowane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termicznego – emitor E-2/Z</w:t>
            </w:r>
          </w:p>
        </w:tc>
      </w:tr>
      <w:tr w:rsidR="00E02F30" w:rsidRPr="00E02F30" w14:paraId="634BBD7A" w14:textId="77777777" w:rsidTr="00A1631B">
        <w:trPr>
          <w:trHeight w:val="55"/>
        </w:trPr>
        <w:tc>
          <w:tcPr>
            <w:tcW w:w="704" w:type="dxa"/>
          </w:tcPr>
          <w:p w14:paraId="202E154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21.</w:t>
            </w:r>
          </w:p>
        </w:tc>
        <w:tc>
          <w:tcPr>
            <w:tcW w:w="1701" w:type="dxa"/>
          </w:tcPr>
          <w:p w14:paraId="22F42CC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Mieszalnik Nr M-6  </w:t>
            </w:r>
          </w:p>
        </w:tc>
        <w:tc>
          <w:tcPr>
            <w:tcW w:w="567" w:type="dxa"/>
          </w:tcPr>
          <w:p w14:paraId="0C658C4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2EC45BE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V=0,6 m</w:t>
            </w:r>
            <w:r w:rsidRPr="00E02F30">
              <w:rPr>
                <w:rFonts w:eastAsia="Times New Roman" w:cs="Arial"/>
                <w:sz w:val="18"/>
                <w:szCs w:val="18"/>
                <w:vertAlign w:val="superscript"/>
                <w:lang w:eastAsia="pl-PL"/>
              </w:rPr>
              <w:t>3</w:t>
            </w:r>
          </w:p>
          <w:p w14:paraId="3E06CFBD" w14:textId="77777777" w:rsidR="00E02F30" w:rsidRPr="00E02F30" w:rsidRDefault="00E02F30" w:rsidP="00E02F30">
            <w:pPr>
              <w:spacing w:before="40" w:after="40" w:line="276" w:lineRule="auto"/>
              <w:jc w:val="both"/>
              <w:rPr>
                <w:rFonts w:eastAsia="Times New Roman" w:cs="Arial"/>
                <w:sz w:val="18"/>
                <w:szCs w:val="18"/>
                <w:lang w:eastAsia="pl-PL"/>
              </w:rPr>
            </w:pPr>
          </w:p>
        </w:tc>
        <w:tc>
          <w:tcPr>
            <w:tcW w:w="3649" w:type="dxa"/>
          </w:tcPr>
          <w:p w14:paraId="265C543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3F1676B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zlokalizowane w pomieszczeniu b.. 501 z kanalizacją ścieków przem.</w:t>
            </w:r>
          </w:p>
          <w:p w14:paraId="5BD492E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mieszalnika </w:t>
            </w:r>
          </w:p>
          <w:p w14:paraId="0513CA7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–gazy kierowane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termicznego – emitor E-2/Z</w:t>
            </w:r>
          </w:p>
        </w:tc>
      </w:tr>
      <w:tr w:rsidR="00E02F30" w:rsidRPr="00E02F30" w14:paraId="5AFBD6F8" w14:textId="77777777" w:rsidTr="00A1631B">
        <w:trPr>
          <w:trHeight w:val="55"/>
        </w:trPr>
        <w:tc>
          <w:tcPr>
            <w:tcW w:w="704" w:type="dxa"/>
          </w:tcPr>
          <w:p w14:paraId="6BB0E7A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22.</w:t>
            </w:r>
          </w:p>
        </w:tc>
        <w:tc>
          <w:tcPr>
            <w:tcW w:w="1701" w:type="dxa"/>
          </w:tcPr>
          <w:p w14:paraId="7CB3046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Nr M-7</w:t>
            </w:r>
          </w:p>
        </w:tc>
        <w:tc>
          <w:tcPr>
            <w:tcW w:w="567" w:type="dxa"/>
          </w:tcPr>
          <w:p w14:paraId="7ABD83A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5371084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pojemnoś</w:t>
            </w:r>
            <w:proofErr w:type="spellEnd"/>
            <w:r w:rsidRPr="00E02F30">
              <w:rPr>
                <w:rFonts w:eastAsia="Times New Roman" w:cs="Arial"/>
                <w:sz w:val="18"/>
                <w:szCs w:val="18"/>
                <w:lang w:eastAsia="pl-PL"/>
              </w:rPr>
              <w:t>– - V=1,1 m</w:t>
            </w:r>
            <w:r w:rsidRPr="00E02F30">
              <w:rPr>
                <w:rFonts w:eastAsia="Times New Roman" w:cs="Arial"/>
                <w:sz w:val="18"/>
                <w:szCs w:val="18"/>
                <w:vertAlign w:val="superscript"/>
                <w:lang w:eastAsia="pl-PL"/>
              </w:rPr>
              <w:t>3</w:t>
            </w:r>
          </w:p>
        </w:tc>
        <w:tc>
          <w:tcPr>
            <w:tcW w:w="3649" w:type="dxa"/>
          </w:tcPr>
          <w:p w14:paraId="32570E1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50C5609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zlokalizowane w pomieszczeniu obiektu 501 z kanalizacją ścieków przemysłowych </w:t>
            </w:r>
          </w:p>
          <w:p w14:paraId="3F16D2C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mieszalnika </w:t>
            </w:r>
          </w:p>
          <w:p w14:paraId="69A0DAE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gazy kierowane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termicznego – emitor E-2/Z</w:t>
            </w:r>
          </w:p>
        </w:tc>
      </w:tr>
      <w:tr w:rsidR="00E02F30" w:rsidRPr="00E02F30" w14:paraId="55AB4F8D" w14:textId="77777777" w:rsidTr="00A1631B">
        <w:trPr>
          <w:trHeight w:val="55"/>
        </w:trPr>
        <w:tc>
          <w:tcPr>
            <w:tcW w:w="704" w:type="dxa"/>
          </w:tcPr>
          <w:p w14:paraId="0A72C14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23.</w:t>
            </w:r>
          </w:p>
        </w:tc>
        <w:tc>
          <w:tcPr>
            <w:tcW w:w="1701" w:type="dxa"/>
          </w:tcPr>
          <w:p w14:paraId="6F6CE0A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Mieszalnik Nr M-8</w:t>
            </w:r>
          </w:p>
        </w:tc>
        <w:tc>
          <w:tcPr>
            <w:tcW w:w="567" w:type="dxa"/>
          </w:tcPr>
          <w:p w14:paraId="3EF38B8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203BEB7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pojemność - V=1,0 m</w:t>
            </w:r>
            <w:r w:rsidRPr="00E02F30">
              <w:rPr>
                <w:rFonts w:eastAsia="Times New Roman" w:cs="Arial"/>
                <w:sz w:val="18"/>
                <w:szCs w:val="18"/>
                <w:vertAlign w:val="superscript"/>
                <w:lang w:eastAsia="pl-PL"/>
              </w:rPr>
              <w:t>3</w:t>
            </w:r>
          </w:p>
        </w:tc>
        <w:tc>
          <w:tcPr>
            <w:tcW w:w="3649" w:type="dxa"/>
          </w:tcPr>
          <w:p w14:paraId="35C4398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zawór oddechowy</w:t>
            </w:r>
          </w:p>
          <w:p w14:paraId="43DEA91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zlokalizowane w pomieszczeniu obiektu 501 z kanalizacją ścieków przemysłowych </w:t>
            </w:r>
          </w:p>
          <w:p w14:paraId="500A673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mieszalnika </w:t>
            </w:r>
          </w:p>
          <w:p w14:paraId="3A25C2B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gazy kierowane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termicznego – emitor E-2/Z</w:t>
            </w:r>
          </w:p>
        </w:tc>
      </w:tr>
      <w:tr w:rsidR="00E02F30" w:rsidRPr="00E02F30" w14:paraId="49B2F243" w14:textId="77777777" w:rsidTr="00A1631B">
        <w:trPr>
          <w:trHeight w:val="55"/>
        </w:trPr>
        <w:tc>
          <w:tcPr>
            <w:tcW w:w="704" w:type="dxa"/>
          </w:tcPr>
          <w:p w14:paraId="2817BE1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24.</w:t>
            </w:r>
          </w:p>
        </w:tc>
        <w:tc>
          <w:tcPr>
            <w:tcW w:w="1701" w:type="dxa"/>
          </w:tcPr>
          <w:p w14:paraId="31E491CF" w14:textId="77777777" w:rsidR="00E02F30" w:rsidRPr="00E02F30" w:rsidRDefault="00E02F30" w:rsidP="00E02F30">
            <w:pPr>
              <w:spacing w:before="40" w:after="40" w:line="276" w:lineRule="auto"/>
              <w:jc w:val="both"/>
              <w:rPr>
                <w:rFonts w:eastAsia="Times New Roman" w:cs="Arial"/>
                <w:sz w:val="18"/>
                <w:szCs w:val="18"/>
                <w:lang w:eastAsia="pl-PL"/>
              </w:rPr>
            </w:pPr>
            <w:proofErr w:type="spellStart"/>
            <w:r w:rsidRPr="00E02F30">
              <w:rPr>
                <w:rFonts w:eastAsia="Times New Roman" w:cs="Arial"/>
                <w:sz w:val="18"/>
                <w:szCs w:val="18"/>
                <w:lang w:eastAsia="pl-PL"/>
              </w:rPr>
              <w:t>Disolwer</w:t>
            </w:r>
            <w:proofErr w:type="spellEnd"/>
            <w:r w:rsidRPr="00E02F30">
              <w:rPr>
                <w:rFonts w:eastAsia="Times New Roman" w:cs="Arial"/>
                <w:sz w:val="18"/>
                <w:szCs w:val="18"/>
                <w:lang w:eastAsia="pl-PL"/>
              </w:rPr>
              <w:t xml:space="preserve"> PWD</w:t>
            </w:r>
          </w:p>
        </w:tc>
        <w:tc>
          <w:tcPr>
            <w:tcW w:w="567" w:type="dxa"/>
          </w:tcPr>
          <w:p w14:paraId="28BA8C0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w:t>
            </w:r>
          </w:p>
        </w:tc>
        <w:tc>
          <w:tcPr>
            <w:tcW w:w="3091" w:type="dxa"/>
          </w:tcPr>
          <w:p w14:paraId="179B2D4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Mieszadło szybkoobrotowe </w:t>
            </w:r>
          </w:p>
        </w:tc>
        <w:tc>
          <w:tcPr>
            <w:tcW w:w="3649" w:type="dxa"/>
          </w:tcPr>
          <w:p w14:paraId="3725E2BA"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zlokalizowane w pomieszczeniu obiektu 501 z kanalizacją ścieków przemysłowych </w:t>
            </w:r>
          </w:p>
          <w:p w14:paraId="4377C7C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mieszalnika </w:t>
            </w:r>
          </w:p>
          <w:p w14:paraId="6538A8D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–gazy kierowane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termicznego – emitor E-2/Z</w:t>
            </w:r>
          </w:p>
        </w:tc>
      </w:tr>
      <w:tr w:rsidR="00E02F30" w:rsidRPr="00E02F30" w14:paraId="1FB6C807" w14:textId="77777777" w:rsidTr="00A1631B">
        <w:trPr>
          <w:trHeight w:val="55"/>
        </w:trPr>
        <w:tc>
          <w:tcPr>
            <w:tcW w:w="704" w:type="dxa"/>
          </w:tcPr>
          <w:p w14:paraId="7104D53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25.</w:t>
            </w:r>
          </w:p>
        </w:tc>
        <w:tc>
          <w:tcPr>
            <w:tcW w:w="1701" w:type="dxa"/>
          </w:tcPr>
          <w:p w14:paraId="6174C03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Kadź </w:t>
            </w:r>
            <w:proofErr w:type="spellStart"/>
            <w:r w:rsidRPr="00E02F30">
              <w:rPr>
                <w:rFonts w:eastAsia="Times New Roman" w:cs="Arial"/>
                <w:sz w:val="18"/>
                <w:szCs w:val="18"/>
                <w:lang w:eastAsia="pl-PL"/>
              </w:rPr>
              <w:t>Disolwer</w:t>
            </w:r>
            <w:proofErr w:type="spellEnd"/>
            <w:r w:rsidRPr="00E02F30">
              <w:rPr>
                <w:rFonts w:eastAsia="Times New Roman" w:cs="Arial"/>
                <w:sz w:val="18"/>
                <w:szCs w:val="18"/>
                <w:lang w:eastAsia="pl-PL"/>
              </w:rPr>
              <w:t xml:space="preserve"> S-3</w:t>
            </w:r>
          </w:p>
        </w:tc>
        <w:tc>
          <w:tcPr>
            <w:tcW w:w="567" w:type="dxa"/>
          </w:tcPr>
          <w:p w14:paraId="56FF46B6"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3</w:t>
            </w:r>
          </w:p>
        </w:tc>
        <w:tc>
          <w:tcPr>
            <w:tcW w:w="3091" w:type="dxa"/>
          </w:tcPr>
          <w:p w14:paraId="1A48A59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Kadzie V=0,5 m</w:t>
            </w:r>
            <w:r w:rsidRPr="00E02F30">
              <w:rPr>
                <w:rFonts w:eastAsia="Times New Roman" w:cs="Arial"/>
                <w:sz w:val="18"/>
                <w:szCs w:val="18"/>
                <w:vertAlign w:val="superscript"/>
                <w:lang w:eastAsia="pl-PL"/>
              </w:rPr>
              <w:t>3</w:t>
            </w:r>
          </w:p>
        </w:tc>
        <w:tc>
          <w:tcPr>
            <w:tcW w:w="3649" w:type="dxa"/>
          </w:tcPr>
          <w:p w14:paraId="700438E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zlokalizowane w pomieszczeniu obiektu 501 z kanalizacją ścieków przemysłowych </w:t>
            </w:r>
          </w:p>
          <w:p w14:paraId="6D092EC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mieszalnika </w:t>
            </w:r>
          </w:p>
          <w:p w14:paraId="14551942"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–gazy kierowane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termicznego – emitor E-2/Z</w:t>
            </w:r>
          </w:p>
        </w:tc>
      </w:tr>
      <w:tr w:rsidR="00E02F30" w:rsidRPr="00E02F30" w14:paraId="47482FA3" w14:textId="77777777" w:rsidTr="00A1631B">
        <w:trPr>
          <w:trHeight w:val="55"/>
        </w:trPr>
        <w:tc>
          <w:tcPr>
            <w:tcW w:w="704" w:type="dxa"/>
          </w:tcPr>
          <w:p w14:paraId="4224803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26.</w:t>
            </w:r>
          </w:p>
        </w:tc>
        <w:tc>
          <w:tcPr>
            <w:tcW w:w="1701" w:type="dxa"/>
          </w:tcPr>
          <w:p w14:paraId="0D57CFB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Mieszalnik </w:t>
            </w:r>
            <w:proofErr w:type="spellStart"/>
            <w:r w:rsidRPr="00E02F30">
              <w:rPr>
                <w:rFonts w:eastAsia="Times New Roman" w:cs="Arial"/>
                <w:sz w:val="18"/>
                <w:szCs w:val="18"/>
                <w:lang w:eastAsia="pl-PL"/>
              </w:rPr>
              <w:t>Disolwer</w:t>
            </w:r>
            <w:proofErr w:type="spellEnd"/>
            <w:r w:rsidRPr="00E02F30">
              <w:rPr>
                <w:rFonts w:eastAsia="Times New Roman" w:cs="Arial"/>
                <w:sz w:val="18"/>
                <w:szCs w:val="18"/>
                <w:lang w:eastAsia="pl-PL"/>
              </w:rPr>
              <w:t xml:space="preserve"> DK-37</w:t>
            </w:r>
          </w:p>
        </w:tc>
        <w:tc>
          <w:tcPr>
            <w:tcW w:w="567" w:type="dxa"/>
          </w:tcPr>
          <w:p w14:paraId="7CC8847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338F5D31"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Mieszadło szybkoobrotowe </w:t>
            </w:r>
          </w:p>
          <w:p w14:paraId="1DF6FA0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chłodzący (woda)</w:t>
            </w:r>
          </w:p>
        </w:tc>
        <w:tc>
          <w:tcPr>
            <w:tcW w:w="3649" w:type="dxa"/>
          </w:tcPr>
          <w:p w14:paraId="26E3384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zlokalizowane w pomieszczeniu obiektu 501 z kanalizacją ścieków przemysłowych </w:t>
            </w:r>
          </w:p>
          <w:p w14:paraId="75F31C8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mieszalnika </w:t>
            </w:r>
          </w:p>
          <w:p w14:paraId="0A99BF2F"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–gazy kierowane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termicznego – emitor E-2/Z</w:t>
            </w:r>
          </w:p>
        </w:tc>
      </w:tr>
      <w:tr w:rsidR="00E02F30" w:rsidRPr="00E02F30" w14:paraId="3FF49818" w14:textId="77777777" w:rsidTr="00A1631B">
        <w:trPr>
          <w:trHeight w:val="55"/>
        </w:trPr>
        <w:tc>
          <w:tcPr>
            <w:tcW w:w="704" w:type="dxa"/>
          </w:tcPr>
          <w:p w14:paraId="37585795"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27.</w:t>
            </w:r>
          </w:p>
        </w:tc>
        <w:tc>
          <w:tcPr>
            <w:tcW w:w="1701" w:type="dxa"/>
          </w:tcPr>
          <w:p w14:paraId="5324C106" w14:textId="77777777" w:rsidR="00E02F30" w:rsidRPr="00E02F30" w:rsidRDefault="00E02F30" w:rsidP="00E02F30">
            <w:pPr>
              <w:spacing w:before="40" w:after="40" w:line="276" w:lineRule="auto"/>
              <w:jc w:val="both"/>
              <w:rPr>
                <w:rFonts w:eastAsia="Times New Roman" w:cs="Arial"/>
                <w:sz w:val="18"/>
                <w:szCs w:val="18"/>
                <w:lang w:eastAsia="pl-PL"/>
              </w:rPr>
            </w:pPr>
            <w:proofErr w:type="spellStart"/>
            <w:r w:rsidRPr="00E02F30">
              <w:rPr>
                <w:rFonts w:eastAsia="Times New Roman" w:cs="Arial"/>
                <w:sz w:val="18"/>
                <w:szCs w:val="18"/>
                <w:lang w:eastAsia="pl-PL"/>
              </w:rPr>
              <w:t>Disolwer</w:t>
            </w:r>
            <w:proofErr w:type="spellEnd"/>
            <w:r w:rsidRPr="00E02F30">
              <w:rPr>
                <w:rFonts w:eastAsia="Times New Roman" w:cs="Arial"/>
                <w:sz w:val="18"/>
                <w:szCs w:val="18"/>
                <w:lang w:eastAsia="pl-PL"/>
              </w:rPr>
              <w:t xml:space="preserve"> KDV</w:t>
            </w:r>
          </w:p>
        </w:tc>
        <w:tc>
          <w:tcPr>
            <w:tcW w:w="567" w:type="dxa"/>
          </w:tcPr>
          <w:p w14:paraId="440DF17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w:t>
            </w:r>
          </w:p>
        </w:tc>
        <w:tc>
          <w:tcPr>
            <w:tcW w:w="3091" w:type="dxa"/>
          </w:tcPr>
          <w:p w14:paraId="65F5972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Mieszadło szybkoobrotowe </w:t>
            </w:r>
          </w:p>
        </w:tc>
        <w:tc>
          <w:tcPr>
            <w:tcW w:w="3649" w:type="dxa"/>
          </w:tcPr>
          <w:p w14:paraId="19B5B2F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zlokalizowane w pomieszczeniu obiektu 501 z kanalizacją ścieków przemysłowych </w:t>
            </w:r>
          </w:p>
          <w:p w14:paraId="6A9EFC0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mieszalnika </w:t>
            </w:r>
          </w:p>
          <w:p w14:paraId="70386E83"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–gazy kierowane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termicznego – emitor E-2/Z</w:t>
            </w:r>
          </w:p>
        </w:tc>
      </w:tr>
      <w:tr w:rsidR="00E02F30" w:rsidRPr="00E02F30" w14:paraId="5B74F25E" w14:textId="77777777" w:rsidTr="00A1631B">
        <w:trPr>
          <w:trHeight w:val="55"/>
        </w:trPr>
        <w:tc>
          <w:tcPr>
            <w:tcW w:w="704" w:type="dxa"/>
          </w:tcPr>
          <w:p w14:paraId="257B97FA" w14:textId="77777777" w:rsidR="00E02F30" w:rsidRPr="00E02F30" w:rsidDel="00BF55C9"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28.</w:t>
            </w:r>
          </w:p>
        </w:tc>
        <w:tc>
          <w:tcPr>
            <w:tcW w:w="1701" w:type="dxa"/>
          </w:tcPr>
          <w:p w14:paraId="118221B2" w14:textId="77777777" w:rsidR="00E02F30" w:rsidRPr="00E02F30" w:rsidDel="00D02290" w:rsidRDefault="00E02F30" w:rsidP="00E02F30">
            <w:pPr>
              <w:spacing w:before="40" w:after="40" w:line="276" w:lineRule="auto"/>
              <w:jc w:val="both"/>
              <w:rPr>
                <w:rFonts w:eastAsia="Times New Roman" w:cs="Arial"/>
                <w:sz w:val="18"/>
                <w:szCs w:val="18"/>
                <w:lang w:eastAsia="pl-PL"/>
              </w:rPr>
            </w:pPr>
            <w:proofErr w:type="spellStart"/>
            <w:r w:rsidRPr="00E02F30">
              <w:rPr>
                <w:rFonts w:eastAsia="Times New Roman" w:cs="Arial"/>
                <w:sz w:val="18"/>
                <w:szCs w:val="18"/>
                <w:lang w:eastAsia="pl-PL"/>
              </w:rPr>
              <w:t>Disolwer</w:t>
            </w:r>
            <w:proofErr w:type="spellEnd"/>
            <w:r w:rsidRPr="00E02F30">
              <w:rPr>
                <w:rFonts w:eastAsia="Times New Roman" w:cs="Arial"/>
                <w:sz w:val="18"/>
                <w:szCs w:val="18"/>
                <w:lang w:eastAsia="pl-PL"/>
              </w:rPr>
              <w:t xml:space="preserve"> PMD</w:t>
            </w:r>
          </w:p>
        </w:tc>
        <w:tc>
          <w:tcPr>
            <w:tcW w:w="567" w:type="dxa"/>
          </w:tcPr>
          <w:p w14:paraId="4853754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44C6961B"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Mieszadło szybkoobrotowe poj. 0,5 m</w:t>
            </w:r>
            <w:r w:rsidRPr="00E02F30">
              <w:rPr>
                <w:rFonts w:eastAsia="Times New Roman" w:cs="Arial"/>
                <w:sz w:val="18"/>
                <w:szCs w:val="18"/>
                <w:vertAlign w:val="superscript"/>
                <w:lang w:eastAsia="pl-PL"/>
              </w:rPr>
              <w:t>3</w:t>
            </w:r>
          </w:p>
          <w:p w14:paraId="117972F0"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płaszcz chłodzący (woda)</w:t>
            </w:r>
          </w:p>
        </w:tc>
        <w:tc>
          <w:tcPr>
            <w:tcW w:w="3649" w:type="dxa"/>
          </w:tcPr>
          <w:p w14:paraId="7B3B0E97"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 zlokalizowane w pomieszczeniu obiektu 501 z kanalizacją ścieków przemysłowych </w:t>
            </w:r>
          </w:p>
          <w:p w14:paraId="23ABB9E8"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 wentylacja mechaniczna z pomieszczenia mieszalnika </w:t>
            </w:r>
          </w:p>
          <w:p w14:paraId="0E07C749"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–gazy kierowane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do dopalacza termicznego – emitor E-2/Z</w:t>
            </w:r>
          </w:p>
        </w:tc>
      </w:tr>
      <w:tr w:rsidR="00E02F30" w:rsidRPr="00E02F30" w14:paraId="1D8E561A" w14:textId="77777777" w:rsidTr="00A1631B">
        <w:trPr>
          <w:trHeight w:val="55"/>
        </w:trPr>
        <w:tc>
          <w:tcPr>
            <w:tcW w:w="704" w:type="dxa"/>
          </w:tcPr>
          <w:p w14:paraId="3082D87D"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29.</w:t>
            </w:r>
          </w:p>
        </w:tc>
        <w:tc>
          <w:tcPr>
            <w:tcW w:w="1701" w:type="dxa"/>
          </w:tcPr>
          <w:p w14:paraId="26B8132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Dopalacz termiczny </w:t>
            </w:r>
            <w:proofErr w:type="spellStart"/>
            <w:r w:rsidRPr="00E02F30">
              <w:rPr>
                <w:rFonts w:eastAsia="Times New Roman" w:cs="Arial"/>
                <w:sz w:val="18"/>
                <w:szCs w:val="18"/>
                <w:lang w:eastAsia="pl-PL"/>
              </w:rPr>
              <w:t>odgazów</w:t>
            </w:r>
            <w:proofErr w:type="spellEnd"/>
          </w:p>
        </w:tc>
        <w:tc>
          <w:tcPr>
            <w:tcW w:w="567" w:type="dxa"/>
          </w:tcPr>
          <w:p w14:paraId="7EC437B4"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1</w:t>
            </w:r>
          </w:p>
        </w:tc>
        <w:tc>
          <w:tcPr>
            <w:tcW w:w="3091" w:type="dxa"/>
          </w:tcPr>
          <w:p w14:paraId="4899E17C"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Węzeł dopalacza termicznego komorowego firmy </w:t>
            </w:r>
            <w:proofErr w:type="spellStart"/>
            <w:r w:rsidRPr="00E02F30">
              <w:rPr>
                <w:rFonts w:eastAsia="Times New Roman" w:cs="Arial"/>
                <w:sz w:val="18"/>
                <w:szCs w:val="18"/>
                <w:lang w:eastAsia="pl-PL"/>
              </w:rPr>
              <w:t>Babcock</w:t>
            </w:r>
            <w:proofErr w:type="spellEnd"/>
            <w:r w:rsidRPr="00E02F30">
              <w:rPr>
                <w:rFonts w:eastAsia="Times New Roman" w:cs="Arial"/>
                <w:sz w:val="18"/>
                <w:szCs w:val="18"/>
                <w:lang w:eastAsia="pl-PL"/>
              </w:rPr>
              <w:t xml:space="preserve"> typu regeneracyjnego z wkładem ceramicznym, model INC/RIGE/18.200/VSM/2T+C produkcji firmy BABCOCK zasilany gazem ziemnym jako paliwem z przyłączeniami gazu, energii elektrycznej i sprężonego powietrza, kanałami </w:t>
            </w:r>
            <w:proofErr w:type="spellStart"/>
            <w:r w:rsidRPr="00E02F30">
              <w:rPr>
                <w:rFonts w:eastAsia="Times New Roman" w:cs="Arial"/>
                <w:sz w:val="18"/>
                <w:szCs w:val="18"/>
                <w:lang w:eastAsia="pl-PL"/>
              </w:rPr>
              <w:t>odgazów</w:t>
            </w:r>
            <w:proofErr w:type="spellEnd"/>
            <w:r w:rsidRPr="00E02F30">
              <w:rPr>
                <w:rFonts w:eastAsia="Times New Roman" w:cs="Arial"/>
                <w:sz w:val="18"/>
                <w:szCs w:val="18"/>
                <w:lang w:eastAsia="pl-PL"/>
              </w:rPr>
              <w:t xml:space="preserve">  520x520 mm i kominem (emitorem) Φ wew. 80 mm i H = 16 m.</w:t>
            </w:r>
          </w:p>
        </w:tc>
        <w:tc>
          <w:tcPr>
            <w:tcW w:w="3649" w:type="dxa"/>
          </w:tcPr>
          <w:p w14:paraId="526C3DDE" w14:textId="77777777" w:rsidR="00E02F30" w:rsidRPr="00E02F30" w:rsidRDefault="00E02F30" w:rsidP="00E02F30">
            <w:pPr>
              <w:spacing w:before="40" w:after="40" w:line="276" w:lineRule="auto"/>
              <w:jc w:val="both"/>
              <w:rPr>
                <w:rFonts w:eastAsia="Times New Roman" w:cs="Arial"/>
                <w:sz w:val="18"/>
                <w:szCs w:val="18"/>
                <w:lang w:eastAsia="pl-PL"/>
              </w:rPr>
            </w:pPr>
            <w:r w:rsidRPr="00E02F30">
              <w:rPr>
                <w:rFonts w:eastAsia="Times New Roman" w:cs="Arial"/>
                <w:sz w:val="18"/>
                <w:szCs w:val="18"/>
                <w:lang w:eastAsia="pl-PL"/>
              </w:rPr>
              <w:t xml:space="preserve">Połączony z linią ob. 501 przez filtr pyłowy </w:t>
            </w:r>
            <w:proofErr w:type="spellStart"/>
            <w:r w:rsidRPr="00E02F30">
              <w:rPr>
                <w:rFonts w:eastAsia="Times New Roman" w:cs="Arial"/>
                <w:sz w:val="18"/>
                <w:szCs w:val="18"/>
                <w:lang w:eastAsia="pl-PL"/>
              </w:rPr>
              <w:t>Downflo</w:t>
            </w:r>
            <w:proofErr w:type="spellEnd"/>
            <w:r w:rsidRPr="00E02F30">
              <w:rPr>
                <w:rFonts w:eastAsia="Times New Roman" w:cs="Arial"/>
                <w:sz w:val="18"/>
                <w:szCs w:val="18"/>
                <w:lang w:eastAsia="pl-PL"/>
              </w:rPr>
              <w:t xml:space="preserve"> </w:t>
            </w:r>
            <w:proofErr w:type="spellStart"/>
            <w:r w:rsidRPr="00E02F30">
              <w:rPr>
                <w:rFonts w:eastAsia="Times New Roman" w:cs="Arial"/>
                <w:sz w:val="18"/>
                <w:szCs w:val="18"/>
                <w:lang w:eastAsia="pl-PL"/>
              </w:rPr>
              <w:t>Oval</w:t>
            </w:r>
            <w:proofErr w:type="spellEnd"/>
            <w:r w:rsidRPr="00E02F30">
              <w:rPr>
                <w:rFonts w:eastAsia="Times New Roman" w:cs="Arial"/>
                <w:sz w:val="18"/>
                <w:szCs w:val="18"/>
                <w:lang w:eastAsia="pl-PL"/>
              </w:rPr>
              <w:t xml:space="preserve"> DFO oraz linią ob. 524 systemem przewodów (kanałów) odprowadzających </w:t>
            </w:r>
            <w:proofErr w:type="spellStart"/>
            <w:r w:rsidRPr="00E02F30">
              <w:rPr>
                <w:rFonts w:eastAsia="Times New Roman" w:cs="Arial"/>
                <w:sz w:val="18"/>
                <w:szCs w:val="18"/>
                <w:lang w:eastAsia="pl-PL"/>
              </w:rPr>
              <w:t>odgazy</w:t>
            </w:r>
            <w:proofErr w:type="spellEnd"/>
            <w:r w:rsidRPr="00E02F30">
              <w:rPr>
                <w:rFonts w:eastAsia="Times New Roman" w:cs="Arial"/>
                <w:sz w:val="18"/>
                <w:szCs w:val="18"/>
                <w:lang w:eastAsia="pl-PL"/>
              </w:rPr>
              <w:t xml:space="preserve"> z urządzeń technologicznych – emitor E-2/Z.</w:t>
            </w:r>
          </w:p>
        </w:tc>
      </w:tr>
    </w:tbl>
    <w:p w14:paraId="7889DEDC" w14:textId="77777777" w:rsidR="00E02F30" w:rsidRPr="00E02F30" w:rsidRDefault="00E02F30" w:rsidP="00E02F30">
      <w:pPr>
        <w:keepNext/>
        <w:widowControl w:val="0"/>
        <w:adjustRightInd w:val="0"/>
        <w:spacing w:after="0" w:line="276" w:lineRule="auto"/>
        <w:jc w:val="both"/>
        <w:textAlignment w:val="baseline"/>
        <w:outlineLvl w:val="1"/>
        <w:rPr>
          <w:rFonts w:eastAsia="Calibri" w:cs="Times New Roman"/>
          <w:b/>
          <w:szCs w:val="20"/>
          <w:lang w:val="en-US" w:eastAsia="pl-PL"/>
        </w:rPr>
      </w:pPr>
      <w:r w:rsidRPr="00E02F30">
        <w:rPr>
          <w:rFonts w:eastAsia="Calibri" w:cs="Times New Roman"/>
          <w:b/>
          <w:szCs w:val="20"/>
          <w:lang w:val="en-US" w:eastAsia="pl-PL"/>
        </w:rPr>
        <w:t xml:space="preserve">II. </w:t>
      </w:r>
      <w:proofErr w:type="spellStart"/>
      <w:r w:rsidRPr="00E02F30">
        <w:rPr>
          <w:rFonts w:eastAsia="Calibri" w:cs="Times New Roman"/>
          <w:b/>
          <w:szCs w:val="20"/>
          <w:lang w:val="en-US" w:eastAsia="pl-PL"/>
        </w:rPr>
        <w:t>Maksymalna</w:t>
      </w:r>
      <w:proofErr w:type="spellEnd"/>
      <w:r w:rsidRPr="00E02F30">
        <w:rPr>
          <w:rFonts w:eastAsia="Calibri" w:cs="Times New Roman"/>
          <w:b/>
          <w:szCs w:val="20"/>
          <w:lang w:val="en-US" w:eastAsia="pl-PL"/>
        </w:rPr>
        <w:t xml:space="preserve"> </w:t>
      </w:r>
      <w:proofErr w:type="spellStart"/>
      <w:r w:rsidRPr="00E02F30">
        <w:rPr>
          <w:rFonts w:eastAsia="Calibri" w:cs="Times New Roman"/>
          <w:b/>
          <w:szCs w:val="20"/>
          <w:lang w:val="en-US" w:eastAsia="pl-PL"/>
        </w:rPr>
        <w:t>dopuszczalna</w:t>
      </w:r>
      <w:proofErr w:type="spellEnd"/>
      <w:r w:rsidRPr="00E02F30">
        <w:rPr>
          <w:rFonts w:eastAsia="Calibri" w:cs="Times New Roman"/>
          <w:b/>
          <w:szCs w:val="20"/>
          <w:lang w:val="en-US" w:eastAsia="pl-PL"/>
        </w:rPr>
        <w:t xml:space="preserve"> </w:t>
      </w:r>
      <w:proofErr w:type="spellStart"/>
      <w:r w:rsidRPr="00E02F30">
        <w:rPr>
          <w:rFonts w:eastAsia="Calibri" w:cs="Times New Roman"/>
          <w:b/>
          <w:szCs w:val="20"/>
          <w:lang w:val="en-US" w:eastAsia="pl-PL"/>
        </w:rPr>
        <w:t>emisja</w:t>
      </w:r>
      <w:proofErr w:type="spellEnd"/>
      <w:r w:rsidRPr="00E02F30">
        <w:rPr>
          <w:rFonts w:eastAsia="Calibri" w:cs="Times New Roman"/>
          <w:b/>
          <w:szCs w:val="20"/>
          <w:lang w:val="en-US" w:eastAsia="pl-PL"/>
        </w:rPr>
        <w:t xml:space="preserve"> w </w:t>
      </w:r>
      <w:proofErr w:type="spellStart"/>
      <w:r w:rsidRPr="00E02F30">
        <w:rPr>
          <w:rFonts w:eastAsia="Calibri" w:cs="Times New Roman"/>
          <w:b/>
          <w:szCs w:val="20"/>
          <w:lang w:val="en-US" w:eastAsia="pl-PL"/>
        </w:rPr>
        <w:t>warunkach</w:t>
      </w:r>
      <w:proofErr w:type="spellEnd"/>
      <w:r w:rsidRPr="00E02F30">
        <w:rPr>
          <w:rFonts w:eastAsia="Calibri" w:cs="Times New Roman"/>
          <w:b/>
          <w:szCs w:val="20"/>
          <w:lang w:val="en-US" w:eastAsia="pl-PL"/>
        </w:rPr>
        <w:t xml:space="preserve"> </w:t>
      </w:r>
      <w:proofErr w:type="spellStart"/>
      <w:r w:rsidRPr="00E02F30">
        <w:rPr>
          <w:rFonts w:eastAsia="Calibri" w:cs="Times New Roman"/>
          <w:b/>
          <w:szCs w:val="20"/>
          <w:lang w:val="en-US" w:eastAsia="pl-PL"/>
        </w:rPr>
        <w:t>normalnego</w:t>
      </w:r>
      <w:proofErr w:type="spellEnd"/>
      <w:r w:rsidRPr="00E02F30">
        <w:rPr>
          <w:rFonts w:eastAsia="Calibri" w:cs="Times New Roman"/>
          <w:b/>
          <w:szCs w:val="20"/>
          <w:lang w:val="en-US" w:eastAsia="pl-PL"/>
        </w:rPr>
        <w:t xml:space="preserve"> </w:t>
      </w:r>
      <w:proofErr w:type="spellStart"/>
      <w:r w:rsidRPr="00E02F30">
        <w:rPr>
          <w:rFonts w:eastAsia="Calibri" w:cs="Times New Roman"/>
          <w:b/>
          <w:szCs w:val="20"/>
          <w:lang w:val="en-US" w:eastAsia="pl-PL"/>
        </w:rPr>
        <w:t>funkcjonowania</w:t>
      </w:r>
      <w:proofErr w:type="spellEnd"/>
      <w:r w:rsidRPr="00E02F30">
        <w:rPr>
          <w:rFonts w:eastAsia="Calibri" w:cs="Times New Roman"/>
          <w:b/>
          <w:szCs w:val="20"/>
          <w:lang w:val="en-US" w:eastAsia="pl-PL"/>
        </w:rPr>
        <w:t xml:space="preserve"> </w:t>
      </w:r>
      <w:proofErr w:type="spellStart"/>
      <w:r w:rsidRPr="00E02F30">
        <w:rPr>
          <w:rFonts w:eastAsia="Calibri" w:cs="Times New Roman"/>
          <w:b/>
          <w:szCs w:val="20"/>
          <w:lang w:val="en-US" w:eastAsia="pl-PL"/>
        </w:rPr>
        <w:t>instalacji</w:t>
      </w:r>
      <w:proofErr w:type="spellEnd"/>
      <w:r w:rsidRPr="00E02F30">
        <w:rPr>
          <w:rFonts w:eastAsia="Calibri" w:cs="Times New Roman"/>
          <w:b/>
          <w:szCs w:val="20"/>
          <w:lang w:val="en-US" w:eastAsia="pl-PL"/>
        </w:rPr>
        <w:t>:</w:t>
      </w:r>
    </w:p>
    <w:p w14:paraId="5C379FB2" w14:textId="77777777" w:rsidR="00E02F30" w:rsidRPr="00E02F30" w:rsidRDefault="00E02F30" w:rsidP="00E02F30">
      <w:pPr>
        <w:keepNext/>
        <w:widowControl w:val="0"/>
        <w:adjustRightInd w:val="0"/>
        <w:spacing w:after="0" w:line="276" w:lineRule="auto"/>
        <w:jc w:val="both"/>
        <w:textAlignment w:val="baseline"/>
        <w:outlineLvl w:val="2"/>
        <w:rPr>
          <w:rFonts w:eastAsia="Calibri" w:cs="Times New Roman"/>
          <w:b/>
          <w:szCs w:val="20"/>
        </w:rPr>
      </w:pPr>
      <w:r w:rsidRPr="00E02F30">
        <w:rPr>
          <w:rFonts w:eastAsia="Calibri" w:cs="Times New Roman"/>
          <w:b/>
          <w:szCs w:val="20"/>
        </w:rPr>
        <w:t>II.1. Dopuszczalna wielkość emisji gazów i pyłów wprowadzanych do powietrza</w:t>
      </w:r>
      <w:r w:rsidRPr="00E02F30">
        <w:rPr>
          <w:rFonts w:eastAsia="Calibri" w:cs="Times New Roman"/>
          <w:b/>
          <w:szCs w:val="20"/>
        </w:rPr>
        <w:br/>
        <w:t>w warunkach normalnego funkcjonowania instalacji</w:t>
      </w:r>
    </w:p>
    <w:p w14:paraId="5CF66094" w14:textId="77777777" w:rsidR="00E02F30" w:rsidRPr="00E02F30" w:rsidRDefault="00E02F30" w:rsidP="00E02F30">
      <w:pPr>
        <w:keepNext/>
        <w:widowControl w:val="0"/>
        <w:adjustRightInd w:val="0"/>
        <w:spacing w:after="0" w:line="276" w:lineRule="auto"/>
        <w:jc w:val="both"/>
        <w:textAlignment w:val="baseline"/>
        <w:outlineLvl w:val="3"/>
        <w:rPr>
          <w:rFonts w:eastAsia="Times New Roman" w:cs="Times New Roman"/>
          <w:b/>
          <w:szCs w:val="20"/>
          <w:lang w:eastAsia="pl-PL"/>
        </w:rPr>
      </w:pPr>
      <w:r w:rsidRPr="00E02F30">
        <w:rPr>
          <w:rFonts w:eastAsia="Times New Roman" w:cs="Times New Roman"/>
          <w:b/>
          <w:bCs/>
          <w:szCs w:val="20"/>
          <w:lang w:eastAsia="pl-PL"/>
        </w:rPr>
        <w:t xml:space="preserve">II.1.1. </w:t>
      </w:r>
      <w:r w:rsidRPr="00E02F30">
        <w:rPr>
          <w:rFonts w:eastAsia="Times New Roman" w:cs="Times New Roman"/>
          <w:b/>
          <w:szCs w:val="20"/>
          <w:lang w:eastAsia="pl-PL"/>
        </w:rPr>
        <w:t>Dopuszczalna ilość substancji zanieczyszczających wprowadzanych do powietrza z Instalacji</w:t>
      </w:r>
      <w:r w:rsidRPr="00E02F30">
        <w:rPr>
          <w:rFonts w:ascii="Calibri" w:eastAsia="Times New Roman" w:hAnsi="Calibri" w:cs="Calibri"/>
          <w:b/>
          <w:color w:val="000000"/>
          <w:szCs w:val="20"/>
          <w:lang w:eastAsia="pl-PL"/>
        </w:rPr>
        <w:t xml:space="preserve"> </w:t>
      </w:r>
    </w:p>
    <w:p w14:paraId="72E403B3" w14:textId="77777777" w:rsidR="00E02F30" w:rsidRPr="00E02F30" w:rsidRDefault="00E02F30" w:rsidP="00E02F30">
      <w:pPr>
        <w:keepNext/>
        <w:widowControl w:val="0"/>
        <w:adjustRightInd w:val="0"/>
        <w:spacing w:after="0" w:line="276" w:lineRule="auto"/>
        <w:textAlignment w:val="baseline"/>
        <w:outlineLvl w:val="4"/>
        <w:rPr>
          <w:rFonts w:eastAsia="Times New Roman" w:cs="Times New Roman"/>
          <w:szCs w:val="20"/>
          <w:lang w:eastAsia="pl-PL"/>
        </w:rPr>
      </w:pPr>
      <w:r w:rsidRPr="00E02F30">
        <w:rPr>
          <w:rFonts w:eastAsia="Times New Roman" w:cs="Times New Roman"/>
          <w:szCs w:val="20"/>
          <w:lang w:eastAsia="pl-PL"/>
        </w:rPr>
        <w:t>Tabela nr 1</w:t>
      </w:r>
    </w:p>
    <w:p w14:paraId="306EE67C" w14:textId="77777777" w:rsidR="00E02F30" w:rsidRPr="00E02F30" w:rsidRDefault="00E02F30" w:rsidP="00E02F30">
      <w:pPr>
        <w:spacing w:after="0" w:line="240" w:lineRule="auto"/>
        <w:jc w:val="both"/>
        <w:rPr>
          <w:rFonts w:eastAsia="Times New Roman" w:cs="Times New Roman"/>
          <w:szCs w:val="24"/>
          <w:lang w:eastAsia="pl-PL"/>
        </w:rPr>
      </w:pPr>
    </w:p>
    <w:tbl>
      <w:tblPr>
        <w:tblpPr w:leftFromText="142" w:rightFromText="142" w:vertAnchor="text" w:tblpXSpec="center" w:tblpY="1"/>
        <w:tblOverlap w:val="neve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Description w:val="Przedstawia 9 źródeł emisji, symbole emitorów, nazwy substancji zanieczyszczających oraz dopuszczalną emisję do dnia 11 grudnia 2026 roku oraz od dnia 12 grudnia 2026 r."/>
      </w:tblPr>
      <w:tblGrid>
        <w:gridCol w:w="554"/>
        <w:gridCol w:w="2653"/>
        <w:gridCol w:w="875"/>
        <w:gridCol w:w="2253"/>
        <w:gridCol w:w="1411"/>
        <w:gridCol w:w="1548"/>
      </w:tblGrid>
      <w:tr w:rsidR="00E02F30" w:rsidRPr="00E02F30" w14:paraId="6FD9731D" w14:textId="77777777" w:rsidTr="00A1631B">
        <w:trPr>
          <w:trHeight w:val="381"/>
          <w:tblHeader/>
        </w:trPr>
        <w:tc>
          <w:tcPr>
            <w:tcW w:w="298" w:type="pct"/>
            <w:vMerge w:val="restart"/>
            <w:shd w:val="clear" w:color="auto" w:fill="auto"/>
            <w:vAlign w:val="center"/>
          </w:tcPr>
          <w:p w14:paraId="298CF1A6" w14:textId="77777777" w:rsidR="00E02F30" w:rsidRPr="00E02F30" w:rsidRDefault="00E02F30" w:rsidP="00E02F30">
            <w:pPr>
              <w:spacing w:after="0" w:line="240" w:lineRule="auto"/>
              <w:jc w:val="center"/>
              <w:rPr>
                <w:rFonts w:eastAsia="Times New Roman" w:cs="Times New Roman"/>
                <w:sz w:val="20"/>
                <w:szCs w:val="20"/>
                <w:lang w:eastAsia="pl-PL"/>
              </w:rPr>
            </w:pPr>
            <w:r w:rsidRPr="00E02F30">
              <w:rPr>
                <w:rFonts w:eastAsia="Times New Roman" w:cs="Times New Roman"/>
                <w:sz w:val="20"/>
                <w:szCs w:val="20"/>
                <w:lang w:eastAsia="pl-PL"/>
              </w:rPr>
              <w:t>Lp.</w:t>
            </w:r>
          </w:p>
        </w:tc>
        <w:tc>
          <w:tcPr>
            <w:tcW w:w="1427" w:type="pct"/>
            <w:vMerge w:val="restart"/>
            <w:shd w:val="clear" w:color="auto" w:fill="auto"/>
            <w:vAlign w:val="center"/>
          </w:tcPr>
          <w:p w14:paraId="1F1F358A" w14:textId="77777777" w:rsidR="00E02F30" w:rsidRPr="00E02F30" w:rsidRDefault="00E02F30" w:rsidP="00E02F30">
            <w:pPr>
              <w:spacing w:after="0" w:line="240" w:lineRule="auto"/>
              <w:jc w:val="center"/>
              <w:rPr>
                <w:rFonts w:eastAsia="Times New Roman" w:cs="Times New Roman"/>
                <w:sz w:val="20"/>
                <w:szCs w:val="20"/>
                <w:lang w:eastAsia="pl-PL"/>
              </w:rPr>
            </w:pPr>
            <w:r w:rsidRPr="00E02F30">
              <w:rPr>
                <w:rFonts w:eastAsia="Times New Roman" w:cs="Times New Roman"/>
                <w:sz w:val="20"/>
                <w:szCs w:val="20"/>
                <w:lang w:eastAsia="pl-PL"/>
              </w:rPr>
              <w:t>Źródło emisji</w:t>
            </w:r>
          </w:p>
        </w:tc>
        <w:tc>
          <w:tcPr>
            <w:tcW w:w="471" w:type="pct"/>
            <w:vMerge w:val="restart"/>
            <w:shd w:val="clear" w:color="auto" w:fill="auto"/>
            <w:vAlign w:val="center"/>
          </w:tcPr>
          <w:p w14:paraId="0B55A68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Emitor</w:t>
            </w:r>
          </w:p>
        </w:tc>
        <w:tc>
          <w:tcPr>
            <w:tcW w:w="1212" w:type="pct"/>
            <w:vMerge w:val="restart"/>
            <w:shd w:val="clear" w:color="auto" w:fill="auto"/>
            <w:vAlign w:val="center"/>
          </w:tcPr>
          <w:p w14:paraId="6FE1859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Nazwa substancji zanieczyszczającej</w:t>
            </w:r>
          </w:p>
        </w:tc>
        <w:tc>
          <w:tcPr>
            <w:tcW w:w="1592" w:type="pct"/>
            <w:gridSpan w:val="2"/>
            <w:shd w:val="clear" w:color="auto" w:fill="auto"/>
            <w:vAlign w:val="center"/>
          </w:tcPr>
          <w:p w14:paraId="39CFE7A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Emisja dopuszczalna</w:t>
            </w:r>
          </w:p>
          <w:p w14:paraId="77F7934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[kg/h]</w:t>
            </w:r>
          </w:p>
        </w:tc>
      </w:tr>
      <w:tr w:rsidR="00E02F30" w:rsidRPr="00E02F30" w14:paraId="1F05C075" w14:textId="77777777" w:rsidTr="00A1631B">
        <w:trPr>
          <w:trHeight w:val="380"/>
          <w:tblHeader/>
        </w:trPr>
        <w:tc>
          <w:tcPr>
            <w:tcW w:w="298" w:type="pct"/>
            <w:vMerge/>
            <w:shd w:val="clear" w:color="auto" w:fill="auto"/>
            <w:vAlign w:val="center"/>
          </w:tcPr>
          <w:p w14:paraId="04221075" w14:textId="77777777" w:rsidR="00E02F30" w:rsidRPr="00E02F30" w:rsidRDefault="00E02F30" w:rsidP="00E02F30">
            <w:pPr>
              <w:spacing w:after="0" w:line="240" w:lineRule="auto"/>
              <w:jc w:val="center"/>
              <w:rPr>
                <w:rFonts w:eastAsia="Times New Roman" w:cs="Times New Roman"/>
                <w:sz w:val="20"/>
                <w:szCs w:val="20"/>
                <w:lang w:eastAsia="pl-PL"/>
              </w:rPr>
            </w:pPr>
          </w:p>
        </w:tc>
        <w:tc>
          <w:tcPr>
            <w:tcW w:w="1427" w:type="pct"/>
            <w:vMerge/>
            <w:shd w:val="clear" w:color="auto" w:fill="auto"/>
            <w:vAlign w:val="center"/>
          </w:tcPr>
          <w:p w14:paraId="29DE01CB" w14:textId="77777777" w:rsidR="00E02F30" w:rsidRPr="00E02F30" w:rsidRDefault="00E02F30" w:rsidP="00E02F30">
            <w:pPr>
              <w:spacing w:after="0" w:line="240" w:lineRule="auto"/>
              <w:jc w:val="center"/>
              <w:rPr>
                <w:rFonts w:eastAsia="Times New Roman" w:cs="Times New Roman"/>
                <w:sz w:val="20"/>
                <w:szCs w:val="20"/>
                <w:lang w:eastAsia="pl-PL"/>
              </w:rPr>
            </w:pPr>
          </w:p>
        </w:tc>
        <w:tc>
          <w:tcPr>
            <w:tcW w:w="471" w:type="pct"/>
            <w:vMerge/>
            <w:shd w:val="clear" w:color="auto" w:fill="auto"/>
            <w:vAlign w:val="center"/>
          </w:tcPr>
          <w:p w14:paraId="44F77F72"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vMerge/>
            <w:shd w:val="clear" w:color="auto" w:fill="auto"/>
            <w:vAlign w:val="center"/>
          </w:tcPr>
          <w:p w14:paraId="65E102D1" w14:textId="77777777" w:rsidR="00E02F30" w:rsidRPr="00E02F30" w:rsidRDefault="00E02F30" w:rsidP="00E02F30">
            <w:pPr>
              <w:spacing w:after="0" w:line="240" w:lineRule="auto"/>
              <w:jc w:val="center"/>
              <w:rPr>
                <w:rFonts w:eastAsia="Times New Roman" w:cs="Arial"/>
                <w:sz w:val="20"/>
                <w:szCs w:val="20"/>
                <w:lang w:eastAsia="pl-PL"/>
              </w:rPr>
            </w:pPr>
          </w:p>
        </w:tc>
        <w:tc>
          <w:tcPr>
            <w:tcW w:w="759" w:type="pct"/>
            <w:shd w:val="clear" w:color="auto" w:fill="auto"/>
            <w:vAlign w:val="center"/>
          </w:tcPr>
          <w:p w14:paraId="0435F3E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 xml:space="preserve">do </w:t>
            </w:r>
          </w:p>
          <w:p w14:paraId="24DBA96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11.12.2026 r.</w:t>
            </w:r>
          </w:p>
        </w:tc>
        <w:tc>
          <w:tcPr>
            <w:tcW w:w="833" w:type="pct"/>
          </w:tcPr>
          <w:p w14:paraId="19FFD51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 xml:space="preserve">od </w:t>
            </w:r>
          </w:p>
          <w:p w14:paraId="069F0EC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12.12.2026 r.</w:t>
            </w:r>
          </w:p>
        </w:tc>
      </w:tr>
      <w:tr w:rsidR="00E02F30" w:rsidRPr="00E02F30" w14:paraId="26D29DA5" w14:textId="77777777" w:rsidTr="00A1631B">
        <w:trPr>
          <w:trHeight w:val="152"/>
        </w:trPr>
        <w:tc>
          <w:tcPr>
            <w:tcW w:w="298" w:type="pct"/>
            <w:vMerge w:val="restart"/>
            <w:vAlign w:val="center"/>
          </w:tcPr>
          <w:p w14:paraId="3AB500C7"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1.</w:t>
            </w:r>
          </w:p>
        </w:tc>
        <w:tc>
          <w:tcPr>
            <w:tcW w:w="1427" w:type="pct"/>
            <w:vMerge w:val="restart"/>
            <w:vAlign w:val="center"/>
          </w:tcPr>
          <w:p w14:paraId="4CEB9594" w14:textId="77777777" w:rsidR="00E02F30" w:rsidRPr="00E02F30" w:rsidRDefault="00E02F30" w:rsidP="00E02F30">
            <w:pPr>
              <w:spacing w:after="0" w:line="240" w:lineRule="auto"/>
              <w:jc w:val="center"/>
              <w:rPr>
                <w:rFonts w:eastAsia="Times New Roman" w:cs="Times New Roman"/>
                <w:strike/>
                <w:szCs w:val="24"/>
                <w:lang w:eastAsia="pl-PL"/>
              </w:rPr>
            </w:pPr>
            <w:r w:rsidRPr="00E02F30">
              <w:rPr>
                <w:rFonts w:eastAsia="Times New Roman" w:cs="Arial"/>
                <w:sz w:val="16"/>
                <w:szCs w:val="16"/>
                <w:lang w:eastAsia="pl-PL"/>
              </w:rPr>
              <w:t>Kondensacja, dozowanie surowców sypkich, linia ob. 524 i 524a. Wentylacja mechaniczna z hermetyzacji kwaśnej.</w:t>
            </w:r>
          </w:p>
        </w:tc>
        <w:tc>
          <w:tcPr>
            <w:tcW w:w="471" w:type="pct"/>
            <w:vMerge w:val="restart"/>
            <w:vAlign w:val="center"/>
          </w:tcPr>
          <w:p w14:paraId="04D62CF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E-1/Z</w:t>
            </w:r>
          </w:p>
        </w:tc>
        <w:tc>
          <w:tcPr>
            <w:tcW w:w="1212" w:type="pct"/>
          </w:tcPr>
          <w:p w14:paraId="27874C7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glikol etylenowy</w:t>
            </w:r>
          </w:p>
        </w:tc>
        <w:tc>
          <w:tcPr>
            <w:tcW w:w="759" w:type="pct"/>
          </w:tcPr>
          <w:p w14:paraId="0C8DDB3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0,0657</w:t>
            </w:r>
          </w:p>
        </w:tc>
        <w:tc>
          <w:tcPr>
            <w:tcW w:w="833" w:type="pct"/>
          </w:tcPr>
          <w:p w14:paraId="39204A6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0,0657</w:t>
            </w:r>
          </w:p>
        </w:tc>
      </w:tr>
      <w:tr w:rsidR="00E02F30" w:rsidRPr="00E02F30" w14:paraId="200F1A75" w14:textId="77777777" w:rsidTr="00A1631B">
        <w:trPr>
          <w:trHeight w:val="152"/>
        </w:trPr>
        <w:tc>
          <w:tcPr>
            <w:tcW w:w="298" w:type="pct"/>
            <w:vMerge/>
            <w:vAlign w:val="center"/>
          </w:tcPr>
          <w:p w14:paraId="78F68912"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24F57858" w14:textId="77777777" w:rsidR="00E02F30" w:rsidRPr="00E02F30" w:rsidRDefault="00E02F30" w:rsidP="00E02F30">
            <w:pPr>
              <w:spacing w:after="0" w:line="240" w:lineRule="auto"/>
              <w:jc w:val="center"/>
              <w:rPr>
                <w:rFonts w:eastAsia="Times New Roman" w:cs="Times New Roman"/>
                <w:strike/>
                <w:szCs w:val="24"/>
                <w:lang w:eastAsia="pl-PL"/>
              </w:rPr>
            </w:pPr>
          </w:p>
        </w:tc>
        <w:tc>
          <w:tcPr>
            <w:tcW w:w="471" w:type="pct"/>
            <w:vMerge/>
            <w:vAlign w:val="center"/>
          </w:tcPr>
          <w:p w14:paraId="781684BC"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12EF060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ogółem</w:t>
            </w:r>
          </w:p>
        </w:tc>
        <w:tc>
          <w:tcPr>
            <w:tcW w:w="759" w:type="pct"/>
          </w:tcPr>
          <w:p w14:paraId="76C7EDF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0,0007</w:t>
            </w:r>
          </w:p>
        </w:tc>
        <w:tc>
          <w:tcPr>
            <w:tcW w:w="833" w:type="pct"/>
          </w:tcPr>
          <w:p w14:paraId="6F014DB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0,0007</w:t>
            </w:r>
          </w:p>
        </w:tc>
      </w:tr>
      <w:tr w:rsidR="00E02F30" w:rsidRPr="00E02F30" w14:paraId="431B8CE6" w14:textId="77777777" w:rsidTr="00A1631B">
        <w:trPr>
          <w:trHeight w:val="152"/>
        </w:trPr>
        <w:tc>
          <w:tcPr>
            <w:tcW w:w="298" w:type="pct"/>
            <w:vMerge/>
            <w:vAlign w:val="center"/>
          </w:tcPr>
          <w:p w14:paraId="7E76BE29"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2C6A2BEC" w14:textId="77777777" w:rsidR="00E02F30" w:rsidRPr="00E02F30" w:rsidRDefault="00E02F30" w:rsidP="00E02F30">
            <w:pPr>
              <w:spacing w:after="0" w:line="240" w:lineRule="auto"/>
              <w:jc w:val="center"/>
              <w:rPr>
                <w:rFonts w:eastAsia="Times New Roman" w:cs="Times New Roman"/>
                <w:strike/>
                <w:szCs w:val="24"/>
                <w:lang w:eastAsia="pl-PL"/>
              </w:rPr>
            </w:pPr>
          </w:p>
        </w:tc>
        <w:tc>
          <w:tcPr>
            <w:tcW w:w="471" w:type="pct"/>
            <w:vMerge/>
            <w:vAlign w:val="center"/>
          </w:tcPr>
          <w:p w14:paraId="0023CE7C"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78B5250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PM10</w:t>
            </w:r>
          </w:p>
        </w:tc>
        <w:tc>
          <w:tcPr>
            <w:tcW w:w="759" w:type="pct"/>
          </w:tcPr>
          <w:p w14:paraId="585AE11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0,0007</w:t>
            </w:r>
          </w:p>
        </w:tc>
        <w:tc>
          <w:tcPr>
            <w:tcW w:w="833" w:type="pct"/>
          </w:tcPr>
          <w:p w14:paraId="317A7D0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0,0007</w:t>
            </w:r>
          </w:p>
        </w:tc>
      </w:tr>
      <w:tr w:rsidR="00E02F30" w:rsidRPr="00E02F30" w14:paraId="683ED083" w14:textId="77777777" w:rsidTr="00A1631B">
        <w:trPr>
          <w:trHeight w:val="309"/>
        </w:trPr>
        <w:tc>
          <w:tcPr>
            <w:tcW w:w="298" w:type="pct"/>
            <w:vMerge/>
            <w:vAlign w:val="center"/>
          </w:tcPr>
          <w:p w14:paraId="12F92A1A"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7BD0D30D" w14:textId="77777777" w:rsidR="00E02F30" w:rsidRPr="00E02F30" w:rsidRDefault="00E02F30" w:rsidP="00E02F30">
            <w:pPr>
              <w:spacing w:after="0" w:line="240" w:lineRule="auto"/>
              <w:jc w:val="center"/>
              <w:rPr>
                <w:rFonts w:eastAsia="Times New Roman" w:cs="Times New Roman"/>
                <w:strike/>
                <w:szCs w:val="24"/>
                <w:lang w:eastAsia="pl-PL"/>
              </w:rPr>
            </w:pPr>
          </w:p>
        </w:tc>
        <w:tc>
          <w:tcPr>
            <w:tcW w:w="471" w:type="pct"/>
            <w:vMerge/>
            <w:vAlign w:val="center"/>
          </w:tcPr>
          <w:p w14:paraId="153D8EFD"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75A33DB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PM2,5</w:t>
            </w:r>
          </w:p>
        </w:tc>
        <w:tc>
          <w:tcPr>
            <w:tcW w:w="759" w:type="pct"/>
          </w:tcPr>
          <w:p w14:paraId="1283DCC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0,0007</w:t>
            </w:r>
          </w:p>
        </w:tc>
        <w:tc>
          <w:tcPr>
            <w:tcW w:w="833" w:type="pct"/>
          </w:tcPr>
          <w:p w14:paraId="67BA118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0,0007</w:t>
            </w:r>
          </w:p>
        </w:tc>
      </w:tr>
      <w:tr w:rsidR="00E02F30" w:rsidRPr="00E02F30" w14:paraId="6FD05249" w14:textId="77777777" w:rsidTr="00A1631B">
        <w:trPr>
          <w:trHeight w:val="67"/>
        </w:trPr>
        <w:tc>
          <w:tcPr>
            <w:tcW w:w="298" w:type="pct"/>
            <w:vMerge w:val="restart"/>
            <w:vAlign w:val="center"/>
          </w:tcPr>
          <w:p w14:paraId="4CD23071"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2.</w:t>
            </w:r>
          </w:p>
        </w:tc>
        <w:tc>
          <w:tcPr>
            <w:tcW w:w="1427" w:type="pct"/>
            <w:vMerge w:val="restart"/>
            <w:vAlign w:val="center"/>
          </w:tcPr>
          <w:p w14:paraId="36994CBF" w14:textId="77777777" w:rsidR="00E02F30" w:rsidRPr="00E02F30" w:rsidRDefault="00E02F30" w:rsidP="00E02F30">
            <w:pPr>
              <w:spacing w:after="0" w:line="240" w:lineRule="auto"/>
              <w:jc w:val="center"/>
              <w:rPr>
                <w:rFonts w:eastAsia="Times New Roman" w:cs="Times New Roman"/>
                <w:strike/>
                <w:szCs w:val="24"/>
                <w:lang w:eastAsia="pl-PL"/>
              </w:rPr>
            </w:pPr>
            <w:r w:rsidRPr="00E02F30">
              <w:rPr>
                <w:rFonts w:eastAsia="Times New Roman" w:cs="Arial"/>
                <w:sz w:val="16"/>
                <w:szCs w:val="16"/>
                <w:lang w:eastAsia="pl-PL"/>
              </w:rPr>
              <w:t>Urządzenia technologiczne (zbiorniki, reaktory i mieszalniki) w linii ob. 501 oraz linii ob. 524 i 524a – dopalacz termiczny komorowy typu regeneracyjnego.</w:t>
            </w:r>
          </w:p>
        </w:tc>
        <w:tc>
          <w:tcPr>
            <w:tcW w:w="471" w:type="pct"/>
            <w:vMerge w:val="restart"/>
            <w:vAlign w:val="center"/>
          </w:tcPr>
          <w:p w14:paraId="3222123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E-2/Z</w:t>
            </w:r>
          </w:p>
        </w:tc>
        <w:tc>
          <w:tcPr>
            <w:tcW w:w="1212" w:type="pct"/>
          </w:tcPr>
          <w:p w14:paraId="602228E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aceton</w:t>
            </w:r>
          </w:p>
        </w:tc>
        <w:tc>
          <w:tcPr>
            <w:tcW w:w="759" w:type="pct"/>
            <w:vAlign w:val="center"/>
          </w:tcPr>
          <w:p w14:paraId="19887DC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0,1550</w:t>
            </w:r>
          </w:p>
        </w:tc>
        <w:tc>
          <w:tcPr>
            <w:tcW w:w="833" w:type="pct"/>
            <w:vAlign w:val="center"/>
          </w:tcPr>
          <w:p w14:paraId="244E6DA0"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0,1550</w:t>
            </w:r>
          </w:p>
        </w:tc>
      </w:tr>
      <w:tr w:rsidR="00E02F30" w:rsidRPr="00E02F30" w14:paraId="112963DC" w14:textId="77777777" w:rsidTr="00A1631B">
        <w:trPr>
          <w:trHeight w:val="254"/>
        </w:trPr>
        <w:tc>
          <w:tcPr>
            <w:tcW w:w="298" w:type="pct"/>
            <w:vMerge/>
            <w:vAlign w:val="center"/>
          </w:tcPr>
          <w:p w14:paraId="25F1BF72"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464A34E2" w14:textId="77777777" w:rsidR="00E02F30" w:rsidRPr="00E02F30" w:rsidRDefault="00E02F30" w:rsidP="00E02F30">
            <w:pPr>
              <w:spacing w:after="0" w:line="240" w:lineRule="auto"/>
              <w:jc w:val="center"/>
              <w:rPr>
                <w:rFonts w:eastAsia="Times New Roman" w:cs="Times New Roman"/>
                <w:strike/>
                <w:szCs w:val="24"/>
                <w:lang w:eastAsia="pl-PL"/>
              </w:rPr>
            </w:pPr>
          </w:p>
        </w:tc>
        <w:tc>
          <w:tcPr>
            <w:tcW w:w="471" w:type="pct"/>
            <w:vMerge/>
            <w:vAlign w:val="center"/>
          </w:tcPr>
          <w:p w14:paraId="27DB8BFC"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2C95F9C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glikol etylenowy</w:t>
            </w:r>
          </w:p>
        </w:tc>
        <w:tc>
          <w:tcPr>
            <w:tcW w:w="759" w:type="pct"/>
            <w:vAlign w:val="center"/>
          </w:tcPr>
          <w:p w14:paraId="109BCF6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0,1500</w:t>
            </w:r>
          </w:p>
        </w:tc>
        <w:tc>
          <w:tcPr>
            <w:tcW w:w="833" w:type="pct"/>
            <w:vAlign w:val="center"/>
          </w:tcPr>
          <w:p w14:paraId="446FD41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0,1500</w:t>
            </w:r>
          </w:p>
        </w:tc>
      </w:tr>
      <w:tr w:rsidR="00E02F30" w:rsidRPr="00E02F30" w14:paraId="0601D390" w14:textId="77777777" w:rsidTr="00A1631B">
        <w:trPr>
          <w:trHeight w:val="144"/>
        </w:trPr>
        <w:tc>
          <w:tcPr>
            <w:tcW w:w="298" w:type="pct"/>
            <w:vMerge/>
            <w:vAlign w:val="center"/>
          </w:tcPr>
          <w:p w14:paraId="7BE8A40B"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26EA31E2" w14:textId="77777777" w:rsidR="00E02F30" w:rsidRPr="00E02F30" w:rsidRDefault="00E02F30" w:rsidP="00E02F30">
            <w:pPr>
              <w:spacing w:after="0" w:line="240" w:lineRule="auto"/>
              <w:jc w:val="center"/>
              <w:rPr>
                <w:rFonts w:eastAsia="Times New Roman" w:cs="Times New Roman"/>
                <w:strike/>
                <w:szCs w:val="24"/>
                <w:lang w:eastAsia="pl-PL"/>
              </w:rPr>
            </w:pPr>
          </w:p>
        </w:tc>
        <w:tc>
          <w:tcPr>
            <w:tcW w:w="471" w:type="pct"/>
            <w:vMerge/>
            <w:vAlign w:val="center"/>
          </w:tcPr>
          <w:p w14:paraId="0188768F"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vAlign w:val="center"/>
          </w:tcPr>
          <w:p w14:paraId="6B38FC0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ksylen</w:t>
            </w:r>
          </w:p>
        </w:tc>
        <w:tc>
          <w:tcPr>
            <w:tcW w:w="759" w:type="pct"/>
            <w:vAlign w:val="center"/>
          </w:tcPr>
          <w:p w14:paraId="042A7018"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0,0100</w:t>
            </w:r>
          </w:p>
        </w:tc>
        <w:tc>
          <w:tcPr>
            <w:tcW w:w="833" w:type="pct"/>
            <w:vAlign w:val="center"/>
          </w:tcPr>
          <w:p w14:paraId="6B1B00F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0,0100</w:t>
            </w:r>
          </w:p>
        </w:tc>
      </w:tr>
      <w:tr w:rsidR="00E02F30" w:rsidRPr="00E02F30" w14:paraId="5792833D" w14:textId="77777777" w:rsidTr="00A1631B">
        <w:trPr>
          <w:trHeight w:val="144"/>
        </w:trPr>
        <w:tc>
          <w:tcPr>
            <w:tcW w:w="298" w:type="pct"/>
            <w:vMerge/>
            <w:vAlign w:val="center"/>
          </w:tcPr>
          <w:p w14:paraId="0F1DF34A"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0B0B054C" w14:textId="77777777" w:rsidR="00E02F30" w:rsidRPr="00E02F30" w:rsidRDefault="00E02F30" w:rsidP="00E02F30">
            <w:pPr>
              <w:spacing w:after="0" w:line="240" w:lineRule="auto"/>
              <w:jc w:val="center"/>
              <w:rPr>
                <w:rFonts w:eastAsia="Times New Roman" w:cs="Times New Roman"/>
                <w:strike/>
                <w:szCs w:val="24"/>
                <w:lang w:eastAsia="pl-PL"/>
              </w:rPr>
            </w:pPr>
          </w:p>
        </w:tc>
        <w:tc>
          <w:tcPr>
            <w:tcW w:w="471" w:type="pct"/>
            <w:vMerge/>
            <w:vAlign w:val="center"/>
          </w:tcPr>
          <w:p w14:paraId="40D6FCEA"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12B181B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w:t>
            </w:r>
            <w:proofErr w:type="spellStart"/>
            <w:r w:rsidRPr="00E02F30">
              <w:rPr>
                <w:rFonts w:eastAsia="Times New Roman" w:cs="Arial"/>
                <w:sz w:val="20"/>
                <w:szCs w:val="20"/>
                <w:lang w:eastAsia="pl-PL"/>
              </w:rPr>
              <w:t>styren+toleuen</w:t>
            </w:r>
            <w:proofErr w:type="spellEnd"/>
            <w:r w:rsidRPr="00E02F30">
              <w:rPr>
                <w:rFonts w:eastAsia="Times New Roman" w:cs="Arial"/>
                <w:sz w:val="20"/>
                <w:szCs w:val="20"/>
                <w:lang w:eastAsia="pl-PL"/>
              </w:rPr>
              <w:t>)</w:t>
            </w:r>
          </w:p>
        </w:tc>
        <w:tc>
          <w:tcPr>
            <w:tcW w:w="759" w:type="pct"/>
            <w:vAlign w:val="center"/>
          </w:tcPr>
          <w:p w14:paraId="3ECA01C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w:t>
            </w:r>
          </w:p>
        </w:tc>
        <w:tc>
          <w:tcPr>
            <w:tcW w:w="833" w:type="pct"/>
            <w:vAlign w:val="center"/>
          </w:tcPr>
          <w:p w14:paraId="66B20C66"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8,82  mg/Nm3 *</w:t>
            </w:r>
          </w:p>
        </w:tc>
      </w:tr>
      <w:tr w:rsidR="00E02F30" w:rsidRPr="00E02F30" w14:paraId="5F2A6EBB" w14:textId="77777777" w:rsidTr="00A1631B">
        <w:trPr>
          <w:trHeight w:val="144"/>
        </w:trPr>
        <w:tc>
          <w:tcPr>
            <w:tcW w:w="298" w:type="pct"/>
            <w:vMerge/>
            <w:vAlign w:val="center"/>
          </w:tcPr>
          <w:p w14:paraId="2AC1A15D"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61583D55" w14:textId="77777777" w:rsidR="00E02F30" w:rsidRPr="00E02F30" w:rsidRDefault="00E02F30" w:rsidP="00E02F30">
            <w:pPr>
              <w:spacing w:after="0" w:line="240" w:lineRule="auto"/>
              <w:jc w:val="center"/>
              <w:rPr>
                <w:rFonts w:eastAsia="Times New Roman" w:cs="Times New Roman"/>
                <w:strike/>
                <w:szCs w:val="24"/>
                <w:lang w:eastAsia="pl-PL"/>
              </w:rPr>
            </w:pPr>
          </w:p>
        </w:tc>
        <w:tc>
          <w:tcPr>
            <w:tcW w:w="471" w:type="pct"/>
            <w:vMerge/>
            <w:vAlign w:val="center"/>
          </w:tcPr>
          <w:p w14:paraId="1135C9D6"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578CD60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toluen</w:t>
            </w:r>
          </w:p>
        </w:tc>
        <w:tc>
          <w:tcPr>
            <w:tcW w:w="759" w:type="pct"/>
            <w:vAlign w:val="center"/>
          </w:tcPr>
          <w:p w14:paraId="50FCC39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0,0100</w:t>
            </w:r>
          </w:p>
        </w:tc>
        <w:tc>
          <w:tcPr>
            <w:tcW w:w="833" w:type="pct"/>
            <w:vAlign w:val="center"/>
          </w:tcPr>
          <w:p w14:paraId="0BE8059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0,0100</w:t>
            </w:r>
          </w:p>
        </w:tc>
      </w:tr>
      <w:tr w:rsidR="00E02F30" w:rsidRPr="00E02F30" w14:paraId="344652C7" w14:textId="77777777" w:rsidTr="00A1631B">
        <w:trPr>
          <w:trHeight w:val="330"/>
        </w:trPr>
        <w:tc>
          <w:tcPr>
            <w:tcW w:w="298" w:type="pct"/>
            <w:vMerge/>
            <w:vAlign w:val="center"/>
          </w:tcPr>
          <w:p w14:paraId="79E6DAB7"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28619611" w14:textId="77777777" w:rsidR="00E02F30" w:rsidRPr="00E02F30" w:rsidRDefault="00E02F30" w:rsidP="00E02F30">
            <w:pPr>
              <w:spacing w:after="0" w:line="240" w:lineRule="auto"/>
              <w:jc w:val="center"/>
              <w:rPr>
                <w:rFonts w:eastAsia="Times New Roman" w:cs="Times New Roman"/>
                <w:strike/>
                <w:szCs w:val="24"/>
                <w:lang w:eastAsia="pl-PL"/>
              </w:rPr>
            </w:pPr>
          </w:p>
        </w:tc>
        <w:tc>
          <w:tcPr>
            <w:tcW w:w="471" w:type="pct"/>
            <w:vMerge/>
            <w:vAlign w:val="center"/>
          </w:tcPr>
          <w:p w14:paraId="42C6E01E"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vAlign w:val="center"/>
          </w:tcPr>
          <w:p w14:paraId="6290C5D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759" w:type="pct"/>
            <w:vAlign w:val="center"/>
          </w:tcPr>
          <w:p w14:paraId="670305B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w:t>
            </w:r>
          </w:p>
        </w:tc>
        <w:tc>
          <w:tcPr>
            <w:tcW w:w="833" w:type="pct"/>
            <w:vAlign w:val="center"/>
          </w:tcPr>
          <w:p w14:paraId="79FE852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20 mg/Nm3 *</w:t>
            </w:r>
          </w:p>
        </w:tc>
      </w:tr>
      <w:tr w:rsidR="00E02F30" w:rsidRPr="00E02F30" w14:paraId="3F0D5FCA" w14:textId="77777777" w:rsidTr="00A1631B">
        <w:trPr>
          <w:trHeight w:val="166"/>
        </w:trPr>
        <w:tc>
          <w:tcPr>
            <w:tcW w:w="298" w:type="pct"/>
            <w:vMerge w:val="restart"/>
            <w:vAlign w:val="center"/>
          </w:tcPr>
          <w:p w14:paraId="08E265A7"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3.</w:t>
            </w:r>
          </w:p>
        </w:tc>
        <w:tc>
          <w:tcPr>
            <w:tcW w:w="1427" w:type="pct"/>
            <w:vMerge w:val="restart"/>
            <w:vAlign w:val="center"/>
          </w:tcPr>
          <w:p w14:paraId="70626479" w14:textId="77777777" w:rsidR="00E02F30" w:rsidRPr="00E02F30" w:rsidRDefault="00E02F30" w:rsidP="00E02F30">
            <w:pPr>
              <w:spacing w:after="0" w:line="240" w:lineRule="auto"/>
              <w:jc w:val="center"/>
              <w:rPr>
                <w:rFonts w:eastAsia="Times New Roman" w:cs="Times New Roman"/>
                <w:strike/>
                <w:szCs w:val="24"/>
                <w:lang w:eastAsia="pl-PL"/>
              </w:rPr>
            </w:pPr>
            <w:r w:rsidRPr="00E02F30">
              <w:rPr>
                <w:rFonts w:eastAsia="Times New Roman" w:cs="Arial"/>
                <w:sz w:val="16"/>
                <w:szCs w:val="16"/>
                <w:lang w:eastAsia="pl-PL"/>
              </w:rPr>
              <w:t>Linia ob. 524. Wentylacja mechaniczna z pomieszczeń produkcyjnych (wyciągowa)</w:t>
            </w:r>
          </w:p>
        </w:tc>
        <w:tc>
          <w:tcPr>
            <w:tcW w:w="471" w:type="pct"/>
            <w:vMerge w:val="restart"/>
            <w:vAlign w:val="center"/>
          </w:tcPr>
          <w:p w14:paraId="09B567A0"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E-3/Z</w:t>
            </w:r>
          </w:p>
        </w:tc>
        <w:tc>
          <w:tcPr>
            <w:tcW w:w="1212" w:type="pct"/>
          </w:tcPr>
          <w:p w14:paraId="0F552DB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glikol etylenowy</w:t>
            </w:r>
          </w:p>
        </w:tc>
        <w:tc>
          <w:tcPr>
            <w:tcW w:w="759" w:type="pct"/>
            <w:vAlign w:val="center"/>
          </w:tcPr>
          <w:p w14:paraId="51C83926"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0,1500</w:t>
            </w:r>
          </w:p>
        </w:tc>
        <w:tc>
          <w:tcPr>
            <w:tcW w:w="833" w:type="pct"/>
            <w:vAlign w:val="center"/>
          </w:tcPr>
          <w:p w14:paraId="094534F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0,1500</w:t>
            </w:r>
          </w:p>
        </w:tc>
      </w:tr>
      <w:tr w:rsidR="00E02F30" w:rsidRPr="00E02F30" w14:paraId="4CE49BBB" w14:textId="77777777" w:rsidTr="00A1631B">
        <w:trPr>
          <w:trHeight w:val="187"/>
        </w:trPr>
        <w:tc>
          <w:tcPr>
            <w:tcW w:w="298" w:type="pct"/>
            <w:vMerge/>
            <w:vAlign w:val="center"/>
          </w:tcPr>
          <w:p w14:paraId="7F20987A"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20868732"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63FD3AD7"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04C7345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(styren)</w:t>
            </w:r>
          </w:p>
        </w:tc>
        <w:tc>
          <w:tcPr>
            <w:tcW w:w="759" w:type="pct"/>
            <w:vAlign w:val="center"/>
          </w:tcPr>
          <w:p w14:paraId="6930504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w:t>
            </w:r>
          </w:p>
        </w:tc>
        <w:tc>
          <w:tcPr>
            <w:tcW w:w="833" w:type="pct"/>
            <w:vAlign w:val="center"/>
          </w:tcPr>
          <w:p w14:paraId="7D8405E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1,94 mg/Nm3 *</w:t>
            </w:r>
          </w:p>
        </w:tc>
      </w:tr>
      <w:tr w:rsidR="00E02F30" w:rsidRPr="00E02F30" w14:paraId="40635255" w14:textId="77777777" w:rsidTr="00A1631B">
        <w:trPr>
          <w:trHeight w:val="371"/>
        </w:trPr>
        <w:tc>
          <w:tcPr>
            <w:tcW w:w="298" w:type="pct"/>
            <w:vMerge/>
            <w:vAlign w:val="center"/>
          </w:tcPr>
          <w:p w14:paraId="79374326"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5818106C"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2E3AF6BF"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2718CC5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759" w:type="pct"/>
            <w:vAlign w:val="center"/>
          </w:tcPr>
          <w:p w14:paraId="7D64D07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w:t>
            </w:r>
          </w:p>
        </w:tc>
        <w:tc>
          <w:tcPr>
            <w:tcW w:w="833" w:type="pct"/>
            <w:vAlign w:val="center"/>
          </w:tcPr>
          <w:p w14:paraId="1F9F614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20 mg/Nm3 *</w:t>
            </w:r>
          </w:p>
        </w:tc>
      </w:tr>
      <w:tr w:rsidR="00E02F30" w:rsidRPr="00E02F30" w14:paraId="74C09F9F" w14:textId="77777777" w:rsidTr="00A1631B">
        <w:trPr>
          <w:trHeight w:val="310"/>
        </w:trPr>
        <w:tc>
          <w:tcPr>
            <w:tcW w:w="298" w:type="pct"/>
            <w:vMerge w:val="restart"/>
            <w:vAlign w:val="center"/>
          </w:tcPr>
          <w:p w14:paraId="3D5A5E8C"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4.</w:t>
            </w:r>
          </w:p>
        </w:tc>
        <w:tc>
          <w:tcPr>
            <w:tcW w:w="1427" w:type="pct"/>
            <w:vMerge w:val="restart"/>
            <w:vAlign w:val="center"/>
          </w:tcPr>
          <w:p w14:paraId="4EE9E844"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Arial"/>
                <w:sz w:val="16"/>
                <w:szCs w:val="16"/>
                <w:lang w:eastAsia="pl-PL"/>
              </w:rPr>
              <w:t>Linia ob. 524. Wentylacja mechaniczna (ogólna).</w:t>
            </w:r>
          </w:p>
        </w:tc>
        <w:tc>
          <w:tcPr>
            <w:tcW w:w="471" w:type="pct"/>
            <w:vMerge w:val="restart"/>
            <w:vAlign w:val="center"/>
          </w:tcPr>
          <w:p w14:paraId="7E80568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E-4/Z</w:t>
            </w:r>
          </w:p>
        </w:tc>
        <w:tc>
          <w:tcPr>
            <w:tcW w:w="1212" w:type="pct"/>
          </w:tcPr>
          <w:p w14:paraId="1C83C95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(styren)</w:t>
            </w:r>
          </w:p>
        </w:tc>
        <w:tc>
          <w:tcPr>
            <w:tcW w:w="759" w:type="pct"/>
            <w:vAlign w:val="center"/>
          </w:tcPr>
          <w:p w14:paraId="06CEE74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0,0263</w:t>
            </w:r>
          </w:p>
        </w:tc>
        <w:tc>
          <w:tcPr>
            <w:tcW w:w="833" w:type="pct"/>
            <w:vAlign w:val="center"/>
          </w:tcPr>
          <w:p w14:paraId="4A8BEAE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0,0263</w:t>
            </w:r>
          </w:p>
        </w:tc>
      </w:tr>
      <w:tr w:rsidR="00E02F30" w:rsidRPr="00E02F30" w14:paraId="73F7E522" w14:textId="77777777" w:rsidTr="00A1631B">
        <w:trPr>
          <w:trHeight w:val="258"/>
        </w:trPr>
        <w:tc>
          <w:tcPr>
            <w:tcW w:w="298" w:type="pct"/>
            <w:vMerge/>
            <w:vAlign w:val="center"/>
          </w:tcPr>
          <w:p w14:paraId="1CB89DEF"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718FA75F"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2F14E7A4"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5007496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ogółem</w:t>
            </w:r>
          </w:p>
        </w:tc>
        <w:tc>
          <w:tcPr>
            <w:tcW w:w="759" w:type="pct"/>
            <w:vAlign w:val="center"/>
          </w:tcPr>
          <w:p w14:paraId="4298EC6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0,0066</w:t>
            </w:r>
          </w:p>
        </w:tc>
        <w:tc>
          <w:tcPr>
            <w:tcW w:w="833" w:type="pct"/>
            <w:vAlign w:val="center"/>
          </w:tcPr>
          <w:p w14:paraId="7FB23DC0"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0,0066</w:t>
            </w:r>
          </w:p>
        </w:tc>
      </w:tr>
      <w:tr w:rsidR="00E02F30" w:rsidRPr="00E02F30" w14:paraId="3BAB434B" w14:textId="77777777" w:rsidTr="00A1631B">
        <w:trPr>
          <w:trHeight w:val="276"/>
        </w:trPr>
        <w:tc>
          <w:tcPr>
            <w:tcW w:w="298" w:type="pct"/>
            <w:vMerge/>
            <w:vAlign w:val="center"/>
          </w:tcPr>
          <w:p w14:paraId="081E4942"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0CED1EDA"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7FC55BAC"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515AC47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PM10</w:t>
            </w:r>
          </w:p>
        </w:tc>
        <w:tc>
          <w:tcPr>
            <w:tcW w:w="759" w:type="pct"/>
            <w:vAlign w:val="center"/>
          </w:tcPr>
          <w:p w14:paraId="222F706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0,0066</w:t>
            </w:r>
          </w:p>
        </w:tc>
        <w:tc>
          <w:tcPr>
            <w:tcW w:w="833" w:type="pct"/>
            <w:vAlign w:val="center"/>
          </w:tcPr>
          <w:p w14:paraId="10F9011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0,0066</w:t>
            </w:r>
          </w:p>
        </w:tc>
      </w:tr>
      <w:tr w:rsidR="00E02F30" w:rsidRPr="00E02F30" w14:paraId="0FF4D517" w14:textId="77777777" w:rsidTr="00A1631B">
        <w:trPr>
          <w:trHeight w:val="280"/>
        </w:trPr>
        <w:tc>
          <w:tcPr>
            <w:tcW w:w="298" w:type="pct"/>
            <w:vMerge/>
            <w:vAlign w:val="center"/>
          </w:tcPr>
          <w:p w14:paraId="344164B8"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4BC1C3D4"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638285D0"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215468B0"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PM2,5</w:t>
            </w:r>
          </w:p>
        </w:tc>
        <w:tc>
          <w:tcPr>
            <w:tcW w:w="759" w:type="pct"/>
            <w:vAlign w:val="center"/>
          </w:tcPr>
          <w:p w14:paraId="3E40DF8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0,0066</w:t>
            </w:r>
          </w:p>
        </w:tc>
        <w:tc>
          <w:tcPr>
            <w:tcW w:w="833" w:type="pct"/>
            <w:vAlign w:val="center"/>
          </w:tcPr>
          <w:p w14:paraId="59CC5C1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0,0066</w:t>
            </w:r>
          </w:p>
        </w:tc>
      </w:tr>
      <w:tr w:rsidR="00E02F30" w:rsidRPr="00E02F30" w14:paraId="61575594" w14:textId="77777777" w:rsidTr="00A1631B">
        <w:trPr>
          <w:trHeight w:val="379"/>
        </w:trPr>
        <w:tc>
          <w:tcPr>
            <w:tcW w:w="298" w:type="pct"/>
            <w:vMerge/>
            <w:vAlign w:val="center"/>
          </w:tcPr>
          <w:p w14:paraId="3E9F8FD3"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0A5D5B89"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3A8D4DFE"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59F5DE1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759" w:type="pct"/>
            <w:vAlign w:val="center"/>
          </w:tcPr>
          <w:p w14:paraId="485609D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w:t>
            </w:r>
          </w:p>
        </w:tc>
        <w:tc>
          <w:tcPr>
            <w:tcW w:w="833" w:type="pct"/>
            <w:vAlign w:val="center"/>
          </w:tcPr>
          <w:p w14:paraId="27C590F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20 mg/Nm3 *</w:t>
            </w:r>
          </w:p>
        </w:tc>
      </w:tr>
      <w:tr w:rsidR="00E02F30" w:rsidRPr="00E02F30" w14:paraId="20B302F2" w14:textId="77777777" w:rsidTr="00A1631B">
        <w:trPr>
          <w:trHeight w:val="96"/>
        </w:trPr>
        <w:tc>
          <w:tcPr>
            <w:tcW w:w="298" w:type="pct"/>
            <w:vMerge w:val="restart"/>
            <w:vAlign w:val="center"/>
          </w:tcPr>
          <w:p w14:paraId="6E7B06A6"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5.</w:t>
            </w:r>
          </w:p>
        </w:tc>
        <w:tc>
          <w:tcPr>
            <w:tcW w:w="1427" w:type="pct"/>
            <w:vMerge w:val="restart"/>
            <w:vAlign w:val="center"/>
          </w:tcPr>
          <w:p w14:paraId="00BB0020"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Arial"/>
                <w:sz w:val="16"/>
                <w:szCs w:val="16"/>
                <w:lang w:eastAsia="pl-PL"/>
              </w:rPr>
              <w:t>Linia ob. 524 A. Wentylacja mechaniczna (ogólna).</w:t>
            </w:r>
          </w:p>
        </w:tc>
        <w:tc>
          <w:tcPr>
            <w:tcW w:w="471" w:type="pct"/>
            <w:vMerge w:val="restart"/>
            <w:vAlign w:val="center"/>
          </w:tcPr>
          <w:p w14:paraId="21007BC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E-5/Z</w:t>
            </w:r>
          </w:p>
        </w:tc>
        <w:tc>
          <w:tcPr>
            <w:tcW w:w="1212" w:type="pct"/>
          </w:tcPr>
          <w:p w14:paraId="2A9A5FC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(styren)</w:t>
            </w:r>
          </w:p>
        </w:tc>
        <w:tc>
          <w:tcPr>
            <w:tcW w:w="759" w:type="pct"/>
            <w:vAlign w:val="center"/>
          </w:tcPr>
          <w:p w14:paraId="7F5A629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w:t>
            </w:r>
          </w:p>
        </w:tc>
        <w:tc>
          <w:tcPr>
            <w:tcW w:w="833" w:type="pct"/>
            <w:vAlign w:val="center"/>
          </w:tcPr>
          <w:p w14:paraId="49857A56"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2,59 mg/Nm3 *</w:t>
            </w:r>
          </w:p>
        </w:tc>
      </w:tr>
      <w:tr w:rsidR="00E02F30" w:rsidRPr="00E02F30" w14:paraId="31DC7796" w14:textId="77777777" w:rsidTr="00A1631B">
        <w:trPr>
          <w:trHeight w:val="93"/>
        </w:trPr>
        <w:tc>
          <w:tcPr>
            <w:tcW w:w="298" w:type="pct"/>
            <w:vMerge/>
            <w:vAlign w:val="center"/>
          </w:tcPr>
          <w:p w14:paraId="0E84BF41"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15A9E314"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31792E2A"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10ECC81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ogółem</w:t>
            </w:r>
          </w:p>
        </w:tc>
        <w:tc>
          <w:tcPr>
            <w:tcW w:w="759" w:type="pct"/>
            <w:vAlign w:val="center"/>
          </w:tcPr>
          <w:p w14:paraId="66C4009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0,008</w:t>
            </w:r>
          </w:p>
        </w:tc>
        <w:tc>
          <w:tcPr>
            <w:tcW w:w="833" w:type="pct"/>
            <w:vAlign w:val="center"/>
          </w:tcPr>
          <w:p w14:paraId="0857F84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0,008</w:t>
            </w:r>
          </w:p>
        </w:tc>
      </w:tr>
      <w:tr w:rsidR="00E02F30" w:rsidRPr="00E02F30" w14:paraId="32A79388" w14:textId="77777777" w:rsidTr="00A1631B">
        <w:trPr>
          <w:trHeight w:val="93"/>
        </w:trPr>
        <w:tc>
          <w:tcPr>
            <w:tcW w:w="298" w:type="pct"/>
            <w:vMerge/>
            <w:vAlign w:val="center"/>
          </w:tcPr>
          <w:p w14:paraId="71E48D61"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6810C4E9"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665F1674"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68ED4AF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PM10</w:t>
            </w:r>
          </w:p>
        </w:tc>
        <w:tc>
          <w:tcPr>
            <w:tcW w:w="759" w:type="pct"/>
            <w:vAlign w:val="center"/>
          </w:tcPr>
          <w:p w14:paraId="7262A67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0,008</w:t>
            </w:r>
          </w:p>
        </w:tc>
        <w:tc>
          <w:tcPr>
            <w:tcW w:w="833" w:type="pct"/>
            <w:vAlign w:val="center"/>
          </w:tcPr>
          <w:p w14:paraId="4D9A472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0,008</w:t>
            </w:r>
          </w:p>
        </w:tc>
      </w:tr>
      <w:tr w:rsidR="00E02F30" w:rsidRPr="00E02F30" w14:paraId="1ECFAA13" w14:textId="77777777" w:rsidTr="00A1631B">
        <w:trPr>
          <w:trHeight w:val="93"/>
        </w:trPr>
        <w:tc>
          <w:tcPr>
            <w:tcW w:w="298" w:type="pct"/>
            <w:vMerge/>
            <w:vAlign w:val="center"/>
          </w:tcPr>
          <w:p w14:paraId="61D39A60"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0DD64A24"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70E704D1"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69B0B98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PM2,5</w:t>
            </w:r>
          </w:p>
        </w:tc>
        <w:tc>
          <w:tcPr>
            <w:tcW w:w="759" w:type="pct"/>
            <w:vAlign w:val="center"/>
          </w:tcPr>
          <w:p w14:paraId="3BCAC776"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0,008</w:t>
            </w:r>
          </w:p>
        </w:tc>
        <w:tc>
          <w:tcPr>
            <w:tcW w:w="833" w:type="pct"/>
            <w:vAlign w:val="center"/>
          </w:tcPr>
          <w:p w14:paraId="6D52DC0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0,008</w:t>
            </w:r>
          </w:p>
        </w:tc>
      </w:tr>
      <w:tr w:rsidR="00E02F30" w:rsidRPr="00E02F30" w14:paraId="220C04F9" w14:textId="77777777" w:rsidTr="00A1631B">
        <w:trPr>
          <w:trHeight w:val="93"/>
        </w:trPr>
        <w:tc>
          <w:tcPr>
            <w:tcW w:w="298" w:type="pct"/>
            <w:vMerge/>
            <w:vAlign w:val="center"/>
          </w:tcPr>
          <w:p w14:paraId="1FBC50EE"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16796C84"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4B44C451"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282C326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759" w:type="pct"/>
            <w:vAlign w:val="center"/>
          </w:tcPr>
          <w:p w14:paraId="4295ED6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w:t>
            </w:r>
          </w:p>
        </w:tc>
        <w:tc>
          <w:tcPr>
            <w:tcW w:w="833" w:type="pct"/>
            <w:vAlign w:val="center"/>
          </w:tcPr>
          <w:p w14:paraId="0CC2A3A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20 mg/Nm3 *</w:t>
            </w:r>
          </w:p>
        </w:tc>
      </w:tr>
      <w:tr w:rsidR="00E02F30" w:rsidRPr="00E02F30" w14:paraId="368B5FDF" w14:textId="77777777" w:rsidTr="00A1631B">
        <w:trPr>
          <w:trHeight w:val="276"/>
        </w:trPr>
        <w:tc>
          <w:tcPr>
            <w:tcW w:w="298" w:type="pct"/>
            <w:vMerge w:val="restart"/>
            <w:vAlign w:val="center"/>
          </w:tcPr>
          <w:p w14:paraId="422781C0"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6.</w:t>
            </w:r>
          </w:p>
        </w:tc>
        <w:tc>
          <w:tcPr>
            <w:tcW w:w="1427" w:type="pct"/>
            <w:vMerge w:val="restart"/>
            <w:vAlign w:val="center"/>
          </w:tcPr>
          <w:p w14:paraId="00A96C8F"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Arial"/>
                <w:sz w:val="16"/>
                <w:szCs w:val="16"/>
                <w:lang w:eastAsia="pl-PL"/>
              </w:rPr>
              <w:t>Linia ob. 501. Wentylacja mechaniczna (ogólna) od strony północnej.</w:t>
            </w:r>
          </w:p>
        </w:tc>
        <w:tc>
          <w:tcPr>
            <w:tcW w:w="471" w:type="pct"/>
            <w:vMerge w:val="restart"/>
            <w:vAlign w:val="center"/>
          </w:tcPr>
          <w:p w14:paraId="7EB65A3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E-6/Z</w:t>
            </w:r>
          </w:p>
        </w:tc>
        <w:tc>
          <w:tcPr>
            <w:tcW w:w="1212" w:type="pct"/>
          </w:tcPr>
          <w:p w14:paraId="34AF55D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aceton</w:t>
            </w:r>
          </w:p>
        </w:tc>
        <w:tc>
          <w:tcPr>
            <w:tcW w:w="759" w:type="pct"/>
            <w:vAlign w:val="center"/>
          </w:tcPr>
          <w:p w14:paraId="457CA2C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0,0600</w:t>
            </w:r>
          </w:p>
        </w:tc>
        <w:tc>
          <w:tcPr>
            <w:tcW w:w="833" w:type="pct"/>
            <w:vAlign w:val="center"/>
          </w:tcPr>
          <w:p w14:paraId="597D49F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0,0600</w:t>
            </w:r>
          </w:p>
        </w:tc>
      </w:tr>
      <w:tr w:rsidR="00E02F30" w:rsidRPr="00E02F30" w14:paraId="61DC6A0A" w14:textId="77777777" w:rsidTr="00A1631B">
        <w:trPr>
          <w:trHeight w:val="267"/>
        </w:trPr>
        <w:tc>
          <w:tcPr>
            <w:tcW w:w="298" w:type="pct"/>
            <w:vMerge/>
            <w:vAlign w:val="center"/>
          </w:tcPr>
          <w:p w14:paraId="1BE9D15F"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7411D771"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6B82F126"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196A3C9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amoniak</w:t>
            </w:r>
          </w:p>
        </w:tc>
        <w:tc>
          <w:tcPr>
            <w:tcW w:w="759" w:type="pct"/>
            <w:vAlign w:val="center"/>
          </w:tcPr>
          <w:p w14:paraId="1BA4059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0,0300</w:t>
            </w:r>
          </w:p>
        </w:tc>
        <w:tc>
          <w:tcPr>
            <w:tcW w:w="833" w:type="pct"/>
            <w:vAlign w:val="center"/>
          </w:tcPr>
          <w:p w14:paraId="7E7822C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0,0300</w:t>
            </w:r>
          </w:p>
        </w:tc>
      </w:tr>
      <w:tr w:rsidR="00E02F30" w:rsidRPr="00E02F30" w14:paraId="32BB7517" w14:textId="77777777" w:rsidTr="00A1631B">
        <w:trPr>
          <w:trHeight w:val="284"/>
        </w:trPr>
        <w:tc>
          <w:tcPr>
            <w:tcW w:w="298" w:type="pct"/>
            <w:vMerge/>
            <w:vAlign w:val="center"/>
          </w:tcPr>
          <w:p w14:paraId="5FDCF1CD"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3A351C17"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2283774C"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vAlign w:val="center"/>
          </w:tcPr>
          <w:p w14:paraId="2884696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(benzen)</w:t>
            </w:r>
          </w:p>
        </w:tc>
        <w:tc>
          <w:tcPr>
            <w:tcW w:w="759" w:type="pct"/>
            <w:vAlign w:val="center"/>
          </w:tcPr>
          <w:p w14:paraId="7ACBDF7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0,0010</w:t>
            </w:r>
          </w:p>
        </w:tc>
        <w:tc>
          <w:tcPr>
            <w:tcW w:w="833" w:type="pct"/>
            <w:vAlign w:val="center"/>
          </w:tcPr>
          <w:p w14:paraId="7A47E22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0,0010</w:t>
            </w:r>
          </w:p>
        </w:tc>
      </w:tr>
      <w:tr w:rsidR="00E02F30" w:rsidRPr="00E02F30" w14:paraId="2659B8ED" w14:textId="77777777" w:rsidTr="00A1631B">
        <w:trPr>
          <w:trHeight w:val="275"/>
        </w:trPr>
        <w:tc>
          <w:tcPr>
            <w:tcW w:w="298" w:type="pct"/>
            <w:vMerge/>
            <w:vAlign w:val="center"/>
          </w:tcPr>
          <w:p w14:paraId="5C87D07D"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61564325"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455AC652"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46771680"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ksylen</w:t>
            </w:r>
          </w:p>
        </w:tc>
        <w:tc>
          <w:tcPr>
            <w:tcW w:w="759" w:type="pct"/>
            <w:vAlign w:val="center"/>
          </w:tcPr>
          <w:p w14:paraId="61A6F6C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0,0300</w:t>
            </w:r>
          </w:p>
        </w:tc>
        <w:tc>
          <w:tcPr>
            <w:tcW w:w="833" w:type="pct"/>
            <w:vAlign w:val="center"/>
          </w:tcPr>
          <w:p w14:paraId="5D55242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0,0300</w:t>
            </w:r>
          </w:p>
        </w:tc>
      </w:tr>
      <w:tr w:rsidR="00E02F30" w:rsidRPr="00E02F30" w14:paraId="4D902E6B" w14:textId="77777777" w:rsidTr="00A1631B">
        <w:trPr>
          <w:trHeight w:val="264"/>
        </w:trPr>
        <w:tc>
          <w:tcPr>
            <w:tcW w:w="298" w:type="pct"/>
            <w:vMerge/>
            <w:vAlign w:val="center"/>
          </w:tcPr>
          <w:p w14:paraId="5B18291F"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48EE7FF9"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00B05B03"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08A0369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(styren + toluen)</w:t>
            </w:r>
          </w:p>
        </w:tc>
        <w:tc>
          <w:tcPr>
            <w:tcW w:w="759" w:type="pct"/>
            <w:vAlign w:val="center"/>
          </w:tcPr>
          <w:p w14:paraId="055C0B8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0,05</w:t>
            </w:r>
          </w:p>
        </w:tc>
        <w:tc>
          <w:tcPr>
            <w:tcW w:w="833" w:type="pct"/>
            <w:vAlign w:val="center"/>
          </w:tcPr>
          <w:p w14:paraId="37337EB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0,05</w:t>
            </w:r>
          </w:p>
        </w:tc>
      </w:tr>
      <w:tr w:rsidR="00E02F30" w:rsidRPr="00E02F30" w14:paraId="71422E48" w14:textId="77777777" w:rsidTr="00A1631B">
        <w:trPr>
          <w:trHeight w:val="283"/>
        </w:trPr>
        <w:tc>
          <w:tcPr>
            <w:tcW w:w="298" w:type="pct"/>
            <w:vMerge/>
            <w:vAlign w:val="center"/>
          </w:tcPr>
          <w:p w14:paraId="2F51A66C"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6A6A581F"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0CC383C4"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43A2BC4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toluen</w:t>
            </w:r>
          </w:p>
        </w:tc>
        <w:tc>
          <w:tcPr>
            <w:tcW w:w="759" w:type="pct"/>
            <w:vAlign w:val="center"/>
          </w:tcPr>
          <w:p w14:paraId="551D29C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0,0150</w:t>
            </w:r>
          </w:p>
        </w:tc>
        <w:tc>
          <w:tcPr>
            <w:tcW w:w="833" w:type="pct"/>
            <w:vAlign w:val="center"/>
          </w:tcPr>
          <w:p w14:paraId="5AD9D160"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0,0150</w:t>
            </w:r>
          </w:p>
        </w:tc>
      </w:tr>
      <w:tr w:rsidR="00E02F30" w:rsidRPr="00E02F30" w14:paraId="5328D365" w14:textId="77777777" w:rsidTr="00A1631B">
        <w:trPr>
          <w:trHeight w:val="130"/>
        </w:trPr>
        <w:tc>
          <w:tcPr>
            <w:tcW w:w="298" w:type="pct"/>
            <w:vMerge/>
            <w:vAlign w:val="center"/>
          </w:tcPr>
          <w:p w14:paraId="12F67B44"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14E3A3F7"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7C160069"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731AB97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759" w:type="pct"/>
          </w:tcPr>
          <w:p w14:paraId="634B38F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w:t>
            </w:r>
          </w:p>
        </w:tc>
        <w:tc>
          <w:tcPr>
            <w:tcW w:w="833" w:type="pct"/>
          </w:tcPr>
          <w:p w14:paraId="57D64BD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20 mg/Nm3 *</w:t>
            </w:r>
          </w:p>
        </w:tc>
      </w:tr>
      <w:tr w:rsidR="00E02F30" w:rsidRPr="00E02F30" w14:paraId="43673C79" w14:textId="77777777" w:rsidTr="00A1631B">
        <w:trPr>
          <w:trHeight w:val="307"/>
        </w:trPr>
        <w:tc>
          <w:tcPr>
            <w:tcW w:w="298" w:type="pct"/>
            <w:vMerge w:val="restart"/>
            <w:vAlign w:val="center"/>
          </w:tcPr>
          <w:p w14:paraId="6042A46E"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7.</w:t>
            </w:r>
          </w:p>
        </w:tc>
        <w:tc>
          <w:tcPr>
            <w:tcW w:w="1427" w:type="pct"/>
            <w:vMerge w:val="restart"/>
            <w:vAlign w:val="center"/>
          </w:tcPr>
          <w:p w14:paraId="77AAE886"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Arial"/>
                <w:sz w:val="16"/>
                <w:szCs w:val="16"/>
                <w:lang w:eastAsia="pl-PL"/>
              </w:rPr>
              <w:t>Linia ob. 501. Wentylacja mechaniczna z dozowania surowców.</w:t>
            </w:r>
          </w:p>
        </w:tc>
        <w:tc>
          <w:tcPr>
            <w:tcW w:w="471" w:type="pct"/>
            <w:vMerge w:val="restart"/>
            <w:vAlign w:val="center"/>
          </w:tcPr>
          <w:p w14:paraId="72A7515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E-7/Z</w:t>
            </w:r>
          </w:p>
        </w:tc>
        <w:tc>
          <w:tcPr>
            <w:tcW w:w="1212" w:type="pct"/>
          </w:tcPr>
          <w:p w14:paraId="17E86FC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aceton</w:t>
            </w:r>
          </w:p>
        </w:tc>
        <w:tc>
          <w:tcPr>
            <w:tcW w:w="759" w:type="pct"/>
            <w:vAlign w:val="center"/>
          </w:tcPr>
          <w:p w14:paraId="4B14811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0,0600</w:t>
            </w:r>
          </w:p>
        </w:tc>
        <w:tc>
          <w:tcPr>
            <w:tcW w:w="833" w:type="pct"/>
            <w:vAlign w:val="center"/>
          </w:tcPr>
          <w:p w14:paraId="6CA9A68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0,0600</w:t>
            </w:r>
          </w:p>
        </w:tc>
      </w:tr>
      <w:tr w:rsidR="00E02F30" w:rsidRPr="00E02F30" w14:paraId="150CB0FF" w14:textId="77777777" w:rsidTr="00A1631B">
        <w:trPr>
          <w:trHeight w:val="269"/>
        </w:trPr>
        <w:tc>
          <w:tcPr>
            <w:tcW w:w="298" w:type="pct"/>
            <w:vMerge/>
            <w:vAlign w:val="center"/>
          </w:tcPr>
          <w:p w14:paraId="6A87D249"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779B1CAC"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14A7F0BE"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09CB5F0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ksylen</w:t>
            </w:r>
          </w:p>
        </w:tc>
        <w:tc>
          <w:tcPr>
            <w:tcW w:w="759" w:type="pct"/>
            <w:vAlign w:val="center"/>
          </w:tcPr>
          <w:p w14:paraId="5A0A27C6"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0,0100</w:t>
            </w:r>
          </w:p>
        </w:tc>
        <w:tc>
          <w:tcPr>
            <w:tcW w:w="833" w:type="pct"/>
            <w:vAlign w:val="center"/>
          </w:tcPr>
          <w:p w14:paraId="52A4BDA8"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0,0100</w:t>
            </w:r>
          </w:p>
        </w:tc>
      </w:tr>
      <w:tr w:rsidR="00E02F30" w:rsidRPr="00E02F30" w14:paraId="0AAB8D8D" w14:textId="77777777" w:rsidTr="00A1631B">
        <w:trPr>
          <w:trHeight w:val="135"/>
        </w:trPr>
        <w:tc>
          <w:tcPr>
            <w:tcW w:w="298" w:type="pct"/>
            <w:vMerge/>
            <w:vAlign w:val="center"/>
          </w:tcPr>
          <w:p w14:paraId="22EEEDBF"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43237A53"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431895FF"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vAlign w:val="center"/>
          </w:tcPr>
          <w:p w14:paraId="213F3B4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 styren + toluen)</w:t>
            </w:r>
          </w:p>
        </w:tc>
        <w:tc>
          <w:tcPr>
            <w:tcW w:w="759" w:type="pct"/>
            <w:vAlign w:val="center"/>
          </w:tcPr>
          <w:p w14:paraId="11D2760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0,0216</w:t>
            </w:r>
          </w:p>
        </w:tc>
        <w:tc>
          <w:tcPr>
            <w:tcW w:w="833" w:type="pct"/>
            <w:vAlign w:val="center"/>
          </w:tcPr>
          <w:p w14:paraId="5207A75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0,0216</w:t>
            </w:r>
          </w:p>
        </w:tc>
      </w:tr>
      <w:tr w:rsidR="00E02F30" w:rsidRPr="00E02F30" w14:paraId="27DCC70D" w14:textId="77777777" w:rsidTr="00A1631B">
        <w:trPr>
          <w:trHeight w:val="135"/>
        </w:trPr>
        <w:tc>
          <w:tcPr>
            <w:tcW w:w="298" w:type="pct"/>
            <w:vMerge/>
            <w:vAlign w:val="center"/>
          </w:tcPr>
          <w:p w14:paraId="7261FEA3"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347297B2"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2B325178"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446C3F36"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toluen</w:t>
            </w:r>
          </w:p>
        </w:tc>
        <w:tc>
          <w:tcPr>
            <w:tcW w:w="759" w:type="pct"/>
            <w:vAlign w:val="center"/>
          </w:tcPr>
          <w:p w14:paraId="07C1D390"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0,0150</w:t>
            </w:r>
          </w:p>
        </w:tc>
        <w:tc>
          <w:tcPr>
            <w:tcW w:w="833" w:type="pct"/>
            <w:vAlign w:val="center"/>
          </w:tcPr>
          <w:p w14:paraId="31DDDFB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0,0150</w:t>
            </w:r>
          </w:p>
        </w:tc>
      </w:tr>
      <w:tr w:rsidR="00E02F30" w:rsidRPr="00E02F30" w14:paraId="6561F419" w14:textId="77777777" w:rsidTr="00A1631B">
        <w:trPr>
          <w:trHeight w:val="268"/>
        </w:trPr>
        <w:tc>
          <w:tcPr>
            <w:tcW w:w="298" w:type="pct"/>
            <w:vMerge/>
            <w:vAlign w:val="center"/>
          </w:tcPr>
          <w:p w14:paraId="5BCD0773"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63A3BCCA"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1B8E6E72"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422FD5D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759" w:type="pct"/>
            <w:vAlign w:val="center"/>
          </w:tcPr>
          <w:p w14:paraId="402A9AE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w:t>
            </w:r>
          </w:p>
        </w:tc>
        <w:tc>
          <w:tcPr>
            <w:tcW w:w="833" w:type="pct"/>
            <w:vAlign w:val="center"/>
          </w:tcPr>
          <w:p w14:paraId="3D86546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20 mg/Nm3 *</w:t>
            </w:r>
          </w:p>
        </w:tc>
      </w:tr>
      <w:tr w:rsidR="00E02F30" w:rsidRPr="00E02F30" w14:paraId="032B663C" w14:textId="77777777" w:rsidTr="00A1631B">
        <w:trPr>
          <w:trHeight w:val="190"/>
        </w:trPr>
        <w:tc>
          <w:tcPr>
            <w:tcW w:w="298" w:type="pct"/>
            <w:vMerge w:val="restart"/>
            <w:vAlign w:val="center"/>
          </w:tcPr>
          <w:p w14:paraId="79DE51BF"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8.</w:t>
            </w:r>
          </w:p>
        </w:tc>
        <w:tc>
          <w:tcPr>
            <w:tcW w:w="1427" w:type="pct"/>
            <w:vMerge w:val="restart"/>
            <w:vAlign w:val="center"/>
          </w:tcPr>
          <w:p w14:paraId="60F31774"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Arial"/>
                <w:sz w:val="16"/>
                <w:szCs w:val="16"/>
                <w:lang w:eastAsia="pl-PL"/>
              </w:rPr>
              <w:t xml:space="preserve">Linia ob. 501. Wentylacja mechaniczna znad </w:t>
            </w:r>
            <w:proofErr w:type="spellStart"/>
            <w:r w:rsidRPr="00E02F30">
              <w:rPr>
                <w:rFonts w:eastAsia="Times New Roman" w:cs="Arial"/>
                <w:sz w:val="16"/>
                <w:szCs w:val="16"/>
                <w:lang w:eastAsia="pl-PL"/>
              </w:rPr>
              <w:t>łuskownika</w:t>
            </w:r>
            <w:proofErr w:type="spellEnd"/>
            <w:r w:rsidRPr="00E02F30">
              <w:rPr>
                <w:rFonts w:eastAsia="Times New Roman" w:cs="Arial"/>
                <w:sz w:val="16"/>
                <w:szCs w:val="16"/>
                <w:lang w:eastAsia="pl-PL"/>
              </w:rPr>
              <w:t xml:space="preserve"> Żywic KN i Mieszalnika 2.</w:t>
            </w:r>
          </w:p>
        </w:tc>
        <w:tc>
          <w:tcPr>
            <w:tcW w:w="471" w:type="pct"/>
            <w:vMerge w:val="restart"/>
            <w:vAlign w:val="center"/>
          </w:tcPr>
          <w:p w14:paraId="68D79BC6"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E-8/Z</w:t>
            </w:r>
          </w:p>
        </w:tc>
        <w:tc>
          <w:tcPr>
            <w:tcW w:w="1212" w:type="pct"/>
          </w:tcPr>
          <w:p w14:paraId="327FE49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amoniak</w:t>
            </w:r>
          </w:p>
        </w:tc>
        <w:tc>
          <w:tcPr>
            <w:tcW w:w="759" w:type="pct"/>
          </w:tcPr>
          <w:p w14:paraId="6F70DFF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0,0150</w:t>
            </w:r>
          </w:p>
        </w:tc>
        <w:tc>
          <w:tcPr>
            <w:tcW w:w="833" w:type="pct"/>
          </w:tcPr>
          <w:p w14:paraId="584C537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0,0150</w:t>
            </w:r>
          </w:p>
        </w:tc>
      </w:tr>
      <w:tr w:rsidR="00E02F30" w:rsidRPr="00E02F30" w14:paraId="30C204FF" w14:textId="77777777" w:rsidTr="00A1631B">
        <w:trPr>
          <w:trHeight w:val="188"/>
        </w:trPr>
        <w:tc>
          <w:tcPr>
            <w:tcW w:w="298" w:type="pct"/>
            <w:vMerge/>
            <w:vAlign w:val="center"/>
          </w:tcPr>
          <w:p w14:paraId="32FDC964"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4D23C0A5"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6FA25713"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41F36BA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aceton</w:t>
            </w:r>
          </w:p>
        </w:tc>
        <w:tc>
          <w:tcPr>
            <w:tcW w:w="759" w:type="pct"/>
          </w:tcPr>
          <w:p w14:paraId="3275303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0,0600</w:t>
            </w:r>
          </w:p>
        </w:tc>
        <w:tc>
          <w:tcPr>
            <w:tcW w:w="833" w:type="pct"/>
          </w:tcPr>
          <w:p w14:paraId="54C8A72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0,0600</w:t>
            </w:r>
          </w:p>
        </w:tc>
      </w:tr>
      <w:tr w:rsidR="00E02F30" w:rsidRPr="00E02F30" w14:paraId="260F440F" w14:textId="77777777" w:rsidTr="00A1631B">
        <w:trPr>
          <w:trHeight w:val="257"/>
        </w:trPr>
        <w:tc>
          <w:tcPr>
            <w:tcW w:w="298" w:type="pct"/>
            <w:vMerge/>
            <w:vAlign w:val="center"/>
          </w:tcPr>
          <w:p w14:paraId="1E468574"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127A6C50"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7D9A033D"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187B349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ogółem</w:t>
            </w:r>
          </w:p>
        </w:tc>
        <w:tc>
          <w:tcPr>
            <w:tcW w:w="759" w:type="pct"/>
          </w:tcPr>
          <w:p w14:paraId="499E7C2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0,0132</w:t>
            </w:r>
          </w:p>
        </w:tc>
        <w:tc>
          <w:tcPr>
            <w:tcW w:w="833" w:type="pct"/>
          </w:tcPr>
          <w:p w14:paraId="600E779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0,0132</w:t>
            </w:r>
          </w:p>
        </w:tc>
      </w:tr>
      <w:tr w:rsidR="00E02F30" w:rsidRPr="00E02F30" w14:paraId="768E6CFA" w14:textId="77777777" w:rsidTr="00A1631B">
        <w:trPr>
          <w:trHeight w:val="257"/>
        </w:trPr>
        <w:tc>
          <w:tcPr>
            <w:tcW w:w="298" w:type="pct"/>
            <w:vMerge/>
            <w:vAlign w:val="center"/>
          </w:tcPr>
          <w:p w14:paraId="32B2C99E"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0FED87E5"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26831956"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0E6FB41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PM10</w:t>
            </w:r>
          </w:p>
        </w:tc>
        <w:tc>
          <w:tcPr>
            <w:tcW w:w="759" w:type="pct"/>
          </w:tcPr>
          <w:p w14:paraId="6E5D750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0,0132</w:t>
            </w:r>
          </w:p>
        </w:tc>
        <w:tc>
          <w:tcPr>
            <w:tcW w:w="833" w:type="pct"/>
          </w:tcPr>
          <w:p w14:paraId="125F8C1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0,0132</w:t>
            </w:r>
          </w:p>
        </w:tc>
      </w:tr>
      <w:tr w:rsidR="00E02F30" w:rsidRPr="00E02F30" w14:paraId="3AA97737" w14:textId="77777777" w:rsidTr="00A1631B">
        <w:trPr>
          <w:trHeight w:val="257"/>
        </w:trPr>
        <w:tc>
          <w:tcPr>
            <w:tcW w:w="298" w:type="pct"/>
            <w:vMerge/>
            <w:vAlign w:val="center"/>
          </w:tcPr>
          <w:p w14:paraId="50F7A11D"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46ECBDC3"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0338AEB8"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30938A4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PM2,5</w:t>
            </w:r>
          </w:p>
        </w:tc>
        <w:tc>
          <w:tcPr>
            <w:tcW w:w="759" w:type="pct"/>
          </w:tcPr>
          <w:p w14:paraId="272BCF6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0,0132</w:t>
            </w:r>
          </w:p>
        </w:tc>
        <w:tc>
          <w:tcPr>
            <w:tcW w:w="833" w:type="pct"/>
          </w:tcPr>
          <w:p w14:paraId="56C0B9E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0,0132</w:t>
            </w:r>
          </w:p>
        </w:tc>
      </w:tr>
      <w:tr w:rsidR="00E02F30" w:rsidRPr="00E02F30" w14:paraId="69896902" w14:textId="77777777" w:rsidTr="00A1631B">
        <w:trPr>
          <w:trHeight w:val="146"/>
        </w:trPr>
        <w:tc>
          <w:tcPr>
            <w:tcW w:w="298" w:type="pct"/>
            <w:vMerge/>
            <w:vAlign w:val="center"/>
          </w:tcPr>
          <w:p w14:paraId="124F42B7"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05BF0FC5"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0DCCAF44"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006C8E1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759" w:type="pct"/>
          </w:tcPr>
          <w:p w14:paraId="5F9489C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w:t>
            </w:r>
          </w:p>
        </w:tc>
        <w:tc>
          <w:tcPr>
            <w:tcW w:w="833" w:type="pct"/>
          </w:tcPr>
          <w:p w14:paraId="6077A88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w:t>
            </w:r>
          </w:p>
        </w:tc>
      </w:tr>
      <w:tr w:rsidR="00E02F30" w:rsidRPr="00E02F30" w14:paraId="5D0A3FE6" w14:textId="77777777" w:rsidTr="00A1631B">
        <w:trPr>
          <w:trHeight w:val="205"/>
        </w:trPr>
        <w:tc>
          <w:tcPr>
            <w:tcW w:w="298" w:type="pct"/>
            <w:vMerge w:val="restart"/>
            <w:vAlign w:val="center"/>
          </w:tcPr>
          <w:p w14:paraId="578E5861"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9.</w:t>
            </w:r>
          </w:p>
        </w:tc>
        <w:tc>
          <w:tcPr>
            <w:tcW w:w="1427" w:type="pct"/>
            <w:vMerge w:val="restart"/>
            <w:vAlign w:val="center"/>
          </w:tcPr>
          <w:p w14:paraId="0AE1553D"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Arial"/>
                <w:sz w:val="16"/>
                <w:szCs w:val="16"/>
                <w:lang w:eastAsia="pl-PL"/>
              </w:rPr>
              <w:t>Linia ob. 501. Wentylacja mechaniczna (ogólna) od strony południowej.</w:t>
            </w:r>
          </w:p>
        </w:tc>
        <w:tc>
          <w:tcPr>
            <w:tcW w:w="471" w:type="pct"/>
            <w:vMerge w:val="restart"/>
            <w:vAlign w:val="center"/>
          </w:tcPr>
          <w:p w14:paraId="018FAA0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E-9/Z</w:t>
            </w:r>
          </w:p>
        </w:tc>
        <w:tc>
          <w:tcPr>
            <w:tcW w:w="1212" w:type="pct"/>
          </w:tcPr>
          <w:p w14:paraId="7F7A901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aceton</w:t>
            </w:r>
          </w:p>
        </w:tc>
        <w:tc>
          <w:tcPr>
            <w:tcW w:w="759" w:type="pct"/>
          </w:tcPr>
          <w:p w14:paraId="1BF7332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0,0600</w:t>
            </w:r>
          </w:p>
        </w:tc>
        <w:tc>
          <w:tcPr>
            <w:tcW w:w="833" w:type="pct"/>
          </w:tcPr>
          <w:p w14:paraId="757322C8"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0,0600</w:t>
            </w:r>
          </w:p>
        </w:tc>
      </w:tr>
      <w:tr w:rsidR="00E02F30" w:rsidRPr="00E02F30" w14:paraId="06D4FABD" w14:textId="77777777" w:rsidTr="00A1631B">
        <w:trPr>
          <w:trHeight w:val="203"/>
        </w:trPr>
        <w:tc>
          <w:tcPr>
            <w:tcW w:w="298" w:type="pct"/>
            <w:vMerge/>
            <w:vAlign w:val="center"/>
          </w:tcPr>
          <w:p w14:paraId="6D425476"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24AF2104"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6D924A87"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2042001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LZO(benzen)</w:t>
            </w:r>
          </w:p>
        </w:tc>
        <w:tc>
          <w:tcPr>
            <w:tcW w:w="759" w:type="pct"/>
          </w:tcPr>
          <w:p w14:paraId="1F0A9E0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w:t>
            </w:r>
          </w:p>
        </w:tc>
        <w:tc>
          <w:tcPr>
            <w:tcW w:w="833" w:type="pct"/>
          </w:tcPr>
          <w:p w14:paraId="755CDE9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1,0 mg/Nm3 *</w:t>
            </w:r>
          </w:p>
        </w:tc>
      </w:tr>
      <w:tr w:rsidR="00E02F30" w:rsidRPr="00E02F30" w14:paraId="71B23064" w14:textId="77777777" w:rsidTr="00A1631B">
        <w:trPr>
          <w:trHeight w:val="203"/>
        </w:trPr>
        <w:tc>
          <w:tcPr>
            <w:tcW w:w="298" w:type="pct"/>
            <w:vMerge/>
            <w:vAlign w:val="center"/>
          </w:tcPr>
          <w:p w14:paraId="33A3E613"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31BE3055"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68510704"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0787120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Glikol etylenowy</w:t>
            </w:r>
          </w:p>
        </w:tc>
        <w:tc>
          <w:tcPr>
            <w:tcW w:w="759" w:type="pct"/>
          </w:tcPr>
          <w:p w14:paraId="63CA52E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0,0010</w:t>
            </w:r>
          </w:p>
        </w:tc>
        <w:tc>
          <w:tcPr>
            <w:tcW w:w="833" w:type="pct"/>
          </w:tcPr>
          <w:p w14:paraId="63DB5E0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0,0010</w:t>
            </w:r>
          </w:p>
        </w:tc>
      </w:tr>
      <w:tr w:rsidR="00E02F30" w:rsidRPr="00E02F30" w14:paraId="0677BF08" w14:textId="77777777" w:rsidTr="00A1631B">
        <w:trPr>
          <w:trHeight w:val="203"/>
        </w:trPr>
        <w:tc>
          <w:tcPr>
            <w:tcW w:w="298" w:type="pct"/>
            <w:vMerge/>
            <w:vAlign w:val="center"/>
          </w:tcPr>
          <w:p w14:paraId="5BF758F9"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3B1D30FC"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69ECF5EE"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42A3A91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(styren)</w:t>
            </w:r>
          </w:p>
        </w:tc>
        <w:tc>
          <w:tcPr>
            <w:tcW w:w="759" w:type="pct"/>
          </w:tcPr>
          <w:p w14:paraId="1B9BAED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0,0400</w:t>
            </w:r>
          </w:p>
        </w:tc>
        <w:tc>
          <w:tcPr>
            <w:tcW w:w="833" w:type="pct"/>
          </w:tcPr>
          <w:p w14:paraId="3E8EC71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0,0400</w:t>
            </w:r>
          </w:p>
        </w:tc>
      </w:tr>
      <w:tr w:rsidR="00E02F30" w:rsidRPr="00E02F30" w14:paraId="3D67F999" w14:textId="77777777" w:rsidTr="00A1631B">
        <w:trPr>
          <w:trHeight w:val="203"/>
        </w:trPr>
        <w:tc>
          <w:tcPr>
            <w:tcW w:w="298" w:type="pct"/>
            <w:vMerge/>
            <w:vAlign w:val="center"/>
          </w:tcPr>
          <w:p w14:paraId="3AE83FF1" w14:textId="77777777" w:rsidR="00E02F30" w:rsidRPr="00E02F30" w:rsidRDefault="00E02F30" w:rsidP="00E02F30">
            <w:pPr>
              <w:spacing w:after="0" w:line="240" w:lineRule="auto"/>
              <w:jc w:val="center"/>
              <w:rPr>
                <w:rFonts w:eastAsia="Times New Roman" w:cs="Times New Roman"/>
                <w:szCs w:val="24"/>
                <w:lang w:eastAsia="pl-PL"/>
              </w:rPr>
            </w:pPr>
          </w:p>
        </w:tc>
        <w:tc>
          <w:tcPr>
            <w:tcW w:w="1427" w:type="pct"/>
            <w:vMerge/>
            <w:vAlign w:val="center"/>
          </w:tcPr>
          <w:p w14:paraId="7AE9D691" w14:textId="77777777" w:rsidR="00E02F30" w:rsidRPr="00E02F30" w:rsidRDefault="00E02F30" w:rsidP="00E02F30">
            <w:pPr>
              <w:spacing w:after="0" w:line="240" w:lineRule="auto"/>
              <w:jc w:val="center"/>
              <w:rPr>
                <w:rFonts w:eastAsia="Times New Roman" w:cs="Times New Roman"/>
                <w:szCs w:val="24"/>
                <w:lang w:eastAsia="pl-PL"/>
              </w:rPr>
            </w:pPr>
          </w:p>
        </w:tc>
        <w:tc>
          <w:tcPr>
            <w:tcW w:w="471" w:type="pct"/>
            <w:vMerge/>
            <w:vAlign w:val="center"/>
          </w:tcPr>
          <w:p w14:paraId="77D96698" w14:textId="77777777" w:rsidR="00E02F30" w:rsidRPr="00E02F30" w:rsidRDefault="00E02F30" w:rsidP="00E02F30">
            <w:pPr>
              <w:spacing w:after="0" w:line="240" w:lineRule="auto"/>
              <w:jc w:val="center"/>
              <w:rPr>
                <w:rFonts w:eastAsia="Times New Roman" w:cs="Arial"/>
                <w:sz w:val="20"/>
                <w:szCs w:val="20"/>
                <w:lang w:eastAsia="pl-PL"/>
              </w:rPr>
            </w:pPr>
          </w:p>
        </w:tc>
        <w:tc>
          <w:tcPr>
            <w:tcW w:w="1212" w:type="pct"/>
          </w:tcPr>
          <w:p w14:paraId="6A41C10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759" w:type="pct"/>
          </w:tcPr>
          <w:p w14:paraId="77978528"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w:t>
            </w:r>
          </w:p>
        </w:tc>
        <w:tc>
          <w:tcPr>
            <w:tcW w:w="833" w:type="pct"/>
          </w:tcPr>
          <w:p w14:paraId="0ADC384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20 mg/Nm3 *</w:t>
            </w:r>
          </w:p>
        </w:tc>
      </w:tr>
    </w:tbl>
    <w:p w14:paraId="58DF3B72" w14:textId="77777777" w:rsidR="00E02F30" w:rsidRPr="00E02F30" w:rsidRDefault="00E02F30" w:rsidP="00E02F30">
      <w:pPr>
        <w:spacing w:after="0" w:line="240" w:lineRule="auto"/>
        <w:jc w:val="both"/>
        <w:rPr>
          <w:rFonts w:eastAsia="Times New Roman" w:cs="Times New Roman"/>
          <w:szCs w:val="24"/>
          <w:lang w:eastAsia="pl-PL"/>
        </w:rPr>
      </w:pPr>
    </w:p>
    <w:p w14:paraId="06F86E97" w14:textId="77777777" w:rsidR="00E02F30" w:rsidRPr="00E02F30" w:rsidRDefault="00E02F30" w:rsidP="00E02F30">
      <w:pPr>
        <w:keepNext/>
        <w:widowControl w:val="0"/>
        <w:adjustRightInd w:val="0"/>
        <w:spacing w:after="0" w:line="276" w:lineRule="auto"/>
        <w:textAlignment w:val="baseline"/>
        <w:outlineLvl w:val="3"/>
        <w:rPr>
          <w:rFonts w:eastAsia="Calibri" w:cs="Times New Roman"/>
          <w:b/>
          <w:szCs w:val="20"/>
        </w:rPr>
      </w:pPr>
      <w:r w:rsidRPr="00E02F30">
        <w:rPr>
          <w:rFonts w:eastAsia="Times New Roman" w:cs="Times New Roman"/>
          <w:b/>
          <w:szCs w:val="20"/>
          <w:lang w:eastAsia="pl-PL"/>
        </w:rPr>
        <w:t>II</w:t>
      </w:r>
      <w:r w:rsidRPr="00E02F30">
        <w:rPr>
          <w:rFonts w:eastAsia="Calibri" w:cs="Times New Roman"/>
          <w:b/>
          <w:bCs/>
          <w:szCs w:val="20"/>
        </w:rPr>
        <w:t xml:space="preserve">.1.2. </w:t>
      </w:r>
      <w:r w:rsidRPr="00E02F30">
        <w:rPr>
          <w:rFonts w:eastAsia="Calibri" w:cs="Times New Roman"/>
          <w:b/>
          <w:szCs w:val="20"/>
        </w:rPr>
        <w:t>Maksymalna dopuszczalna emisja roczna z instalacji</w:t>
      </w:r>
    </w:p>
    <w:p w14:paraId="03B75919" w14:textId="77777777" w:rsidR="00E02F30" w:rsidRPr="00E02F30" w:rsidRDefault="00E02F30" w:rsidP="00E02F30">
      <w:pPr>
        <w:keepNext/>
        <w:widowControl w:val="0"/>
        <w:adjustRightInd w:val="0"/>
        <w:spacing w:after="0" w:line="276" w:lineRule="auto"/>
        <w:textAlignment w:val="baseline"/>
        <w:outlineLvl w:val="4"/>
        <w:rPr>
          <w:rFonts w:eastAsia="Calibri" w:cs="Times New Roman"/>
          <w:b/>
          <w:szCs w:val="20"/>
        </w:rPr>
      </w:pPr>
      <w:r w:rsidRPr="00E02F30">
        <w:rPr>
          <w:rFonts w:eastAsia="Times New Roman" w:cs="Times New Roman"/>
          <w:b/>
          <w:szCs w:val="20"/>
          <w:lang w:eastAsia="pl-PL"/>
        </w:rPr>
        <w:t xml:space="preserve">Tabela nr 2 </w:t>
      </w:r>
    </w:p>
    <w:tbl>
      <w:tblPr>
        <w:tblW w:w="935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Description w:val="Przedstawia substancje oraz emisje roczne obowiązujące do dnia 11 grudnia 2026 roku oraz od 12 grudnia 2026 r."/>
      </w:tblPr>
      <w:tblGrid>
        <w:gridCol w:w="3764"/>
        <w:gridCol w:w="2747"/>
        <w:gridCol w:w="2845"/>
      </w:tblGrid>
      <w:tr w:rsidR="00E02F30" w:rsidRPr="00E02F30" w14:paraId="649CCF34" w14:textId="77777777" w:rsidTr="00A1631B">
        <w:trPr>
          <w:jc w:val="center"/>
        </w:trPr>
        <w:tc>
          <w:tcPr>
            <w:tcW w:w="3764" w:type="dxa"/>
            <w:vMerge w:val="restart"/>
            <w:vAlign w:val="center"/>
          </w:tcPr>
          <w:p w14:paraId="2BE1B713" w14:textId="77777777" w:rsidR="00E02F30" w:rsidRPr="00E02F30" w:rsidRDefault="00E02F30" w:rsidP="00E02F30">
            <w:pPr>
              <w:suppressLineNumbers/>
              <w:spacing w:after="0" w:line="276" w:lineRule="auto"/>
              <w:jc w:val="both"/>
              <w:rPr>
                <w:rFonts w:eastAsia="Times New Roman" w:cs="Arial"/>
                <w:sz w:val="20"/>
                <w:szCs w:val="20"/>
                <w:lang w:eastAsia="pl-PL"/>
              </w:rPr>
            </w:pPr>
            <w:r w:rsidRPr="00E02F30">
              <w:rPr>
                <w:rFonts w:eastAsia="Times New Roman" w:cs="Arial"/>
                <w:b/>
                <w:sz w:val="20"/>
                <w:szCs w:val="20"/>
                <w:lang w:eastAsia="pl-PL"/>
              </w:rPr>
              <w:t>Nazwa substancji</w:t>
            </w:r>
          </w:p>
        </w:tc>
        <w:tc>
          <w:tcPr>
            <w:tcW w:w="5592" w:type="dxa"/>
            <w:gridSpan w:val="2"/>
            <w:vAlign w:val="center"/>
          </w:tcPr>
          <w:p w14:paraId="0D392714" w14:textId="77777777" w:rsidR="00E02F30" w:rsidRPr="00E02F30" w:rsidRDefault="00E02F30" w:rsidP="00E02F30">
            <w:pPr>
              <w:suppressLineNumbers/>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Emisja roczna [Mg/rok]</w:t>
            </w:r>
          </w:p>
        </w:tc>
      </w:tr>
      <w:tr w:rsidR="00E02F30" w:rsidRPr="00E02F30" w14:paraId="427C731A" w14:textId="77777777" w:rsidTr="00A1631B">
        <w:trPr>
          <w:jc w:val="center"/>
        </w:trPr>
        <w:tc>
          <w:tcPr>
            <w:tcW w:w="3764" w:type="dxa"/>
            <w:vMerge/>
            <w:vAlign w:val="center"/>
          </w:tcPr>
          <w:p w14:paraId="6EC5ECC8" w14:textId="77777777" w:rsidR="00E02F30" w:rsidRPr="00E02F30" w:rsidRDefault="00E02F30" w:rsidP="00E02F30">
            <w:pPr>
              <w:suppressLineNumbers/>
              <w:spacing w:before="40" w:after="40" w:line="276" w:lineRule="auto"/>
              <w:jc w:val="both"/>
              <w:rPr>
                <w:rFonts w:eastAsia="Times New Roman" w:cs="Arial"/>
                <w:sz w:val="20"/>
                <w:szCs w:val="20"/>
                <w:lang w:eastAsia="pl-PL"/>
              </w:rPr>
            </w:pPr>
          </w:p>
        </w:tc>
        <w:tc>
          <w:tcPr>
            <w:tcW w:w="2747" w:type="dxa"/>
            <w:vAlign w:val="center"/>
          </w:tcPr>
          <w:p w14:paraId="3A19AE44" w14:textId="77777777" w:rsidR="00E02F30" w:rsidRPr="00E02F30" w:rsidRDefault="00E02F30" w:rsidP="00E02F30">
            <w:pPr>
              <w:suppressLineNumbers/>
              <w:spacing w:before="40" w:after="40" w:line="276" w:lineRule="auto"/>
              <w:rPr>
                <w:rFonts w:eastAsia="Times New Roman" w:cs="Arial"/>
                <w:b/>
                <w:bCs/>
                <w:sz w:val="20"/>
                <w:szCs w:val="20"/>
                <w:lang w:eastAsia="pl-PL"/>
              </w:rPr>
            </w:pPr>
            <w:r w:rsidRPr="00E02F30">
              <w:rPr>
                <w:rFonts w:eastAsia="Times New Roman" w:cs="Arial"/>
                <w:b/>
                <w:bCs/>
                <w:sz w:val="20"/>
                <w:szCs w:val="20"/>
                <w:lang w:eastAsia="pl-PL"/>
              </w:rPr>
              <w:t>do 11.12.2026 r.</w:t>
            </w:r>
          </w:p>
        </w:tc>
        <w:tc>
          <w:tcPr>
            <w:tcW w:w="2845" w:type="dxa"/>
          </w:tcPr>
          <w:p w14:paraId="063F390E" w14:textId="77777777" w:rsidR="00E02F30" w:rsidRPr="00E02F30" w:rsidRDefault="00E02F30" w:rsidP="00E02F30">
            <w:pPr>
              <w:suppressLineNumbers/>
              <w:spacing w:before="40" w:after="40" w:line="276" w:lineRule="auto"/>
              <w:rPr>
                <w:rFonts w:eastAsia="Times New Roman" w:cs="Arial"/>
                <w:b/>
                <w:sz w:val="20"/>
                <w:szCs w:val="20"/>
                <w:lang w:eastAsia="pl-PL"/>
              </w:rPr>
            </w:pPr>
            <w:r w:rsidRPr="00E02F30">
              <w:rPr>
                <w:rFonts w:eastAsia="Times New Roman" w:cs="Arial"/>
                <w:b/>
                <w:sz w:val="20"/>
                <w:szCs w:val="20"/>
                <w:lang w:eastAsia="pl-PL"/>
              </w:rPr>
              <w:t>od 12.12.2026 r.</w:t>
            </w:r>
          </w:p>
        </w:tc>
      </w:tr>
      <w:tr w:rsidR="00E02F30" w:rsidRPr="00E02F30" w14:paraId="7AD8A70A" w14:textId="77777777" w:rsidTr="00A1631B">
        <w:trPr>
          <w:jc w:val="center"/>
        </w:trPr>
        <w:tc>
          <w:tcPr>
            <w:tcW w:w="3764" w:type="dxa"/>
            <w:vAlign w:val="center"/>
            <w:hideMark/>
          </w:tcPr>
          <w:p w14:paraId="3B587BF2" w14:textId="77777777" w:rsidR="00E02F30" w:rsidRPr="00E02F30" w:rsidRDefault="00E02F30" w:rsidP="00E02F30">
            <w:pPr>
              <w:suppressLineNumbers/>
              <w:spacing w:before="40" w:after="40" w:line="276" w:lineRule="auto"/>
              <w:jc w:val="both"/>
              <w:rPr>
                <w:rFonts w:eastAsia="Times New Roman" w:cs="Arial"/>
                <w:sz w:val="20"/>
                <w:szCs w:val="20"/>
                <w:highlight w:val="yellow"/>
                <w:lang w:eastAsia="pl-PL"/>
              </w:rPr>
            </w:pPr>
            <w:r w:rsidRPr="00E02F30">
              <w:rPr>
                <w:rFonts w:eastAsia="Times New Roman" w:cs="Arial"/>
                <w:sz w:val="20"/>
                <w:szCs w:val="20"/>
                <w:lang w:eastAsia="pl-PL"/>
              </w:rPr>
              <w:t>aceton</w:t>
            </w:r>
          </w:p>
        </w:tc>
        <w:tc>
          <w:tcPr>
            <w:tcW w:w="2747" w:type="dxa"/>
            <w:vAlign w:val="center"/>
            <w:hideMark/>
          </w:tcPr>
          <w:p w14:paraId="4C97C20A"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3,1632</w:t>
            </w:r>
          </w:p>
        </w:tc>
        <w:tc>
          <w:tcPr>
            <w:tcW w:w="2845" w:type="dxa"/>
            <w:vAlign w:val="center"/>
          </w:tcPr>
          <w:p w14:paraId="74FBCC47"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3,1632</w:t>
            </w:r>
          </w:p>
        </w:tc>
      </w:tr>
      <w:tr w:rsidR="00E02F30" w:rsidRPr="00E02F30" w14:paraId="5D8F8B4D" w14:textId="77777777" w:rsidTr="00A1631B">
        <w:trPr>
          <w:jc w:val="center"/>
        </w:trPr>
        <w:tc>
          <w:tcPr>
            <w:tcW w:w="3764" w:type="dxa"/>
            <w:vAlign w:val="center"/>
            <w:hideMark/>
          </w:tcPr>
          <w:p w14:paraId="648D3686" w14:textId="77777777" w:rsidR="00E02F30" w:rsidRPr="00E02F30" w:rsidRDefault="00E02F30" w:rsidP="00E02F30">
            <w:pPr>
              <w:suppressLineNumbers/>
              <w:spacing w:before="40" w:after="40" w:line="276" w:lineRule="auto"/>
              <w:jc w:val="both"/>
              <w:rPr>
                <w:rFonts w:eastAsia="Times New Roman" w:cs="Arial"/>
                <w:sz w:val="20"/>
                <w:szCs w:val="20"/>
                <w:lang w:eastAsia="pl-PL"/>
              </w:rPr>
            </w:pPr>
            <w:r w:rsidRPr="00E02F30">
              <w:rPr>
                <w:rFonts w:eastAsia="Times New Roman" w:cs="Arial"/>
                <w:sz w:val="20"/>
                <w:szCs w:val="20"/>
                <w:lang w:eastAsia="pl-PL"/>
              </w:rPr>
              <w:t>amoniak</w:t>
            </w:r>
          </w:p>
        </w:tc>
        <w:tc>
          <w:tcPr>
            <w:tcW w:w="2747" w:type="dxa"/>
            <w:vAlign w:val="center"/>
            <w:hideMark/>
          </w:tcPr>
          <w:p w14:paraId="18719151"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0,3420</w:t>
            </w:r>
          </w:p>
        </w:tc>
        <w:tc>
          <w:tcPr>
            <w:tcW w:w="2845" w:type="dxa"/>
            <w:vAlign w:val="center"/>
          </w:tcPr>
          <w:p w14:paraId="57E093B6"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0,3420</w:t>
            </w:r>
          </w:p>
        </w:tc>
      </w:tr>
      <w:tr w:rsidR="00E02F30" w:rsidRPr="00E02F30" w14:paraId="135EDB1F" w14:textId="77777777" w:rsidTr="00A1631B">
        <w:trPr>
          <w:jc w:val="center"/>
        </w:trPr>
        <w:tc>
          <w:tcPr>
            <w:tcW w:w="3764" w:type="dxa"/>
            <w:vAlign w:val="center"/>
            <w:hideMark/>
          </w:tcPr>
          <w:p w14:paraId="66DFEF2C" w14:textId="77777777" w:rsidR="00E02F30" w:rsidRPr="00E02F30" w:rsidRDefault="00E02F30" w:rsidP="00E02F30">
            <w:pPr>
              <w:suppressLineNumbers/>
              <w:spacing w:before="40" w:after="40" w:line="276" w:lineRule="auto"/>
              <w:jc w:val="both"/>
              <w:rPr>
                <w:rFonts w:eastAsia="Times New Roman" w:cs="Arial"/>
                <w:sz w:val="20"/>
                <w:szCs w:val="20"/>
                <w:lang w:eastAsia="pl-PL"/>
              </w:rPr>
            </w:pPr>
            <w:r w:rsidRPr="00E02F30">
              <w:rPr>
                <w:rFonts w:eastAsia="Times New Roman" w:cs="Arial"/>
                <w:sz w:val="20"/>
                <w:szCs w:val="20"/>
                <w:lang w:eastAsia="pl-PL"/>
              </w:rPr>
              <w:t>LZO (benzen)</w:t>
            </w:r>
          </w:p>
        </w:tc>
        <w:tc>
          <w:tcPr>
            <w:tcW w:w="2747" w:type="dxa"/>
            <w:vAlign w:val="center"/>
            <w:hideMark/>
          </w:tcPr>
          <w:p w14:paraId="37E761E5"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0,076</w:t>
            </w:r>
          </w:p>
        </w:tc>
        <w:tc>
          <w:tcPr>
            <w:tcW w:w="2845" w:type="dxa"/>
            <w:vAlign w:val="center"/>
          </w:tcPr>
          <w:p w14:paraId="42A37225"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0,0608</w:t>
            </w:r>
          </w:p>
        </w:tc>
      </w:tr>
      <w:tr w:rsidR="00E02F30" w:rsidRPr="00E02F30" w14:paraId="7A666CC7" w14:textId="77777777" w:rsidTr="00A1631B">
        <w:trPr>
          <w:jc w:val="center"/>
        </w:trPr>
        <w:tc>
          <w:tcPr>
            <w:tcW w:w="3764" w:type="dxa"/>
            <w:vAlign w:val="center"/>
            <w:hideMark/>
          </w:tcPr>
          <w:p w14:paraId="3908FA65" w14:textId="77777777" w:rsidR="00E02F30" w:rsidRPr="00E02F30" w:rsidRDefault="00E02F30" w:rsidP="00E02F30">
            <w:pPr>
              <w:suppressLineNumbers/>
              <w:spacing w:before="40" w:after="40" w:line="276" w:lineRule="auto"/>
              <w:jc w:val="both"/>
              <w:rPr>
                <w:rFonts w:eastAsia="Times New Roman" w:cs="Arial"/>
                <w:sz w:val="20"/>
                <w:szCs w:val="20"/>
                <w:highlight w:val="yellow"/>
                <w:lang w:eastAsia="pl-PL"/>
              </w:rPr>
            </w:pPr>
            <w:r w:rsidRPr="00E02F30">
              <w:rPr>
                <w:rFonts w:eastAsia="Times New Roman" w:cs="Arial"/>
                <w:sz w:val="20"/>
                <w:szCs w:val="20"/>
                <w:lang w:eastAsia="pl-PL"/>
              </w:rPr>
              <w:t>glikol etylenowy</w:t>
            </w:r>
          </w:p>
        </w:tc>
        <w:tc>
          <w:tcPr>
            <w:tcW w:w="2747" w:type="dxa"/>
            <w:vAlign w:val="center"/>
            <w:hideMark/>
          </w:tcPr>
          <w:p w14:paraId="287ACF22"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3,0723</w:t>
            </w:r>
          </w:p>
        </w:tc>
        <w:tc>
          <w:tcPr>
            <w:tcW w:w="2845" w:type="dxa"/>
            <w:vAlign w:val="center"/>
          </w:tcPr>
          <w:p w14:paraId="0A69080C"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3,0723</w:t>
            </w:r>
          </w:p>
        </w:tc>
      </w:tr>
      <w:tr w:rsidR="00E02F30" w:rsidRPr="00E02F30" w14:paraId="6CEDB4C3" w14:textId="77777777" w:rsidTr="00A1631B">
        <w:trPr>
          <w:jc w:val="center"/>
        </w:trPr>
        <w:tc>
          <w:tcPr>
            <w:tcW w:w="3764" w:type="dxa"/>
            <w:vAlign w:val="center"/>
            <w:hideMark/>
          </w:tcPr>
          <w:p w14:paraId="466805E1" w14:textId="77777777" w:rsidR="00E02F30" w:rsidRPr="00E02F30" w:rsidRDefault="00E02F30" w:rsidP="00E02F30">
            <w:pPr>
              <w:suppressLineNumbers/>
              <w:spacing w:before="40" w:after="40" w:line="276" w:lineRule="auto"/>
              <w:jc w:val="both"/>
              <w:rPr>
                <w:rFonts w:eastAsia="Times New Roman" w:cs="Arial"/>
                <w:sz w:val="20"/>
                <w:szCs w:val="20"/>
                <w:highlight w:val="yellow"/>
                <w:lang w:eastAsia="pl-PL"/>
              </w:rPr>
            </w:pPr>
            <w:r w:rsidRPr="00E02F30">
              <w:rPr>
                <w:rFonts w:eastAsia="Times New Roman" w:cs="Arial"/>
                <w:sz w:val="20"/>
                <w:szCs w:val="20"/>
                <w:lang w:eastAsia="pl-PL"/>
              </w:rPr>
              <w:t>ksylen</w:t>
            </w:r>
          </w:p>
        </w:tc>
        <w:tc>
          <w:tcPr>
            <w:tcW w:w="2747" w:type="dxa"/>
            <w:vAlign w:val="center"/>
          </w:tcPr>
          <w:p w14:paraId="1FB65EAF"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0,3904</w:t>
            </w:r>
          </w:p>
        </w:tc>
        <w:tc>
          <w:tcPr>
            <w:tcW w:w="2845" w:type="dxa"/>
            <w:vAlign w:val="center"/>
          </w:tcPr>
          <w:p w14:paraId="325B202A"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0,03904</w:t>
            </w:r>
          </w:p>
        </w:tc>
      </w:tr>
      <w:tr w:rsidR="00E02F30" w:rsidRPr="00E02F30" w14:paraId="1B6AC08A" w14:textId="77777777" w:rsidTr="00A1631B">
        <w:trPr>
          <w:jc w:val="center"/>
        </w:trPr>
        <w:tc>
          <w:tcPr>
            <w:tcW w:w="3764" w:type="dxa"/>
            <w:vAlign w:val="center"/>
          </w:tcPr>
          <w:p w14:paraId="763C7DF2" w14:textId="77777777" w:rsidR="00E02F30" w:rsidRPr="00E02F30" w:rsidRDefault="00E02F30" w:rsidP="00E02F30">
            <w:pPr>
              <w:suppressLineNumbers/>
              <w:spacing w:before="40" w:after="40" w:line="276" w:lineRule="auto"/>
              <w:jc w:val="both"/>
              <w:rPr>
                <w:rFonts w:eastAsia="Times New Roman" w:cs="Arial"/>
                <w:sz w:val="20"/>
                <w:szCs w:val="20"/>
                <w:lang w:eastAsia="pl-PL"/>
              </w:rPr>
            </w:pPr>
            <w:r w:rsidRPr="00E02F30">
              <w:rPr>
                <w:rFonts w:eastAsia="Times New Roman" w:cs="Arial"/>
                <w:sz w:val="20"/>
                <w:szCs w:val="20"/>
                <w:lang w:eastAsia="pl-PL"/>
              </w:rPr>
              <w:t>LZO (styren + toluen)</w:t>
            </w:r>
          </w:p>
        </w:tc>
        <w:tc>
          <w:tcPr>
            <w:tcW w:w="2747" w:type="dxa"/>
            <w:vAlign w:val="center"/>
          </w:tcPr>
          <w:p w14:paraId="09B89658" w14:textId="77777777" w:rsidR="00E02F30" w:rsidRPr="00E02F30" w:rsidRDefault="00E02F30" w:rsidP="00E02F30">
            <w:pPr>
              <w:suppressLineNumbers/>
              <w:spacing w:before="40" w:after="40" w:line="276" w:lineRule="auto"/>
              <w:ind w:hanging="104"/>
              <w:rPr>
                <w:rFonts w:eastAsia="Times New Roman" w:cs="Arial"/>
                <w:sz w:val="20"/>
                <w:szCs w:val="20"/>
                <w:lang w:eastAsia="pl-PL"/>
              </w:rPr>
            </w:pPr>
            <w:r w:rsidRPr="00E02F30">
              <w:rPr>
                <w:rFonts w:eastAsia="Times New Roman" w:cs="Arial"/>
                <w:sz w:val="20"/>
                <w:szCs w:val="20"/>
                <w:lang w:eastAsia="pl-PL"/>
              </w:rPr>
              <w:t xml:space="preserve">  2,5014</w:t>
            </w:r>
          </w:p>
        </w:tc>
        <w:tc>
          <w:tcPr>
            <w:tcW w:w="2845" w:type="dxa"/>
            <w:vAlign w:val="center"/>
          </w:tcPr>
          <w:p w14:paraId="096C50F7" w14:textId="77777777" w:rsidR="00E02F30" w:rsidRPr="00E02F30" w:rsidRDefault="00E02F30" w:rsidP="00E02F30">
            <w:pPr>
              <w:suppressLineNumbers/>
              <w:spacing w:before="40" w:after="40" w:line="276" w:lineRule="auto"/>
              <w:ind w:hanging="104"/>
              <w:rPr>
                <w:rFonts w:eastAsia="Times New Roman" w:cs="Arial"/>
                <w:sz w:val="20"/>
                <w:szCs w:val="20"/>
                <w:lang w:eastAsia="pl-PL"/>
              </w:rPr>
            </w:pPr>
            <w:r w:rsidRPr="00E02F30">
              <w:rPr>
                <w:rFonts w:eastAsia="Times New Roman" w:cs="Arial"/>
                <w:sz w:val="20"/>
                <w:szCs w:val="20"/>
                <w:lang w:eastAsia="pl-PL"/>
              </w:rPr>
              <w:t xml:space="preserve">  2,7778</w:t>
            </w:r>
          </w:p>
        </w:tc>
      </w:tr>
      <w:tr w:rsidR="00E02F30" w:rsidRPr="00E02F30" w14:paraId="23DC6421" w14:textId="77777777" w:rsidTr="00A1631B">
        <w:trPr>
          <w:jc w:val="center"/>
        </w:trPr>
        <w:tc>
          <w:tcPr>
            <w:tcW w:w="3764" w:type="dxa"/>
            <w:vAlign w:val="center"/>
          </w:tcPr>
          <w:p w14:paraId="6969396F" w14:textId="77777777" w:rsidR="00E02F30" w:rsidRPr="00E02F30" w:rsidRDefault="00E02F30" w:rsidP="00E02F30">
            <w:pPr>
              <w:suppressLineNumbers/>
              <w:spacing w:before="40" w:after="40" w:line="276" w:lineRule="auto"/>
              <w:jc w:val="both"/>
              <w:rPr>
                <w:rFonts w:eastAsia="Times New Roman" w:cs="Arial"/>
                <w:sz w:val="20"/>
                <w:szCs w:val="20"/>
                <w:highlight w:val="yellow"/>
                <w:lang w:eastAsia="pl-PL"/>
              </w:rPr>
            </w:pPr>
            <w:r w:rsidRPr="00E02F30">
              <w:rPr>
                <w:rFonts w:eastAsia="Times New Roman" w:cs="Arial"/>
                <w:sz w:val="20"/>
                <w:szCs w:val="20"/>
                <w:lang w:eastAsia="pl-PL"/>
              </w:rPr>
              <w:t>toluen</w:t>
            </w:r>
          </w:p>
        </w:tc>
        <w:tc>
          <w:tcPr>
            <w:tcW w:w="2747" w:type="dxa"/>
            <w:vAlign w:val="center"/>
          </w:tcPr>
          <w:p w14:paraId="04CD4639" w14:textId="77777777" w:rsidR="00E02F30" w:rsidRPr="00E02F30" w:rsidRDefault="00E02F30" w:rsidP="00E02F30">
            <w:pPr>
              <w:suppressLineNumbers/>
              <w:spacing w:before="40" w:after="40" w:line="276" w:lineRule="auto"/>
              <w:ind w:hanging="104"/>
              <w:rPr>
                <w:rFonts w:eastAsia="Times New Roman" w:cs="Arial"/>
                <w:sz w:val="20"/>
                <w:szCs w:val="20"/>
                <w:lang w:eastAsia="pl-PL"/>
              </w:rPr>
            </w:pPr>
            <w:r w:rsidRPr="00E02F30">
              <w:rPr>
                <w:rFonts w:eastAsia="Times New Roman" w:cs="Arial"/>
                <w:sz w:val="20"/>
                <w:szCs w:val="20"/>
                <w:lang w:eastAsia="pl-PL"/>
              </w:rPr>
              <w:t xml:space="preserve">  1,7204</w:t>
            </w:r>
          </w:p>
        </w:tc>
        <w:tc>
          <w:tcPr>
            <w:tcW w:w="2845" w:type="dxa"/>
            <w:vAlign w:val="center"/>
          </w:tcPr>
          <w:p w14:paraId="520BA597" w14:textId="77777777" w:rsidR="00E02F30" w:rsidRPr="00E02F30" w:rsidRDefault="00E02F30" w:rsidP="00E02F30">
            <w:pPr>
              <w:suppressLineNumbers/>
              <w:spacing w:before="40" w:after="40" w:line="276" w:lineRule="auto"/>
              <w:ind w:hanging="104"/>
              <w:rPr>
                <w:rFonts w:eastAsia="Times New Roman" w:cs="Arial"/>
                <w:sz w:val="20"/>
                <w:szCs w:val="20"/>
                <w:lang w:eastAsia="pl-PL"/>
              </w:rPr>
            </w:pPr>
            <w:r w:rsidRPr="00E02F30">
              <w:rPr>
                <w:rFonts w:eastAsia="Times New Roman" w:cs="Arial"/>
                <w:sz w:val="20"/>
                <w:szCs w:val="20"/>
                <w:lang w:eastAsia="pl-PL"/>
              </w:rPr>
              <w:t xml:space="preserve">  0,3144</w:t>
            </w:r>
          </w:p>
        </w:tc>
      </w:tr>
      <w:tr w:rsidR="00E02F30" w:rsidRPr="00E02F30" w14:paraId="7867E0BF" w14:textId="77777777" w:rsidTr="00A1631B">
        <w:trPr>
          <w:jc w:val="center"/>
        </w:trPr>
        <w:tc>
          <w:tcPr>
            <w:tcW w:w="3764" w:type="dxa"/>
            <w:vAlign w:val="center"/>
          </w:tcPr>
          <w:p w14:paraId="58FA0A66" w14:textId="77777777" w:rsidR="00E02F30" w:rsidRPr="00E02F30" w:rsidRDefault="00E02F30" w:rsidP="00E02F30">
            <w:pPr>
              <w:suppressLineNumbers/>
              <w:spacing w:before="40" w:after="40" w:line="276" w:lineRule="auto"/>
              <w:jc w:val="both"/>
              <w:rPr>
                <w:rFonts w:eastAsia="Times New Roman" w:cs="Arial"/>
                <w:sz w:val="20"/>
                <w:szCs w:val="20"/>
                <w:highlight w:val="yellow"/>
                <w:lang w:eastAsia="pl-PL"/>
              </w:rPr>
            </w:pPr>
            <w:r w:rsidRPr="00E02F30">
              <w:rPr>
                <w:rFonts w:eastAsia="Times New Roman" w:cs="Arial"/>
                <w:sz w:val="20"/>
                <w:szCs w:val="20"/>
                <w:lang w:eastAsia="pl-PL"/>
              </w:rPr>
              <w:t>pył ogółem</w:t>
            </w:r>
          </w:p>
        </w:tc>
        <w:tc>
          <w:tcPr>
            <w:tcW w:w="2747" w:type="dxa"/>
            <w:vAlign w:val="center"/>
          </w:tcPr>
          <w:p w14:paraId="0B6DBEAE"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0,2258</w:t>
            </w:r>
          </w:p>
        </w:tc>
        <w:tc>
          <w:tcPr>
            <w:tcW w:w="2845" w:type="dxa"/>
            <w:vAlign w:val="center"/>
          </w:tcPr>
          <w:p w14:paraId="0C38C19A"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0,2258</w:t>
            </w:r>
          </w:p>
        </w:tc>
      </w:tr>
      <w:tr w:rsidR="00E02F30" w:rsidRPr="00E02F30" w14:paraId="470A6FAE" w14:textId="77777777" w:rsidTr="00A1631B">
        <w:trPr>
          <w:jc w:val="center"/>
        </w:trPr>
        <w:tc>
          <w:tcPr>
            <w:tcW w:w="3764" w:type="dxa"/>
            <w:vAlign w:val="center"/>
          </w:tcPr>
          <w:p w14:paraId="4425FB3E" w14:textId="77777777" w:rsidR="00E02F30" w:rsidRPr="00E02F30" w:rsidRDefault="00E02F30" w:rsidP="00E02F30">
            <w:pPr>
              <w:suppressLineNumbers/>
              <w:spacing w:before="40" w:after="40" w:line="276" w:lineRule="auto"/>
              <w:ind w:hanging="33"/>
              <w:jc w:val="both"/>
              <w:rPr>
                <w:rFonts w:eastAsia="Times New Roman" w:cs="Arial"/>
                <w:sz w:val="20"/>
                <w:szCs w:val="20"/>
                <w:highlight w:val="yellow"/>
                <w:lang w:eastAsia="pl-PL"/>
              </w:rPr>
            </w:pPr>
            <w:r w:rsidRPr="00E02F30">
              <w:rPr>
                <w:rFonts w:eastAsia="Times New Roman" w:cs="Arial"/>
                <w:sz w:val="20"/>
                <w:szCs w:val="20"/>
                <w:lang w:eastAsia="pl-PL"/>
              </w:rPr>
              <w:t>pył PM10</w:t>
            </w:r>
          </w:p>
        </w:tc>
        <w:tc>
          <w:tcPr>
            <w:tcW w:w="2747" w:type="dxa"/>
            <w:vAlign w:val="center"/>
          </w:tcPr>
          <w:p w14:paraId="00245D1B"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0,2258</w:t>
            </w:r>
          </w:p>
        </w:tc>
        <w:tc>
          <w:tcPr>
            <w:tcW w:w="2845" w:type="dxa"/>
            <w:vAlign w:val="center"/>
          </w:tcPr>
          <w:p w14:paraId="0E1497A6"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0,2258</w:t>
            </w:r>
          </w:p>
        </w:tc>
      </w:tr>
      <w:tr w:rsidR="00E02F30" w:rsidRPr="00E02F30" w14:paraId="12F5BD81" w14:textId="77777777" w:rsidTr="00A1631B">
        <w:trPr>
          <w:trHeight w:val="403"/>
          <w:jc w:val="center"/>
        </w:trPr>
        <w:tc>
          <w:tcPr>
            <w:tcW w:w="3764" w:type="dxa"/>
            <w:vAlign w:val="center"/>
          </w:tcPr>
          <w:p w14:paraId="766B4D24" w14:textId="77777777" w:rsidR="00E02F30" w:rsidRPr="00E02F30" w:rsidRDefault="00E02F30" w:rsidP="00E02F30">
            <w:pPr>
              <w:suppressLineNumbers/>
              <w:spacing w:before="40" w:after="40" w:line="276" w:lineRule="auto"/>
              <w:ind w:hanging="33"/>
              <w:jc w:val="both"/>
              <w:rPr>
                <w:rFonts w:eastAsia="Times New Roman" w:cs="Arial"/>
                <w:sz w:val="20"/>
                <w:szCs w:val="20"/>
                <w:lang w:eastAsia="pl-PL"/>
              </w:rPr>
            </w:pPr>
            <w:r w:rsidRPr="00E02F30">
              <w:rPr>
                <w:rFonts w:eastAsia="Times New Roman" w:cs="Arial"/>
                <w:sz w:val="20"/>
                <w:szCs w:val="20"/>
                <w:lang w:eastAsia="pl-PL"/>
              </w:rPr>
              <w:t>pył PM2,5</w:t>
            </w:r>
          </w:p>
        </w:tc>
        <w:tc>
          <w:tcPr>
            <w:tcW w:w="2747" w:type="dxa"/>
            <w:vAlign w:val="center"/>
          </w:tcPr>
          <w:p w14:paraId="0D7B55D1"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0,2258</w:t>
            </w:r>
          </w:p>
        </w:tc>
        <w:tc>
          <w:tcPr>
            <w:tcW w:w="2845" w:type="dxa"/>
            <w:vAlign w:val="center"/>
          </w:tcPr>
          <w:p w14:paraId="4F97F097"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0,2258</w:t>
            </w:r>
          </w:p>
        </w:tc>
      </w:tr>
      <w:tr w:rsidR="00E02F30" w:rsidRPr="00E02F30" w14:paraId="518571A3" w14:textId="77777777" w:rsidTr="00A1631B">
        <w:trPr>
          <w:trHeight w:val="403"/>
          <w:jc w:val="center"/>
        </w:trPr>
        <w:tc>
          <w:tcPr>
            <w:tcW w:w="3764" w:type="dxa"/>
            <w:vAlign w:val="center"/>
          </w:tcPr>
          <w:p w14:paraId="7873BFDF" w14:textId="77777777" w:rsidR="00E02F30" w:rsidRPr="00E02F30" w:rsidRDefault="00E02F30" w:rsidP="00E02F30">
            <w:pPr>
              <w:suppressLineNumbers/>
              <w:spacing w:before="40" w:after="40" w:line="276" w:lineRule="auto"/>
              <w:ind w:hanging="33"/>
              <w:jc w:val="both"/>
              <w:rPr>
                <w:rFonts w:eastAsia="Times New Roman" w:cs="Arial"/>
                <w:sz w:val="20"/>
                <w:szCs w:val="20"/>
                <w:lang w:eastAsia="pl-PL"/>
              </w:rPr>
            </w:pPr>
            <w:r w:rsidRPr="00E02F30">
              <w:rPr>
                <w:rFonts w:eastAsia="Times New Roman" w:cs="Arial"/>
                <w:sz w:val="20"/>
                <w:szCs w:val="20"/>
                <w:lang w:eastAsia="pl-PL"/>
              </w:rPr>
              <w:t>TVOC</w:t>
            </w:r>
          </w:p>
        </w:tc>
        <w:tc>
          <w:tcPr>
            <w:tcW w:w="2747" w:type="dxa"/>
            <w:vAlign w:val="center"/>
          </w:tcPr>
          <w:p w14:paraId="0B94CF31"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w:t>
            </w:r>
          </w:p>
        </w:tc>
        <w:tc>
          <w:tcPr>
            <w:tcW w:w="2845" w:type="dxa"/>
            <w:vAlign w:val="center"/>
          </w:tcPr>
          <w:p w14:paraId="66DD43F8" w14:textId="77777777" w:rsidR="00E02F30" w:rsidRPr="00E02F30" w:rsidRDefault="00E02F30" w:rsidP="00E02F30">
            <w:pPr>
              <w:suppressLineNumbers/>
              <w:spacing w:before="40" w:after="40" w:line="276" w:lineRule="auto"/>
              <w:rPr>
                <w:rFonts w:eastAsia="Times New Roman" w:cs="Arial"/>
                <w:sz w:val="20"/>
                <w:szCs w:val="20"/>
                <w:lang w:eastAsia="pl-PL"/>
              </w:rPr>
            </w:pPr>
            <w:r w:rsidRPr="00E02F30">
              <w:rPr>
                <w:rFonts w:eastAsia="Times New Roman" w:cs="Arial"/>
                <w:sz w:val="20"/>
                <w:szCs w:val="20"/>
                <w:lang w:eastAsia="pl-PL"/>
              </w:rPr>
              <w:t>4,9311</w:t>
            </w:r>
          </w:p>
        </w:tc>
      </w:tr>
    </w:tbl>
    <w:p w14:paraId="07654D50" w14:textId="77777777" w:rsidR="00E02F30" w:rsidRPr="00E02F30" w:rsidRDefault="00E02F30" w:rsidP="00E02F30">
      <w:pPr>
        <w:keepNext/>
        <w:widowControl w:val="0"/>
        <w:adjustRightInd w:val="0"/>
        <w:spacing w:before="240" w:after="0" w:line="276" w:lineRule="auto"/>
        <w:textAlignment w:val="baseline"/>
        <w:outlineLvl w:val="2"/>
        <w:rPr>
          <w:rFonts w:eastAsia="Calibri" w:cs="Times New Roman"/>
          <w:b/>
          <w:szCs w:val="20"/>
        </w:rPr>
      </w:pPr>
      <w:r w:rsidRPr="00E02F30">
        <w:rPr>
          <w:rFonts w:eastAsia="Calibri" w:cs="Times New Roman"/>
          <w:b/>
          <w:szCs w:val="20"/>
        </w:rPr>
        <w:t>II.2. Proponowana ilość, stan i skład ścieków przemysłowych z instalacji</w:t>
      </w:r>
    </w:p>
    <w:p w14:paraId="5453BA65" w14:textId="77777777" w:rsidR="00E02F30" w:rsidRPr="00E02F30" w:rsidRDefault="00E02F30" w:rsidP="00E02F30">
      <w:pPr>
        <w:keepNext/>
        <w:widowControl w:val="0"/>
        <w:adjustRightInd w:val="0"/>
        <w:spacing w:before="120" w:after="0" w:line="276" w:lineRule="auto"/>
        <w:textAlignment w:val="baseline"/>
        <w:outlineLvl w:val="4"/>
        <w:rPr>
          <w:rFonts w:eastAsia="Times New Roman" w:cs="Times New Roman"/>
          <w:szCs w:val="20"/>
        </w:rPr>
      </w:pPr>
      <w:r w:rsidRPr="00E02F30">
        <w:rPr>
          <w:rFonts w:eastAsia="Times New Roman" w:cs="Times New Roman"/>
          <w:szCs w:val="20"/>
        </w:rPr>
        <w:t>Tabela nr 3</w:t>
      </w:r>
    </w:p>
    <w:tbl>
      <w:tblPr>
        <w:tblW w:w="9291" w:type="dxa"/>
        <w:tblInd w:w="60" w:type="dxa"/>
        <w:shd w:val="clear" w:color="auto" w:fill="FFFFFF"/>
        <w:tblLayout w:type="fixed"/>
        <w:tblCellMar>
          <w:left w:w="70" w:type="dxa"/>
          <w:right w:w="70" w:type="dxa"/>
        </w:tblCellMar>
        <w:tblLook w:val="04A0" w:firstRow="1" w:lastRow="0" w:firstColumn="1" w:lastColumn="0" w:noHBand="0" w:noVBand="1"/>
        <w:tblDescription w:val="Przedstawia źródło emisji ścieków, ilość tych ścieków, ich stan oraz skład scieków, a także punkt kontroli jakości tych ścieków."/>
      </w:tblPr>
      <w:tblGrid>
        <w:gridCol w:w="453"/>
        <w:gridCol w:w="1819"/>
        <w:gridCol w:w="960"/>
        <w:gridCol w:w="924"/>
        <w:gridCol w:w="992"/>
        <w:gridCol w:w="1294"/>
        <w:gridCol w:w="1148"/>
        <w:gridCol w:w="1701"/>
      </w:tblGrid>
      <w:tr w:rsidR="00E02F30" w:rsidRPr="00E02F30" w14:paraId="2841F44C" w14:textId="77777777" w:rsidTr="00A1631B">
        <w:trPr>
          <w:trHeight w:val="218"/>
        </w:trPr>
        <w:tc>
          <w:tcPr>
            <w:tcW w:w="453"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22A7B5"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Lp.</w:t>
            </w:r>
          </w:p>
        </w:tc>
        <w:tc>
          <w:tcPr>
            <w:tcW w:w="181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B889D9F"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Instalacja / źródło emisji /</w:t>
            </w:r>
            <w:r w:rsidRPr="00E02F30">
              <w:rPr>
                <w:rFonts w:eastAsia="Times New Roman" w:cs="Arial"/>
                <w:b/>
                <w:sz w:val="20"/>
                <w:szCs w:val="20"/>
                <w:lang w:eastAsia="pl-PL"/>
              </w:rPr>
              <w:br/>
              <w:t>strumień ścieków</w:t>
            </w:r>
          </w:p>
        </w:tc>
        <w:tc>
          <w:tcPr>
            <w:tcW w:w="2876" w:type="dxa"/>
            <w:gridSpan w:val="3"/>
            <w:tcBorders>
              <w:top w:val="single" w:sz="4" w:space="0" w:color="auto"/>
              <w:left w:val="nil"/>
              <w:bottom w:val="single" w:sz="4" w:space="0" w:color="auto"/>
              <w:right w:val="single" w:sz="4" w:space="0" w:color="000000"/>
            </w:tcBorders>
            <w:shd w:val="clear" w:color="auto" w:fill="FFFFFF"/>
            <w:noWrap/>
            <w:vAlign w:val="center"/>
            <w:hideMark/>
          </w:tcPr>
          <w:p w14:paraId="7313D8EA"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Ilość ścieków</w:t>
            </w:r>
          </w:p>
        </w:tc>
        <w:tc>
          <w:tcPr>
            <w:tcW w:w="2442" w:type="dxa"/>
            <w:gridSpan w:val="2"/>
            <w:vMerge w:val="restart"/>
            <w:tcBorders>
              <w:top w:val="single" w:sz="4" w:space="0" w:color="auto"/>
              <w:left w:val="nil"/>
              <w:right w:val="single" w:sz="4" w:space="0" w:color="auto"/>
            </w:tcBorders>
            <w:shd w:val="clear" w:color="auto" w:fill="FFFFFF"/>
            <w:noWrap/>
            <w:vAlign w:val="center"/>
            <w:hideMark/>
          </w:tcPr>
          <w:p w14:paraId="5B758876"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 xml:space="preserve"> Stan i skład ścieków</w:t>
            </w:r>
          </w:p>
        </w:tc>
        <w:tc>
          <w:tcPr>
            <w:tcW w:w="1701" w:type="dxa"/>
            <w:vMerge w:val="restart"/>
            <w:tcBorders>
              <w:top w:val="single" w:sz="4" w:space="0" w:color="auto"/>
              <w:left w:val="nil"/>
              <w:right w:val="single" w:sz="4" w:space="0" w:color="auto"/>
            </w:tcBorders>
            <w:shd w:val="clear" w:color="auto" w:fill="FFFFFF"/>
          </w:tcPr>
          <w:p w14:paraId="4700EFA8"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 xml:space="preserve">Punkt </w:t>
            </w:r>
          </w:p>
          <w:p w14:paraId="09F6E33D"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 xml:space="preserve">kontroli </w:t>
            </w:r>
            <w:r w:rsidRPr="00E02F30">
              <w:rPr>
                <w:rFonts w:eastAsia="Times New Roman" w:cs="Arial"/>
                <w:b/>
                <w:sz w:val="20"/>
                <w:szCs w:val="20"/>
                <w:lang w:eastAsia="pl-PL"/>
              </w:rPr>
              <w:br/>
              <w:t xml:space="preserve">jakości </w:t>
            </w:r>
          </w:p>
          <w:p w14:paraId="5F786184"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ścieków</w:t>
            </w:r>
          </w:p>
        </w:tc>
      </w:tr>
      <w:tr w:rsidR="00E02F30" w:rsidRPr="00E02F30" w14:paraId="33C46A7A" w14:textId="77777777" w:rsidTr="00A1631B">
        <w:trPr>
          <w:trHeight w:val="208"/>
          <w:tblHeader/>
        </w:trPr>
        <w:tc>
          <w:tcPr>
            <w:tcW w:w="45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545DE4E" w14:textId="77777777" w:rsidR="00E02F30" w:rsidRPr="00E02F30" w:rsidRDefault="00E02F30" w:rsidP="00E02F30">
            <w:pPr>
              <w:spacing w:after="0" w:line="276" w:lineRule="auto"/>
              <w:jc w:val="both"/>
              <w:rPr>
                <w:rFonts w:eastAsia="Times New Roman" w:cs="Arial"/>
                <w:b/>
                <w:sz w:val="20"/>
                <w:szCs w:val="20"/>
                <w:lang w:eastAsia="pl-PL"/>
              </w:rPr>
            </w:pPr>
          </w:p>
        </w:tc>
        <w:tc>
          <w:tcPr>
            <w:tcW w:w="181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6E0FE1" w14:textId="77777777" w:rsidR="00E02F30" w:rsidRPr="00E02F30" w:rsidRDefault="00E02F30" w:rsidP="00E02F30">
            <w:pPr>
              <w:spacing w:after="0" w:line="276" w:lineRule="auto"/>
              <w:jc w:val="both"/>
              <w:rPr>
                <w:rFonts w:eastAsia="Times New Roman" w:cs="Arial"/>
                <w:b/>
                <w:sz w:val="20"/>
                <w:szCs w:val="20"/>
                <w:lang w:eastAsia="pl-PL"/>
              </w:rPr>
            </w:pPr>
          </w:p>
        </w:tc>
        <w:tc>
          <w:tcPr>
            <w:tcW w:w="960" w:type="dxa"/>
            <w:tcBorders>
              <w:top w:val="nil"/>
              <w:left w:val="nil"/>
              <w:bottom w:val="single" w:sz="4" w:space="0" w:color="auto"/>
              <w:right w:val="single" w:sz="4" w:space="0" w:color="auto"/>
            </w:tcBorders>
            <w:shd w:val="clear" w:color="auto" w:fill="FFFFFF"/>
            <w:noWrap/>
            <w:vAlign w:val="center"/>
            <w:hideMark/>
          </w:tcPr>
          <w:p w14:paraId="6D6417C2" w14:textId="77777777" w:rsidR="00E02F30" w:rsidRPr="00E02F30" w:rsidRDefault="00E02F30" w:rsidP="00E02F30">
            <w:pPr>
              <w:spacing w:after="0" w:line="276" w:lineRule="auto"/>
              <w:jc w:val="both"/>
              <w:rPr>
                <w:rFonts w:eastAsia="Times New Roman" w:cs="Arial"/>
                <w:b/>
                <w:sz w:val="20"/>
                <w:szCs w:val="20"/>
                <w:lang w:eastAsia="pl-PL"/>
              </w:rPr>
            </w:pPr>
            <w:proofErr w:type="spellStart"/>
            <w:r w:rsidRPr="00E02F30">
              <w:rPr>
                <w:rFonts w:eastAsia="Times New Roman" w:cs="Arial"/>
                <w:b/>
                <w:sz w:val="20"/>
                <w:szCs w:val="20"/>
                <w:lang w:eastAsia="pl-PL"/>
              </w:rPr>
              <w:t>Q</w:t>
            </w:r>
            <w:r w:rsidRPr="00E02F30">
              <w:rPr>
                <w:rFonts w:eastAsia="Times New Roman" w:cs="Arial"/>
                <w:b/>
                <w:sz w:val="20"/>
                <w:szCs w:val="20"/>
                <w:vertAlign w:val="subscript"/>
                <w:lang w:eastAsia="pl-PL"/>
              </w:rPr>
              <w:t>maxd</w:t>
            </w:r>
            <w:proofErr w:type="spellEnd"/>
            <w:r w:rsidRPr="00E02F30">
              <w:rPr>
                <w:rFonts w:eastAsia="Times New Roman" w:cs="Arial"/>
                <w:b/>
                <w:sz w:val="20"/>
                <w:szCs w:val="20"/>
                <w:vertAlign w:val="subscript"/>
                <w:lang w:eastAsia="pl-PL"/>
              </w:rPr>
              <w:t xml:space="preserve"> </w:t>
            </w:r>
          </w:p>
        </w:tc>
        <w:tc>
          <w:tcPr>
            <w:tcW w:w="924" w:type="dxa"/>
            <w:tcBorders>
              <w:top w:val="nil"/>
              <w:left w:val="nil"/>
              <w:bottom w:val="single" w:sz="4" w:space="0" w:color="auto"/>
              <w:right w:val="single" w:sz="4" w:space="0" w:color="auto"/>
            </w:tcBorders>
            <w:shd w:val="clear" w:color="auto" w:fill="FFFFFF"/>
            <w:noWrap/>
            <w:vAlign w:val="center"/>
            <w:hideMark/>
          </w:tcPr>
          <w:p w14:paraId="33F05255" w14:textId="77777777" w:rsidR="00E02F30" w:rsidRPr="00E02F30" w:rsidRDefault="00E02F30" w:rsidP="00E02F30">
            <w:pPr>
              <w:spacing w:after="0" w:line="276" w:lineRule="auto"/>
              <w:jc w:val="both"/>
              <w:rPr>
                <w:rFonts w:eastAsia="Times New Roman" w:cs="Arial"/>
                <w:b/>
                <w:sz w:val="20"/>
                <w:szCs w:val="20"/>
                <w:lang w:eastAsia="pl-PL"/>
              </w:rPr>
            </w:pPr>
            <w:proofErr w:type="spellStart"/>
            <w:r w:rsidRPr="00E02F30">
              <w:rPr>
                <w:rFonts w:eastAsia="Times New Roman" w:cs="Arial"/>
                <w:b/>
                <w:sz w:val="20"/>
                <w:szCs w:val="20"/>
                <w:lang w:eastAsia="pl-PL"/>
              </w:rPr>
              <w:t>Q</w:t>
            </w:r>
            <w:r w:rsidRPr="00E02F30">
              <w:rPr>
                <w:rFonts w:eastAsia="Times New Roman" w:cs="Arial"/>
                <w:b/>
                <w:sz w:val="20"/>
                <w:szCs w:val="20"/>
                <w:vertAlign w:val="subscript"/>
                <w:lang w:eastAsia="pl-PL"/>
              </w:rPr>
              <w:t>śrd</w:t>
            </w:r>
            <w:proofErr w:type="spellEnd"/>
            <w:r w:rsidRPr="00E02F30">
              <w:rPr>
                <w:rFonts w:eastAsia="Times New Roman" w:cs="Arial"/>
                <w:b/>
                <w:sz w:val="20"/>
                <w:szCs w:val="20"/>
                <w:vertAlign w:val="subscript"/>
                <w:lang w:eastAsia="pl-PL"/>
              </w:rPr>
              <w:t xml:space="preserve"> </w:t>
            </w:r>
          </w:p>
        </w:tc>
        <w:tc>
          <w:tcPr>
            <w:tcW w:w="992" w:type="dxa"/>
            <w:tcBorders>
              <w:top w:val="nil"/>
              <w:left w:val="nil"/>
              <w:bottom w:val="single" w:sz="4" w:space="0" w:color="auto"/>
              <w:right w:val="single" w:sz="4" w:space="0" w:color="auto"/>
            </w:tcBorders>
            <w:shd w:val="clear" w:color="auto" w:fill="FFFFFF"/>
            <w:noWrap/>
            <w:vAlign w:val="center"/>
            <w:hideMark/>
          </w:tcPr>
          <w:p w14:paraId="25934D3D" w14:textId="77777777" w:rsidR="00E02F30" w:rsidRPr="00E02F30" w:rsidRDefault="00E02F30" w:rsidP="00E02F30">
            <w:pPr>
              <w:spacing w:after="0" w:line="276" w:lineRule="auto"/>
              <w:jc w:val="both"/>
              <w:rPr>
                <w:rFonts w:eastAsia="Times New Roman" w:cs="Arial"/>
                <w:b/>
                <w:sz w:val="20"/>
                <w:szCs w:val="20"/>
                <w:lang w:eastAsia="pl-PL"/>
              </w:rPr>
            </w:pPr>
            <w:proofErr w:type="spellStart"/>
            <w:r w:rsidRPr="00E02F30">
              <w:rPr>
                <w:rFonts w:eastAsia="Times New Roman" w:cs="Arial"/>
                <w:b/>
                <w:sz w:val="20"/>
                <w:szCs w:val="20"/>
                <w:lang w:eastAsia="pl-PL"/>
              </w:rPr>
              <w:t>Q</w:t>
            </w:r>
            <w:r w:rsidRPr="00E02F30">
              <w:rPr>
                <w:rFonts w:eastAsia="Times New Roman" w:cs="Arial"/>
                <w:b/>
                <w:sz w:val="20"/>
                <w:szCs w:val="20"/>
                <w:vertAlign w:val="subscript"/>
                <w:lang w:eastAsia="pl-PL"/>
              </w:rPr>
              <w:t>maxroczne</w:t>
            </w:r>
            <w:proofErr w:type="spellEnd"/>
          </w:p>
        </w:tc>
        <w:tc>
          <w:tcPr>
            <w:tcW w:w="2442" w:type="dxa"/>
            <w:gridSpan w:val="2"/>
            <w:vMerge/>
            <w:tcBorders>
              <w:left w:val="nil"/>
              <w:right w:val="single" w:sz="4" w:space="0" w:color="auto"/>
            </w:tcBorders>
            <w:shd w:val="clear" w:color="auto" w:fill="FFFFFF"/>
            <w:noWrap/>
            <w:vAlign w:val="center"/>
            <w:hideMark/>
          </w:tcPr>
          <w:p w14:paraId="1F06E625" w14:textId="77777777" w:rsidR="00E02F30" w:rsidRPr="00E02F30" w:rsidRDefault="00E02F30" w:rsidP="00E02F30">
            <w:pPr>
              <w:spacing w:after="0" w:line="276" w:lineRule="auto"/>
              <w:jc w:val="both"/>
              <w:rPr>
                <w:rFonts w:eastAsia="Times New Roman" w:cs="Arial"/>
                <w:b/>
                <w:sz w:val="20"/>
                <w:szCs w:val="20"/>
                <w:lang w:eastAsia="pl-PL"/>
              </w:rPr>
            </w:pPr>
          </w:p>
        </w:tc>
        <w:tc>
          <w:tcPr>
            <w:tcW w:w="1701" w:type="dxa"/>
            <w:vMerge/>
            <w:tcBorders>
              <w:left w:val="nil"/>
              <w:right w:val="single" w:sz="4" w:space="0" w:color="auto"/>
            </w:tcBorders>
            <w:shd w:val="clear" w:color="auto" w:fill="FFFFFF"/>
          </w:tcPr>
          <w:p w14:paraId="66B7C9C5" w14:textId="77777777" w:rsidR="00E02F30" w:rsidRPr="00E02F30" w:rsidRDefault="00E02F30" w:rsidP="00E02F30">
            <w:pPr>
              <w:spacing w:after="0" w:line="276" w:lineRule="auto"/>
              <w:jc w:val="both"/>
              <w:rPr>
                <w:rFonts w:eastAsia="Times New Roman" w:cs="Arial"/>
                <w:b/>
                <w:sz w:val="20"/>
                <w:szCs w:val="20"/>
                <w:lang w:eastAsia="pl-PL"/>
              </w:rPr>
            </w:pPr>
          </w:p>
        </w:tc>
      </w:tr>
      <w:tr w:rsidR="00E02F30" w:rsidRPr="00E02F30" w14:paraId="6A44D7C0" w14:textId="77777777" w:rsidTr="00A1631B">
        <w:trPr>
          <w:trHeight w:val="278"/>
          <w:tblHeader/>
        </w:trPr>
        <w:tc>
          <w:tcPr>
            <w:tcW w:w="45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3590FB" w14:textId="77777777" w:rsidR="00E02F30" w:rsidRPr="00E02F30" w:rsidRDefault="00E02F30" w:rsidP="00E02F30">
            <w:pPr>
              <w:spacing w:after="0" w:line="276" w:lineRule="auto"/>
              <w:jc w:val="both"/>
              <w:rPr>
                <w:rFonts w:eastAsia="Times New Roman" w:cs="Arial"/>
                <w:b/>
                <w:sz w:val="20"/>
                <w:szCs w:val="20"/>
                <w:lang w:eastAsia="pl-PL"/>
              </w:rPr>
            </w:pPr>
          </w:p>
        </w:tc>
        <w:tc>
          <w:tcPr>
            <w:tcW w:w="181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07ABAC" w14:textId="77777777" w:rsidR="00E02F30" w:rsidRPr="00E02F30" w:rsidRDefault="00E02F30" w:rsidP="00E02F30">
            <w:pPr>
              <w:spacing w:after="0" w:line="276" w:lineRule="auto"/>
              <w:jc w:val="both"/>
              <w:rPr>
                <w:rFonts w:eastAsia="Times New Roman" w:cs="Arial"/>
                <w:b/>
                <w:sz w:val="20"/>
                <w:szCs w:val="20"/>
                <w:lang w:eastAsia="pl-PL"/>
              </w:rPr>
            </w:pPr>
          </w:p>
        </w:tc>
        <w:tc>
          <w:tcPr>
            <w:tcW w:w="960" w:type="dxa"/>
            <w:tcBorders>
              <w:top w:val="nil"/>
              <w:left w:val="nil"/>
              <w:bottom w:val="single" w:sz="4" w:space="0" w:color="auto"/>
              <w:right w:val="single" w:sz="4" w:space="0" w:color="auto"/>
            </w:tcBorders>
            <w:shd w:val="clear" w:color="auto" w:fill="FFFFFF"/>
            <w:noWrap/>
            <w:vAlign w:val="center"/>
            <w:hideMark/>
          </w:tcPr>
          <w:p w14:paraId="7451D20D"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m</w:t>
            </w:r>
            <w:r w:rsidRPr="00E02F30">
              <w:rPr>
                <w:rFonts w:eastAsia="Times New Roman" w:cs="Arial"/>
                <w:b/>
                <w:sz w:val="20"/>
                <w:szCs w:val="20"/>
                <w:vertAlign w:val="superscript"/>
                <w:lang w:eastAsia="pl-PL"/>
              </w:rPr>
              <w:t>3</w:t>
            </w:r>
            <w:r w:rsidRPr="00E02F30">
              <w:rPr>
                <w:rFonts w:eastAsia="Times New Roman" w:cs="Arial"/>
                <w:b/>
                <w:sz w:val="20"/>
                <w:szCs w:val="20"/>
                <w:lang w:eastAsia="pl-PL"/>
              </w:rPr>
              <w:t>/dobę</w:t>
            </w:r>
          </w:p>
        </w:tc>
        <w:tc>
          <w:tcPr>
            <w:tcW w:w="924" w:type="dxa"/>
            <w:tcBorders>
              <w:top w:val="nil"/>
              <w:left w:val="nil"/>
              <w:bottom w:val="single" w:sz="4" w:space="0" w:color="auto"/>
              <w:right w:val="single" w:sz="4" w:space="0" w:color="auto"/>
            </w:tcBorders>
            <w:shd w:val="clear" w:color="auto" w:fill="FFFFFF"/>
            <w:noWrap/>
            <w:vAlign w:val="center"/>
            <w:hideMark/>
          </w:tcPr>
          <w:p w14:paraId="01F4447F"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 xml:space="preserve"> m</w:t>
            </w:r>
            <w:r w:rsidRPr="00E02F30">
              <w:rPr>
                <w:rFonts w:eastAsia="Times New Roman" w:cs="Arial"/>
                <w:b/>
                <w:sz w:val="20"/>
                <w:szCs w:val="20"/>
                <w:vertAlign w:val="superscript"/>
                <w:lang w:eastAsia="pl-PL"/>
              </w:rPr>
              <w:t>3</w:t>
            </w:r>
            <w:r w:rsidRPr="00E02F30">
              <w:rPr>
                <w:rFonts w:eastAsia="Times New Roman" w:cs="Arial"/>
                <w:b/>
                <w:sz w:val="20"/>
                <w:szCs w:val="20"/>
                <w:lang w:eastAsia="pl-PL"/>
              </w:rPr>
              <w:t>/dobę</w:t>
            </w:r>
          </w:p>
        </w:tc>
        <w:tc>
          <w:tcPr>
            <w:tcW w:w="992" w:type="dxa"/>
            <w:tcBorders>
              <w:top w:val="nil"/>
              <w:left w:val="nil"/>
              <w:bottom w:val="single" w:sz="4" w:space="0" w:color="auto"/>
              <w:right w:val="single" w:sz="4" w:space="0" w:color="auto"/>
            </w:tcBorders>
            <w:shd w:val="clear" w:color="auto" w:fill="FFFFFF"/>
            <w:noWrap/>
            <w:vAlign w:val="center"/>
            <w:hideMark/>
          </w:tcPr>
          <w:p w14:paraId="12F474B6"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m</w:t>
            </w:r>
            <w:r w:rsidRPr="00E02F30">
              <w:rPr>
                <w:rFonts w:eastAsia="Times New Roman" w:cs="Arial"/>
                <w:b/>
                <w:sz w:val="20"/>
                <w:szCs w:val="20"/>
                <w:vertAlign w:val="superscript"/>
                <w:lang w:eastAsia="pl-PL"/>
              </w:rPr>
              <w:t>3</w:t>
            </w:r>
            <w:r w:rsidRPr="00E02F30">
              <w:rPr>
                <w:rFonts w:eastAsia="Times New Roman" w:cs="Arial"/>
                <w:b/>
                <w:sz w:val="20"/>
                <w:szCs w:val="20"/>
                <w:lang w:eastAsia="pl-PL"/>
              </w:rPr>
              <w:t>/rok</w:t>
            </w:r>
          </w:p>
        </w:tc>
        <w:tc>
          <w:tcPr>
            <w:tcW w:w="2442" w:type="dxa"/>
            <w:gridSpan w:val="2"/>
            <w:vMerge/>
            <w:tcBorders>
              <w:left w:val="nil"/>
              <w:bottom w:val="single" w:sz="4" w:space="0" w:color="auto"/>
              <w:right w:val="single" w:sz="4" w:space="0" w:color="auto"/>
            </w:tcBorders>
            <w:shd w:val="clear" w:color="auto" w:fill="FFFFFF"/>
            <w:noWrap/>
            <w:vAlign w:val="center"/>
            <w:hideMark/>
          </w:tcPr>
          <w:p w14:paraId="472E22EA" w14:textId="77777777" w:rsidR="00E02F30" w:rsidRPr="00E02F30" w:rsidRDefault="00E02F30" w:rsidP="00E02F30">
            <w:pPr>
              <w:spacing w:after="0" w:line="276" w:lineRule="auto"/>
              <w:jc w:val="both"/>
              <w:rPr>
                <w:rFonts w:eastAsia="Times New Roman" w:cs="Arial"/>
                <w:b/>
                <w:sz w:val="20"/>
                <w:szCs w:val="20"/>
                <w:lang w:eastAsia="pl-PL"/>
              </w:rPr>
            </w:pPr>
          </w:p>
        </w:tc>
        <w:tc>
          <w:tcPr>
            <w:tcW w:w="1701" w:type="dxa"/>
            <w:vMerge/>
            <w:tcBorders>
              <w:left w:val="nil"/>
              <w:right w:val="single" w:sz="4" w:space="0" w:color="auto"/>
            </w:tcBorders>
            <w:shd w:val="clear" w:color="auto" w:fill="FFFFFF"/>
          </w:tcPr>
          <w:p w14:paraId="4FFE4FB6" w14:textId="77777777" w:rsidR="00E02F30" w:rsidRPr="00E02F30" w:rsidRDefault="00E02F30" w:rsidP="00E02F30">
            <w:pPr>
              <w:spacing w:after="0" w:line="276" w:lineRule="auto"/>
              <w:jc w:val="both"/>
              <w:rPr>
                <w:rFonts w:eastAsia="Times New Roman" w:cs="Arial"/>
                <w:b/>
                <w:sz w:val="20"/>
                <w:szCs w:val="20"/>
                <w:lang w:eastAsia="pl-PL"/>
              </w:rPr>
            </w:pPr>
          </w:p>
        </w:tc>
      </w:tr>
      <w:tr w:rsidR="00E02F30" w:rsidRPr="00E02F30" w14:paraId="0CBDD335" w14:textId="77777777" w:rsidTr="00A1631B">
        <w:trPr>
          <w:trHeight w:val="406"/>
        </w:trPr>
        <w:tc>
          <w:tcPr>
            <w:tcW w:w="453" w:type="dxa"/>
            <w:tcBorders>
              <w:top w:val="nil"/>
              <w:left w:val="single" w:sz="4" w:space="0" w:color="auto"/>
              <w:bottom w:val="single" w:sz="4" w:space="0" w:color="auto"/>
              <w:right w:val="single" w:sz="4" w:space="0" w:color="auto"/>
            </w:tcBorders>
            <w:shd w:val="clear" w:color="auto" w:fill="FFFFFF"/>
            <w:hideMark/>
          </w:tcPr>
          <w:p w14:paraId="6E15CA65"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1</w:t>
            </w:r>
          </w:p>
        </w:tc>
        <w:tc>
          <w:tcPr>
            <w:tcW w:w="7137" w:type="dxa"/>
            <w:gridSpan w:val="6"/>
            <w:tcBorders>
              <w:top w:val="nil"/>
              <w:left w:val="nil"/>
              <w:bottom w:val="single" w:sz="4" w:space="0" w:color="auto"/>
              <w:right w:val="single" w:sz="4" w:space="0" w:color="auto"/>
            </w:tcBorders>
            <w:shd w:val="clear" w:color="auto" w:fill="FFFFFF"/>
            <w:hideMark/>
          </w:tcPr>
          <w:p w14:paraId="5502893D"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Obiekt 524</w:t>
            </w:r>
          </w:p>
        </w:tc>
        <w:tc>
          <w:tcPr>
            <w:tcW w:w="1701" w:type="dxa"/>
            <w:vMerge/>
            <w:tcBorders>
              <w:left w:val="nil"/>
              <w:bottom w:val="single" w:sz="4" w:space="0" w:color="auto"/>
              <w:right w:val="single" w:sz="4" w:space="0" w:color="auto"/>
            </w:tcBorders>
            <w:shd w:val="clear" w:color="auto" w:fill="FFFFFF"/>
          </w:tcPr>
          <w:p w14:paraId="5D57CF70" w14:textId="77777777" w:rsidR="00E02F30" w:rsidRPr="00E02F30" w:rsidRDefault="00E02F30" w:rsidP="00E02F30">
            <w:pPr>
              <w:spacing w:after="0" w:line="276" w:lineRule="auto"/>
              <w:jc w:val="both"/>
              <w:rPr>
                <w:rFonts w:eastAsia="Times New Roman" w:cs="Arial"/>
                <w:sz w:val="20"/>
                <w:szCs w:val="20"/>
                <w:lang w:eastAsia="pl-PL"/>
              </w:rPr>
            </w:pPr>
          </w:p>
        </w:tc>
      </w:tr>
      <w:tr w:rsidR="00E02F30" w:rsidRPr="00E02F30" w14:paraId="2706FCDC" w14:textId="77777777" w:rsidTr="00A1631B">
        <w:trPr>
          <w:trHeight w:val="555"/>
        </w:trPr>
        <w:tc>
          <w:tcPr>
            <w:tcW w:w="453" w:type="dxa"/>
            <w:tcBorders>
              <w:top w:val="nil"/>
              <w:left w:val="single" w:sz="4" w:space="0" w:color="auto"/>
              <w:bottom w:val="single" w:sz="4" w:space="0" w:color="auto"/>
              <w:right w:val="single" w:sz="4" w:space="0" w:color="auto"/>
            </w:tcBorders>
            <w:shd w:val="clear" w:color="auto" w:fill="FFFFFF"/>
            <w:hideMark/>
          </w:tcPr>
          <w:p w14:paraId="695C51B9"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1.1</w:t>
            </w:r>
          </w:p>
        </w:tc>
        <w:tc>
          <w:tcPr>
            <w:tcW w:w="1819" w:type="dxa"/>
            <w:tcBorders>
              <w:top w:val="nil"/>
              <w:left w:val="nil"/>
              <w:bottom w:val="single" w:sz="4" w:space="0" w:color="auto"/>
              <w:right w:val="single" w:sz="4" w:space="0" w:color="auto"/>
            </w:tcBorders>
            <w:shd w:val="clear" w:color="auto" w:fill="FFFFFF"/>
            <w:hideMark/>
          </w:tcPr>
          <w:p w14:paraId="15B80C43"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 xml:space="preserve">Ścieki z łapacza komorowego szlamów, ścieki z pomp próżniowych </w:t>
            </w:r>
            <w:r w:rsidRPr="00E02F30">
              <w:rPr>
                <w:rFonts w:eastAsia="Times New Roman" w:cs="Arial"/>
                <w:sz w:val="20"/>
                <w:szCs w:val="20"/>
                <w:lang w:eastAsia="pl-PL"/>
              </w:rPr>
              <w:br/>
              <w:t>i hermetyzacji kwaśnej</w:t>
            </w:r>
          </w:p>
        </w:tc>
        <w:tc>
          <w:tcPr>
            <w:tcW w:w="960" w:type="dxa"/>
            <w:tcBorders>
              <w:top w:val="nil"/>
              <w:left w:val="nil"/>
              <w:bottom w:val="single" w:sz="4" w:space="0" w:color="auto"/>
              <w:right w:val="single" w:sz="4" w:space="0" w:color="auto"/>
            </w:tcBorders>
            <w:shd w:val="clear" w:color="auto" w:fill="FFFFFF"/>
            <w:vAlign w:val="center"/>
            <w:hideMark/>
          </w:tcPr>
          <w:p w14:paraId="50BB28F3"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90,7</w:t>
            </w:r>
          </w:p>
        </w:tc>
        <w:tc>
          <w:tcPr>
            <w:tcW w:w="924" w:type="dxa"/>
            <w:tcBorders>
              <w:top w:val="nil"/>
              <w:left w:val="nil"/>
              <w:bottom w:val="single" w:sz="4" w:space="0" w:color="auto"/>
              <w:right w:val="single" w:sz="4" w:space="0" w:color="auto"/>
            </w:tcBorders>
            <w:shd w:val="clear" w:color="auto" w:fill="FFFFFF"/>
            <w:vAlign w:val="center"/>
            <w:hideMark/>
          </w:tcPr>
          <w:p w14:paraId="371EDE7A"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77,6</w:t>
            </w:r>
          </w:p>
        </w:tc>
        <w:tc>
          <w:tcPr>
            <w:tcW w:w="992" w:type="dxa"/>
            <w:tcBorders>
              <w:top w:val="nil"/>
              <w:left w:val="nil"/>
              <w:bottom w:val="single" w:sz="4" w:space="0" w:color="auto"/>
              <w:right w:val="single" w:sz="4" w:space="0" w:color="auto"/>
            </w:tcBorders>
            <w:shd w:val="clear" w:color="auto" w:fill="FFFFFF"/>
            <w:vAlign w:val="center"/>
            <w:hideMark/>
          </w:tcPr>
          <w:p w14:paraId="3649ACE3"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27 500</w:t>
            </w:r>
          </w:p>
        </w:tc>
        <w:tc>
          <w:tcPr>
            <w:tcW w:w="1294" w:type="dxa"/>
            <w:tcBorders>
              <w:top w:val="nil"/>
              <w:left w:val="nil"/>
              <w:bottom w:val="single" w:sz="4" w:space="0" w:color="auto"/>
              <w:right w:val="single" w:sz="4" w:space="0" w:color="auto"/>
            </w:tcBorders>
            <w:shd w:val="clear" w:color="auto" w:fill="FFFFFF"/>
            <w:hideMark/>
          </w:tcPr>
          <w:p w14:paraId="437A4DA4" w14:textId="77777777" w:rsidR="00E02F30" w:rsidRPr="00E02F30" w:rsidRDefault="00E02F30" w:rsidP="00E02F30">
            <w:pPr>
              <w:spacing w:after="0" w:line="276" w:lineRule="auto"/>
              <w:jc w:val="both"/>
              <w:rPr>
                <w:rFonts w:eastAsia="Times New Roman" w:cs="Arial"/>
                <w:sz w:val="20"/>
                <w:szCs w:val="20"/>
                <w:lang w:eastAsia="pl-PL"/>
              </w:rPr>
            </w:pPr>
            <w:proofErr w:type="spellStart"/>
            <w:r w:rsidRPr="00E02F30">
              <w:rPr>
                <w:rFonts w:eastAsia="Times New Roman" w:cs="Arial"/>
                <w:sz w:val="20"/>
                <w:szCs w:val="20"/>
                <w:lang w:eastAsia="pl-PL"/>
              </w:rPr>
              <w:t>ChZT</w:t>
            </w:r>
            <w:r w:rsidRPr="00E02F30">
              <w:rPr>
                <w:rFonts w:eastAsia="Times New Roman" w:cs="Arial"/>
                <w:sz w:val="20"/>
                <w:szCs w:val="20"/>
                <w:vertAlign w:val="subscript"/>
                <w:lang w:eastAsia="pl-PL"/>
              </w:rPr>
              <w:t>Cr</w:t>
            </w:r>
            <w:proofErr w:type="spellEnd"/>
            <w:r w:rsidRPr="00E02F30">
              <w:rPr>
                <w:rFonts w:eastAsia="Times New Roman" w:cs="Arial"/>
                <w:sz w:val="20"/>
                <w:szCs w:val="20"/>
                <w:lang w:eastAsia="pl-PL"/>
              </w:rPr>
              <w:t xml:space="preserve"> [mgO</w:t>
            </w:r>
            <w:r w:rsidRPr="00E02F30">
              <w:rPr>
                <w:rFonts w:eastAsia="Times New Roman" w:cs="Arial"/>
                <w:sz w:val="20"/>
                <w:szCs w:val="20"/>
                <w:vertAlign w:val="subscript"/>
                <w:lang w:eastAsia="pl-PL"/>
              </w:rPr>
              <w:t>2</w:t>
            </w:r>
            <w:r w:rsidRPr="00E02F30">
              <w:rPr>
                <w:rFonts w:eastAsia="Times New Roman" w:cs="Arial"/>
                <w:sz w:val="20"/>
                <w:szCs w:val="20"/>
                <w:lang w:eastAsia="pl-PL"/>
              </w:rPr>
              <w:t xml:space="preserve">/l] </w:t>
            </w:r>
          </w:p>
        </w:tc>
        <w:tc>
          <w:tcPr>
            <w:tcW w:w="1148" w:type="dxa"/>
            <w:tcBorders>
              <w:top w:val="nil"/>
              <w:left w:val="nil"/>
              <w:bottom w:val="single" w:sz="4" w:space="0" w:color="auto"/>
              <w:right w:val="single" w:sz="4" w:space="0" w:color="auto"/>
            </w:tcBorders>
            <w:shd w:val="clear" w:color="auto" w:fill="FFFFFF"/>
            <w:hideMark/>
          </w:tcPr>
          <w:p w14:paraId="460169DD"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56 000</w:t>
            </w:r>
          </w:p>
        </w:tc>
        <w:tc>
          <w:tcPr>
            <w:tcW w:w="1701" w:type="dxa"/>
            <w:vMerge w:val="restart"/>
            <w:tcBorders>
              <w:top w:val="nil"/>
              <w:left w:val="nil"/>
              <w:right w:val="single" w:sz="4" w:space="0" w:color="auto"/>
            </w:tcBorders>
            <w:shd w:val="clear" w:color="auto" w:fill="FFFFFF"/>
          </w:tcPr>
          <w:p w14:paraId="3F472298"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Punkt poboru Z-1</w:t>
            </w:r>
          </w:p>
        </w:tc>
      </w:tr>
      <w:tr w:rsidR="00E02F30" w:rsidRPr="00E02F30" w14:paraId="30B8D5C8" w14:textId="77777777" w:rsidTr="00A1631B">
        <w:trPr>
          <w:trHeight w:val="555"/>
        </w:trPr>
        <w:tc>
          <w:tcPr>
            <w:tcW w:w="453" w:type="dxa"/>
            <w:tcBorders>
              <w:top w:val="nil"/>
              <w:left w:val="single" w:sz="4" w:space="0" w:color="auto"/>
              <w:bottom w:val="single" w:sz="4" w:space="0" w:color="auto"/>
              <w:right w:val="single" w:sz="4" w:space="0" w:color="auto"/>
            </w:tcBorders>
            <w:shd w:val="clear" w:color="auto" w:fill="FFFFFF"/>
            <w:hideMark/>
          </w:tcPr>
          <w:p w14:paraId="521F3D04"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1.2</w:t>
            </w:r>
          </w:p>
        </w:tc>
        <w:tc>
          <w:tcPr>
            <w:tcW w:w="1819" w:type="dxa"/>
            <w:tcBorders>
              <w:top w:val="nil"/>
              <w:left w:val="nil"/>
              <w:bottom w:val="single" w:sz="4" w:space="0" w:color="auto"/>
              <w:right w:val="single" w:sz="4" w:space="0" w:color="auto"/>
            </w:tcBorders>
            <w:shd w:val="clear" w:color="auto" w:fill="FFFFFF"/>
            <w:hideMark/>
          </w:tcPr>
          <w:p w14:paraId="1374AC08"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ścieki z mis zbiorników magazynowych i pomp</w:t>
            </w:r>
          </w:p>
        </w:tc>
        <w:tc>
          <w:tcPr>
            <w:tcW w:w="960" w:type="dxa"/>
            <w:tcBorders>
              <w:top w:val="nil"/>
              <w:left w:val="nil"/>
              <w:bottom w:val="single" w:sz="4" w:space="0" w:color="auto"/>
              <w:right w:val="single" w:sz="4" w:space="0" w:color="auto"/>
            </w:tcBorders>
            <w:shd w:val="clear" w:color="auto" w:fill="FFFFFF"/>
            <w:vAlign w:val="center"/>
            <w:hideMark/>
          </w:tcPr>
          <w:p w14:paraId="7DF85FC2"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6</w:t>
            </w:r>
          </w:p>
        </w:tc>
        <w:tc>
          <w:tcPr>
            <w:tcW w:w="924" w:type="dxa"/>
            <w:tcBorders>
              <w:top w:val="nil"/>
              <w:left w:val="nil"/>
              <w:bottom w:val="single" w:sz="4" w:space="0" w:color="auto"/>
              <w:right w:val="single" w:sz="4" w:space="0" w:color="auto"/>
            </w:tcBorders>
            <w:shd w:val="clear" w:color="auto" w:fill="FFFFFF"/>
            <w:vAlign w:val="center"/>
            <w:hideMark/>
          </w:tcPr>
          <w:p w14:paraId="3C7E7FCD"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4,3</w:t>
            </w:r>
          </w:p>
        </w:tc>
        <w:tc>
          <w:tcPr>
            <w:tcW w:w="992" w:type="dxa"/>
            <w:tcBorders>
              <w:top w:val="nil"/>
              <w:left w:val="nil"/>
              <w:bottom w:val="single" w:sz="4" w:space="0" w:color="auto"/>
              <w:right w:val="single" w:sz="4" w:space="0" w:color="auto"/>
            </w:tcBorders>
            <w:shd w:val="clear" w:color="auto" w:fill="FFFFFF"/>
            <w:vAlign w:val="center"/>
            <w:hideMark/>
          </w:tcPr>
          <w:p w14:paraId="5BF9ABB8"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2 350</w:t>
            </w:r>
          </w:p>
        </w:tc>
        <w:tc>
          <w:tcPr>
            <w:tcW w:w="1294" w:type="dxa"/>
            <w:tcBorders>
              <w:top w:val="nil"/>
              <w:left w:val="nil"/>
              <w:bottom w:val="single" w:sz="4" w:space="0" w:color="auto"/>
              <w:right w:val="single" w:sz="4" w:space="0" w:color="auto"/>
            </w:tcBorders>
            <w:shd w:val="clear" w:color="auto" w:fill="FFFFFF"/>
            <w:hideMark/>
          </w:tcPr>
          <w:p w14:paraId="143DA04B" w14:textId="77777777" w:rsidR="00E02F30" w:rsidRPr="00E02F30" w:rsidRDefault="00E02F30" w:rsidP="00E02F30">
            <w:pPr>
              <w:spacing w:after="0" w:line="276" w:lineRule="auto"/>
              <w:jc w:val="both"/>
              <w:rPr>
                <w:rFonts w:eastAsia="Times New Roman" w:cs="Arial"/>
                <w:sz w:val="20"/>
                <w:szCs w:val="20"/>
                <w:lang w:eastAsia="pl-PL"/>
              </w:rPr>
            </w:pPr>
            <w:proofErr w:type="spellStart"/>
            <w:r w:rsidRPr="00E02F30">
              <w:rPr>
                <w:rFonts w:eastAsia="Times New Roman" w:cs="Arial"/>
                <w:sz w:val="20"/>
                <w:szCs w:val="20"/>
                <w:lang w:eastAsia="pl-PL"/>
              </w:rPr>
              <w:t>ChZT</w:t>
            </w:r>
            <w:r w:rsidRPr="00E02F30">
              <w:rPr>
                <w:rFonts w:eastAsia="Times New Roman" w:cs="Arial"/>
                <w:sz w:val="20"/>
                <w:szCs w:val="20"/>
                <w:vertAlign w:val="subscript"/>
                <w:lang w:eastAsia="pl-PL"/>
              </w:rPr>
              <w:t>Cr</w:t>
            </w:r>
            <w:proofErr w:type="spellEnd"/>
            <w:r w:rsidRPr="00E02F30">
              <w:rPr>
                <w:rFonts w:eastAsia="Times New Roman" w:cs="Arial"/>
                <w:sz w:val="20"/>
                <w:szCs w:val="20"/>
                <w:lang w:eastAsia="pl-PL"/>
              </w:rPr>
              <w:t xml:space="preserve"> [mgO</w:t>
            </w:r>
            <w:r w:rsidRPr="00E02F30">
              <w:rPr>
                <w:rFonts w:eastAsia="Times New Roman" w:cs="Arial"/>
                <w:sz w:val="20"/>
                <w:szCs w:val="20"/>
                <w:vertAlign w:val="subscript"/>
                <w:lang w:eastAsia="pl-PL"/>
              </w:rPr>
              <w:t>2</w:t>
            </w:r>
            <w:r w:rsidRPr="00E02F30">
              <w:rPr>
                <w:rFonts w:eastAsia="Times New Roman" w:cs="Arial"/>
                <w:sz w:val="20"/>
                <w:szCs w:val="20"/>
                <w:lang w:eastAsia="pl-PL"/>
              </w:rPr>
              <w:t>/l]</w:t>
            </w:r>
          </w:p>
        </w:tc>
        <w:tc>
          <w:tcPr>
            <w:tcW w:w="1148" w:type="dxa"/>
            <w:tcBorders>
              <w:top w:val="nil"/>
              <w:left w:val="nil"/>
              <w:bottom w:val="single" w:sz="4" w:space="0" w:color="auto"/>
              <w:right w:val="single" w:sz="4" w:space="0" w:color="auto"/>
            </w:tcBorders>
            <w:shd w:val="clear" w:color="auto" w:fill="FFFFFF"/>
            <w:hideMark/>
          </w:tcPr>
          <w:p w14:paraId="1B3B06AF"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3 500</w:t>
            </w:r>
          </w:p>
        </w:tc>
        <w:tc>
          <w:tcPr>
            <w:tcW w:w="1701" w:type="dxa"/>
            <w:vMerge/>
            <w:tcBorders>
              <w:left w:val="nil"/>
              <w:bottom w:val="single" w:sz="4" w:space="0" w:color="auto"/>
              <w:right w:val="single" w:sz="4" w:space="0" w:color="auto"/>
            </w:tcBorders>
            <w:shd w:val="clear" w:color="auto" w:fill="FFFFFF"/>
          </w:tcPr>
          <w:p w14:paraId="427C2C35" w14:textId="77777777" w:rsidR="00E02F30" w:rsidRPr="00E02F30" w:rsidRDefault="00E02F30" w:rsidP="00E02F30">
            <w:pPr>
              <w:spacing w:after="0" w:line="276" w:lineRule="auto"/>
              <w:jc w:val="both"/>
              <w:rPr>
                <w:rFonts w:eastAsia="Times New Roman" w:cs="Arial"/>
                <w:sz w:val="20"/>
                <w:szCs w:val="20"/>
                <w:lang w:eastAsia="pl-PL"/>
              </w:rPr>
            </w:pPr>
          </w:p>
        </w:tc>
      </w:tr>
      <w:tr w:rsidR="00E02F30" w:rsidRPr="00E02F30" w14:paraId="648946CF" w14:textId="77777777" w:rsidTr="00A1631B">
        <w:trPr>
          <w:trHeight w:val="349"/>
        </w:trPr>
        <w:tc>
          <w:tcPr>
            <w:tcW w:w="453" w:type="dxa"/>
            <w:tcBorders>
              <w:top w:val="nil"/>
              <w:left w:val="single" w:sz="4" w:space="0" w:color="auto"/>
              <w:bottom w:val="single" w:sz="4" w:space="0" w:color="auto"/>
              <w:right w:val="single" w:sz="4" w:space="0" w:color="auto"/>
            </w:tcBorders>
            <w:shd w:val="clear" w:color="auto" w:fill="FFFFFF"/>
            <w:hideMark/>
          </w:tcPr>
          <w:p w14:paraId="3DEE1C0B"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2</w:t>
            </w:r>
          </w:p>
        </w:tc>
        <w:tc>
          <w:tcPr>
            <w:tcW w:w="8838" w:type="dxa"/>
            <w:gridSpan w:val="7"/>
            <w:tcBorders>
              <w:top w:val="nil"/>
              <w:left w:val="nil"/>
              <w:bottom w:val="single" w:sz="4" w:space="0" w:color="auto"/>
              <w:right w:val="single" w:sz="4" w:space="0" w:color="auto"/>
            </w:tcBorders>
            <w:shd w:val="clear" w:color="auto" w:fill="FFFFFF"/>
            <w:hideMark/>
          </w:tcPr>
          <w:p w14:paraId="72B6A949"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Obiekt 501</w:t>
            </w:r>
          </w:p>
        </w:tc>
      </w:tr>
      <w:tr w:rsidR="00E02F30" w:rsidRPr="00E02F30" w14:paraId="654E8D51" w14:textId="77777777" w:rsidTr="00A1631B">
        <w:trPr>
          <w:trHeight w:val="2874"/>
        </w:trPr>
        <w:tc>
          <w:tcPr>
            <w:tcW w:w="453" w:type="dxa"/>
            <w:tcBorders>
              <w:top w:val="nil"/>
              <w:left w:val="single" w:sz="4" w:space="0" w:color="auto"/>
              <w:bottom w:val="single" w:sz="4" w:space="0" w:color="auto"/>
              <w:right w:val="single" w:sz="4" w:space="0" w:color="auto"/>
            </w:tcBorders>
            <w:shd w:val="clear" w:color="auto" w:fill="FFFFFF"/>
            <w:hideMark/>
          </w:tcPr>
          <w:p w14:paraId="016E659E"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2.1</w:t>
            </w:r>
          </w:p>
        </w:tc>
        <w:tc>
          <w:tcPr>
            <w:tcW w:w="1819" w:type="dxa"/>
            <w:tcBorders>
              <w:top w:val="nil"/>
              <w:left w:val="nil"/>
              <w:bottom w:val="single" w:sz="4" w:space="0" w:color="auto"/>
              <w:right w:val="single" w:sz="4" w:space="0" w:color="auto"/>
            </w:tcBorders>
            <w:shd w:val="clear" w:color="auto" w:fill="FFFFFF"/>
            <w:hideMark/>
          </w:tcPr>
          <w:p w14:paraId="033D1FE4"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ścieki - woda poreakcyjna;</w:t>
            </w:r>
          </w:p>
          <w:p w14:paraId="5AFD17DD"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 xml:space="preserve"> z etapu kondensacji żywic (</w:t>
            </w:r>
            <w:proofErr w:type="spellStart"/>
            <w:r w:rsidRPr="00E02F30">
              <w:rPr>
                <w:rFonts w:eastAsia="Times New Roman" w:cs="Arial"/>
                <w:sz w:val="20"/>
                <w:szCs w:val="20"/>
                <w:lang w:eastAsia="pl-PL"/>
              </w:rPr>
              <w:t>alkdów</w:t>
            </w:r>
            <w:proofErr w:type="spellEnd"/>
            <w:r w:rsidRPr="00E02F30">
              <w:rPr>
                <w:rFonts w:eastAsia="Times New Roman" w:cs="Arial"/>
                <w:sz w:val="20"/>
                <w:szCs w:val="20"/>
                <w:lang w:eastAsia="pl-PL"/>
              </w:rPr>
              <w:t xml:space="preserve">), </w:t>
            </w:r>
          </w:p>
          <w:p w14:paraId="3A895ACD"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 xml:space="preserve">z produkcji poliestru nasyconego, </w:t>
            </w:r>
          </w:p>
          <w:p w14:paraId="426D5013"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z produkcji żywic KN</w:t>
            </w:r>
          </w:p>
        </w:tc>
        <w:tc>
          <w:tcPr>
            <w:tcW w:w="960" w:type="dxa"/>
            <w:tcBorders>
              <w:top w:val="nil"/>
              <w:left w:val="nil"/>
              <w:bottom w:val="single" w:sz="4" w:space="0" w:color="auto"/>
              <w:right w:val="single" w:sz="4" w:space="0" w:color="auto"/>
            </w:tcBorders>
            <w:shd w:val="clear" w:color="auto" w:fill="FFFFFF"/>
            <w:vAlign w:val="center"/>
            <w:hideMark/>
          </w:tcPr>
          <w:p w14:paraId="76A5CE6D"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1,4</w:t>
            </w:r>
          </w:p>
        </w:tc>
        <w:tc>
          <w:tcPr>
            <w:tcW w:w="924" w:type="dxa"/>
            <w:tcBorders>
              <w:top w:val="nil"/>
              <w:left w:val="nil"/>
              <w:bottom w:val="single" w:sz="4" w:space="0" w:color="auto"/>
              <w:right w:val="single" w:sz="4" w:space="0" w:color="auto"/>
            </w:tcBorders>
            <w:shd w:val="clear" w:color="auto" w:fill="FFFFFF"/>
            <w:vAlign w:val="center"/>
            <w:hideMark/>
          </w:tcPr>
          <w:p w14:paraId="51ED3085"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1,2</w:t>
            </w:r>
          </w:p>
        </w:tc>
        <w:tc>
          <w:tcPr>
            <w:tcW w:w="992" w:type="dxa"/>
            <w:tcBorders>
              <w:top w:val="nil"/>
              <w:left w:val="nil"/>
              <w:bottom w:val="single" w:sz="4" w:space="0" w:color="auto"/>
              <w:right w:val="single" w:sz="4" w:space="0" w:color="auto"/>
            </w:tcBorders>
            <w:shd w:val="clear" w:color="auto" w:fill="FFFFFF"/>
            <w:vAlign w:val="center"/>
            <w:hideMark/>
          </w:tcPr>
          <w:p w14:paraId="136B4126"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434</w:t>
            </w:r>
          </w:p>
        </w:tc>
        <w:tc>
          <w:tcPr>
            <w:tcW w:w="1294" w:type="dxa"/>
            <w:tcBorders>
              <w:top w:val="nil"/>
              <w:left w:val="nil"/>
              <w:bottom w:val="single" w:sz="4" w:space="0" w:color="auto"/>
              <w:right w:val="single" w:sz="4" w:space="0" w:color="auto"/>
            </w:tcBorders>
            <w:shd w:val="clear" w:color="auto" w:fill="FFFFFF"/>
            <w:hideMark/>
          </w:tcPr>
          <w:p w14:paraId="14AF18B0" w14:textId="77777777" w:rsidR="00E02F30" w:rsidRPr="00E02F30" w:rsidRDefault="00E02F30" w:rsidP="00E02F30">
            <w:pPr>
              <w:spacing w:after="0" w:line="276" w:lineRule="auto"/>
              <w:jc w:val="both"/>
              <w:rPr>
                <w:rFonts w:eastAsia="Times New Roman" w:cs="Arial"/>
                <w:sz w:val="20"/>
                <w:szCs w:val="20"/>
                <w:lang w:eastAsia="pl-PL"/>
              </w:rPr>
            </w:pPr>
            <w:proofErr w:type="spellStart"/>
            <w:r w:rsidRPr="00E02F30">
              <w:rPr>
                <w:rFonts w:eastAsia="Times New Roman" w:cs="Arial"/>
                <w:sz w:val="20"/>
                <w:szCs w:val="20"/>
                <w:lang w:eastAsia="pl-PL"/>
              </w:rPr>
              <w:t>ChZT</w:t>
            </w:r>
            <w:r w:rsidRPr="00E02F30">
              <w:rPr>
                <w:rFonts w:eastAsia="Times New Roman" w:cs="Arial"/>
                <w:sz w:val="20"/>
                <w:szCs w:val="20"/>
                <w:vertAlign w:val="subscript"/>
                <w:lang w:eastAsia="pl-PL"/>
              </w:rPr>
              <w:t>Cr</w:t>
            </w:r>
            <w:proofErr w:type="spellEnd"/>
            <w:r w:rsidRPr="00E02F30">
              <w:rPr>
                <w:rFonts w:eastAsia="Times New Roman" w:cs="Arial"/>
                <w:sz w:val="20"/>
                <w:szCs w:val="20"/>
                <w:lang w:eastAsia="pl-PL"/>
              </w:rPr>
              <w:t xml:space="preserve"> [mgO</w:t>
            </w:r>
            <w:r w:rsidRPr="00E02F30">
              <w:rPr>
                <w:rFonts w:eastAsia="Times New Roman" w:cs="Arial"/>
                <w:sz w:val="20"/>
                <w:szCs w:val="20"/>
                <w:vertAlign w:val="subscript"/>
                <w:lang w:eastAsia="pl-PL"/>
              </w:rPr>
              <w:t>2</w:t>
            </w:r>
            <w:r w:rsidRPr="00E02F30">
              <w:rPr>
                <w:rFonts w:eastAsia="Times New Roman" w:cs="Arial"/>
                <w:sz w:val="20"/>
                <w:szCs w:val="20"/>
                <w:lang w:eastAsia="pl-PL"/>
              </w:rPr>
              <w:t>/l]</w:t>
            </w:r>
          </w:p>
          <w:p w14:paraId="1C52CF2A"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 xml:space="preserve">Odczyn </w:t>
            </w:r>
            <w:proofErr w:type="spellStart"/>
            <w:r w:rsidRPr="00E02F30">
              <w:rPr>
                <w:rFonts w:eastAsia="Times New Roman" w:cs="Arial"/>
                <w:sz w:val="20"/>
                <w:szCs w:val="20"/>
                <w:lang w:eastAsia="pl-PL"/>
              </w:rPr>
              <w:t>pH</w:t>
            </w:r>
            <w:proofErr w:type="spellEnd"/>
          </w:p>
          <w:p w14:paraId="2FE22CB7"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Azot amonowy [mg N</w:t>
            </w:r>
            <w:r w:rsidRPr="00E02F30">
              <w:rPr>
                <w:rFonts w:eastAsia="Times New Roman" w:cs="Arial"/>
                <w:sz w:val="20"/>
                <w:szCs w:val="20"/>
                <w:vertAlign w:val="subscript"/>
                <w:lang w:eastAsia="pl-PL"/>
              </w:rPr>
              <w:t>NH3</w:t>
            </w:r>
            <w:r w:rsidRPr="00E02F30">
              <w:rPr>
                <w:rFonts w:eastAsia="Times New Roman" w:cs="Arial"/>
                <w:sz w:val="20"/>
                <w:szCs w:val="20"/>
                <w:lang w:eastAsia="pl-PL"/>
              </w:rPr>
              <w:t>/l]</w:t>
            </w:r>
          </w:p>
        </w:tc>
        <w:tc>
          <w:tcPr>
            <w:tcW w:w="1148" w:type="dxa"/>
            <w:tcBorders>
              <w:top w:val="nil"/>
              <w:left w:val="nil"/>
              <w:bottom w:val="single" w:sz="4" w:space="0" w:color="auto"/>
              <w:right w:val="single" w:sz="4" w:space="0" w:color="auto"/>
            </w:tcBorders>
            <w:shd w:val="clear" w:color="auto" w:fill="FFFFFF"/>
            <w:hideMark/>
          </w:tcPr>
          <w:p w14:paraId="12DA33A3"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170 000</w:t>
            </w:r>
          </w:p>
          <w:p w14:paraId="57FBAECF"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12</w:t>
            </w:r>
          </w:p>
          <w:p w14:paraId="6D6E16AF"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150</w:t>
            </w:r>
          </w:p>
        </w:tc>
        <w:tc>
          <w:tcPr>
            <w:tcW w:w="1701" w:type="dxa"/>
            <w:tcBorders>
              <w:top w:val="nil"/>
              <w:left w:val="nil"/>
              <w:bottom w:val="single" w:sz="4" w:space="0" w:color="auto"/>
              <w:right w:val="single" w:sz="4" w:space="0" w:color="auto"/>
            </w:tcBorders>
            <w:shd w:val="clear" w:color="auto" w:fill="FFFFFF"/>
            <w:vAlign w:val="center"/>
          </w:tcPr>
          <w:p w14:paraId="33692F76"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Punkt poboru Z-2</w:t>
            </w:r>
          </w:p>
        </w:tc>
      </w:tr>
      <w:tr w:rsidR="00E02F30" w:rsidRPr="00E02F30" w14:paraId="32A178DA" w14:textId="77777777" w:rsidTr="00A1631B">
        <w:trPr>
          <w:trHeight w:val="1211"/>
        </w:trPr>
        <w:tc>
          <w:tcPr>
            <w:tcW w:w="453" w:type="dxa"/>
            <w:tcBorders>
              <w:top w:val="nil"/>
              <w:left w:val="single" w:sz="4" w:space="0" w:color="auto"/>
              <w:bottom w:val="single" w:sz="4" w:space="0" w:color="auto"/>
              <w:right w:val="single" w:sz="4" w:space="0" w:color="auto"/>
            </w:tcBorders>
            <w:shd w:val="clear" w:color="auto" w:fill="FFFFFF"/>
            <w:hideMark/>
          </w:tcPr>
          <w:p w14:paraId="11905942"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2.2</w:t>
            </w:r>
          </w:p>
        </w:tc>
        <w:tc>
          <w:tcPr>
            <w:tcW w:w="1819" w:type="dxa"/>
            <w:tcBorders>
              <w:top w:val="nil"/>
              <w:left w:val="nil"/>
              <w:bottom w:val="single" w:sz="4" w:space="0" w:color="auto"/>
              <w:right w:val="single" w:sz="4" w:space="0" w:color="auto"/>
            </w:tcBorders>
            <w:shd w:val="clear" w:color="auto" w:fill="FFFFFF"/>
            <w:hideMark/>
          </w:tcPr>
          <w:p w14:paraId="69BD03FA" w14:textId="77777777" w:rsidR="00E02F30" w:rsidRPr="00E02F30" w:rsidRDefault="00E02F30" w:rsidP="00E02F30">
            <w:pPr>
              <w:spacing w:after="0" w:line="276" w:lineRule="auto"/>
              <w:jc w:val="both"/>
              <w:rPr>
                <w:rFonts w:eastAsia="Times New Roman" w:cs="Arial"/>
                <w:sz w:val="20"/>
                <w:szCs w:val="20"/>
                <w:highlight w:val="yellow"/>
                <w:lang w:eastAsia="pl-PL"/>
              </w:rPr>
            </w:pPr>
            <w:r w:rsidRPr="00E02F30">
              <w:rPr>
                <w:rFonts w:eastAsia="Times New Roman" w:cs="Arial"/>
                <w:sz w:val="20"/>
                <w:szCs w:val="20"/>
                <w:lang w:eastAsia="pl-PL"/>
              </w:rPr>
              <w:t>ścieki (woda poreakcyjna) z produkcji żywic na bazie DCPD</w:t>
            </w:r>
          </w:p>
        </w:tc>
        <w:tc>
          <w:tcPr>
            <w:tcW w:w="960" w:type="dxa"/>
            <w:tcBorders>
              <w:top w:val="nil"/>
              <w:left w:val="nil"/>
              <w:bottom w:val="single" w:sz="4" w:space="0" w:color="auto"/>
              <w:right w:val="single" w:sz="4" w:space="0" w:color="auto"/>
            </w:tcBorders>
            <w:shd w:val="clear" w:color="auto" w:fill="FFFFFF"/>
            <w:vAlign w:val="center"/>
            <w:hideMark/>
          </w:tcPr>
          <w:p w14:paraId="134E8735"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2,0</w:t>
            </w:r>
          </w:p>
        </w:tc>
        <w:tc>
          <w:tcPr>
            <w:tcW w:w="924" w:type="dxa"/>
            <w:tcBorders>
              <w:top w:val="nil"/>
              <w:left w:val="nil"/>
              <w:bottom w:val="single" w:sz="4" w:space="0" w:color="auto"/>
              <w:right w:val="single" w:sz="4" w:space="0" w:color="auto"/>
            </w:tcBorders>
            <w:shd w:val="clear" w:color="auto" w:fill="FFFFFF"/>
            <w:vAlign w:val="center"/>
            <w:hideMark/>
          </w:tcPr>
          <w:p w14:paraId="46A5B99F"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1,0</w:t>
            </w:r>
          </w:p>
        </w:tc>
        <w:tc>
          <w:tcPr>
            <w:tcW w:w="992" w:type="dxa"/>
            <w:tcBorders>
              <w:top w:val="nil"/>
              <w:left w:val="nil"/>
              <w:bottom w:val="single" w:sz="4" w:space="0" w:color="auto"/>
              <w:right w:val="single" w:sz="4" w:space="0" w:color="auto"/>
            </w:tcBorders>
            <w:shd w:val="clear" w:color="auto" w:fill="FFFFFF"/>
            <w:vAlign w:val="center"/>
            <w:hideMark/>
          </w:tcPr>
          <w:p w14:paraId="5ECED988"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400</w:t>
            </w:r>
          </w:p>
        </w:tc>
        <w:tc>
          <w:tcPr>
            <w:tcW w:w="1294" w:type="dxa"/>
            <w:tcBorders>
              <w:top w:val="nil"/>
              <w:left w:val="nil"/>
              <w:bottom w:val="single" w:sz="4" w:space="0" w:color="auto"/>
              <w:right w:val="single" w:sz="4" w:space="0" w:color="auto"/>
            </w:tcBorders>
            <w:shd w:val="clear" w:color="auto" w:fill="FFFFFF"/>
            <w:hideMark/>
          </w:tcPr>
          <w:p w14:paraId="407C2F44" w14:textId="77777777" w:rsidR="00E02F30" w:rsidRPr="00E02F30" w:rsidRDefault="00E02F30" w:rsidP="00E02F30">
            <w:pPr>
              <w:spacing w:after="0" w:line="276" w:lineRule="auto"/>
              <w:jc w:val="both"/>
              <w:rPr>
                <w:rFonts w:eastAsia="Times New Roman" w:cs="Arial"/>
                <w:sz w:val="20"/>
                <w:szCs w:val="20"/>
                <w:lang w:eastAsia="pl-PL"/>
              </w:rPr>
            </w:pPr>
            <w:proofErr w:type="spellStart"/>
            <w:r w:rsidRPr="00E02F30">
              <w:rPr>
                <w:rFonts w:eastAsia="Times New Roman" w:cs="Arial"/>
                <w:sz w:val="20"/>
                <w:szCs w:val="20"/>
                <w:lang w:eastAsia="pl-PL"/>
              </w:rPr>
              <w:t>ChZT</w:t>
            </w:r>
            <w:r w:rsidRPr="00E02F30">
              <w:rPr>
                <w:rFonts w:eastAsia="Times New Roman" w:cs="Arial"/>
                <w:sz w:val="20"/>
                <w:szCs w:val="20"/>
                <w:vertAlign w:val="subscript"/>
                <w:lang w:eastAsia="pl-PL"/>
              </w:rPr>
              <w:t>Cr</w:t>
            </w:r>
            <w:proofErr w:type="spellEnd"/>
            <w:r w:rsidRPr="00E02F30">
              <w:rPr>
                <w:rFonts w:eastAsia="Times New Roman" w:cs="Arial"/>
                <w:sz w:val="20"/>
                <w:szCs w:val="20"/>
                <w:lang w:eastAsia="pl-PL"/>
              </w:rPr>
              <w:t xml:space="preserve"> [mgO</w:t>
            </w:r>
            <w:r w:rsidRPr="00E02F30">
              <w:rPr>
                <w:rFonts w:eastAsia="Times New Roman" w:cs="Arial"/>
                <w:sz w:val="20"/>
                <w:szCs w:val="20"/>
                <w:vertAlign w:val="subscript"/>
                <w:lang w:eastAsia="pl-PL"/>
              </w:rPr>
              <w:t>2</w:t>
            </w:r>
            <w:r w:rsidRPr="00E02F30">
              <w:rPr>
                <w:rFonts w:eastAsia="Times New Roman" w:cs="Arial"/>
                <w:sz w:val="20"/>
                <w:szCs w:val="20"/>
                <w:lang w:eastAsia="pl-PL"/>
              </w:rPr>
              <w:t>/l]</w:t>
            </w:r>
            <w:r w:rsidRPr="00E02F30">
              <w:rPr>
                <w:rFonts w:eastAsia="Times New Roman" w:cs="Arial"/>
                <w:sz w:val="20"/>
                <w:szCs w:val="20"/>
                <w:lang w:eastAsia="pl-PL"/>
              </w:rPr>
              <w:br/>
              <w:t xml:space="preserve">Odczyn </w:t>
            </w:r>
            <w:proofErr w:type="spellStart"/>
            <w:r w:rsidRPr="00E02F30">
              <w:rPr>
                <w:rFonts w:eastAsia="Times New Roman" w:cs="Arial"/>
                <w:sz w:val="20"/>
                <w:szCs w:val="20"/>
                <w:lang w:eastAsia="pl-PL"/>
              </w:rPr>
              <w:t>pH</w:t>
            </w:r>
            <w:proofErr w:type="spellEnd"/>
          </w:p>
        </w:tc>
        <w:tc>
          <w:tcPr>
            <w:tcW w:w="1148" w:type="dxa"/>
            <w:tcBorders>
              <w:top w:val="nil"/>
              <w:left w:val="nil"/>
              <w:bottom w:val="single" w:sz="4" w:space="0" w:color="auto"/>
              <w:right w:val="single" w:sz="4" w:space="0" w:color="auto"/>
            </w:tcBorders>
            <w:shd w:val="clear" w:color="auto" w:fill="FFFFFF"/>
            <w:hideMark/>
          </w:tcPr>
          <w:p w14:paraId="772E1D04"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170 000</w:t>
            </w:r>
            <w:r w:rsidRPr="00E02F30">
              <w:rPr>
                <w:rFonts w:eastAsia="Times New Roman" w:cs="Arial"/>
                <w:sz w:val="20"/>
                <w:szCs w:val="20"/>
                <w:lang w:eastAsia="pl-PL"/>
              </w:rPr>
              <w:br/>
              <w:t>12</w:t>
            </w:r>
          </w:p>
        </w:tc>
        <w:tc>
          <w:tcPr>
            <w:tcW w:w="1701" w:type="dxa"/>
            <w:tcBorders>
              <w:top w:val="nil"/>
              <w:left w:val="nil"/>
              <w:bottom w:val="single" w:sz="4" w:space="0" w:color="auto"/>
              <w:right w:val="single" w:sz="4" w:space="0" w:color="auto"/>
            </w:tcBorders>
            <w:shd w:val="clear" w:color="auto" w:fill="FFFFFF"/>
            <w:vAlign w:val="center"/>
          </w:tcPr>
          <w:p w14:paraId="3F1C1013"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 xml:space="preserve">Pojemnik </w:t>
            </w:r>
            <w:r w:rsidRPr="00E02F30">
              <w:rPr>
                <w:rFonts w:eastAsia="Times New Roman" w:cs="Arial"/>
                <w:sz w:val="20"/>
                <w:szCs w:val="20"/>
                <w:lang w:eastAsia="pl-PL"/>
              </w:rPr>
              <w:br/>
              <w:t>jednostkowy</w:t>
            </w:r>
          </w:p>
        </w:tc>
      </w:tr>
    </w:tbl>
    <w:p w14:paraId="77A615C3" w14:textId="77777777" w:rsidR="00E02F30" w:rsidRPr="00E02F30" w:rsidRDefault="00E02F30" w:rsidP="00E02F30">
      <w:pPr>
        <w:suppressLineNumbers/>
        <w:autoSpaceDE w:val="0"/>
        <w:autoSpaceDN w:val="0"/>
        <w:adjustRightInd w:val="0"/>
        <w:spacing w:after="0" w:line="276" w:lineRule="auto"/>
        <w:ind w:firstLine="426"/>
        <w:contextualSpacing/>
        <w:jc w:val="both"/>
        <w:rPr>
          <w:rFonts w:eastAsia="Times New Roman" w:cs="Arial"/>
          <w:color w:val="000000"/>
          <w:szCs w:val="24"/>
          <w:lang w:eastAsia="pl-PL"/>
        </w:rPr>
      </w:pPr>
    </w:p>
    <w:p w14:paraId="399DE07D" w14:textId="77777777" w:rsidR="00E02F30" w:rsidRPr="00E02F30" w:rsidRDefault="00E02F30" w:rsidP="00E02F30">
      <w:pPr>
        <w:keepNext/>
        <w:widowControl w:val="0"/>
        <w:adjustRightInd w:val="0"/>
        <w:spacing w:after="0" w:line="276" w:lineRule="auto"/>
        <w:jc w:val="both"/>
        <w:textAlignment w:val="baseline"/>
        <w:outlineLvl w:val="2"/>
        <w:rPr>
          <w:rFonts w:eastAsia="Calibri" w:cs="Times New Roman"/>
          <w:b/>
          <w:szCs w:val="20"/>
        </w:rPr>
      </w:pPr>
      <w:r w:rsidRPr="00E02F30">
        <w:rPr>
          <w:rFonts w:eastAsia="Calibri" w:cs="Times New Roman"/>
          <w:b/>
          <w:szCs w:val="20"/>
        </w:rPr>
        <w:t xml:space="preserve">II.3. </w:t>
      </w:r>
      <w:bookmarkStart w:id="6" w:name="_Hlk172552597"/>
      <w:r w:rsidRPr="00E02F30">
        <w:rPr>
          <w:rFonts w:eastAsia="Calibri" w:cs="Times New Roman"/>
          <w:b/>
          <w:szCs w:val="20"/>
        </w:rPr>
        <w:t xml:space="preserve">Dopuszczalne rodzaje i ilości odpadów, podstawowy skład chemiczny </w:t>
      </w:r>
      <w:r w:rsidRPr="00E02F30">
        <w:rPr>
          <w:rFonts w:eastAsia="Calibri" w:cs="Times New Roman"/>
          <w:b/>
          <w:szCs w:val="20"/>
        </w:rPr>
        <w:br/>
        <w:t>i właściwości wytwarzanych odpadów oraz sposób, miejsce magazynowania oraz sposób dalszego zagospodarowania.</w:t>
      </w:r>
    </w:p>
    <w:bookmarkEnd w:id="6"/>
    <w:p w14:paraId="78B9DE9E" w14:textId="77777777" w:rsidR="00E02F30" w:rsidRPr="00E02F30" w:rsidRDefault="00E02F30" w:rsidP="00E02F30">
      <w:pPr>
        <w:keepNext/>
        <w:widowControl w:val="0"/>
        <w:adjustRightInd w:val="0"/>
        <w:spacing w:after="0" w:line="276" w:lineRule="auto"/>
        <w:jc w:val="both"/>
        <w:textAlignment w:val="baseline"/>
        <w:outlineLvl w:val="3"/>
        <w:rPr>
          <w:rFonts w:eastAsia="Calibri" w:cs="Times New Roman"/>
          <w:bCs/>
          <w:szCs w:val="20"/>
        </w:rPr>
      </w:pPr>
      <w:r w:rsidRPr="00E02F30">
        <w:rPr>
          <w:rFonts w:eastAsia="Calibri" w:cs="Times New Roman"/>
          <w:b/>
          <w:szCs w:val="20"/>
        </w:rPr>
        <w:t xml:space="preserve">II.3.1. </w:t>
      </w:r>
      <w:bookmarkStart w:id="7" w:name="_Toc146792712"/>
      <w:r w:rsidRPr="00E02F30">
        <w:rPr>
          <w:rFonts w:eastAsia="Calibri" w:cs="Times New Roman"/>
          <w:bCs/>
          <w:szCs w:val="20"/>
        </w:rPr>
        <w:t>Dopuszczalne rodzaje i ilości wytwarzanych odpadów niebezpiecznych oraz innych niż niebezpieczne, podstawowy skład chemiczny i właściwości wytwarzanych odpadów oraz sposób, miejsce magazynowania i sposób dalszego ich zagospodarowania.</w:t>
      </w:r>
    </w:p>
    <w:p w14:paraId="0D9E50FB" w14:textId="77777777" w:rsidR="00E02F30" w:rsidRPr="00E02F30" w:rsidRDefault="00E02F30" w:rsidP="00E02F30">
      <w:pPr>
        <w:spacing w:after="0" w:line="240" w:lineRule="auto"/>
        <w:jc w:val="center"/>
        <w:rPr>
          <w:rFonts w:eastAsia="Times New Roman" w:cs="Times New Roman"/>
          <w:szCs w:val="24"/>
          <w:lang w:eastAsia="pl-PL"/>
        </w:rPr>
      </w:pPr>
    </w:p>
    <w:p w14:paraId="0D957126" w14:textId="77777777" w:rsidR="00E02F30" w:rsidRPr="00E02F30" w:rsidRDefault="00E02F30" w:rsidP="00E02F30">
      <w:pPr>
        <w:keepNext/>
        <w:widowControl w:val="0"/>
        <w:adjustRightInd w:val="0"/>
        <w:spacing w:after="0" w:line="360" w:lineRule="auto"/>
        <w:textAlignment w:val="baseline"/>
        <w:outlineLvl w:val="4"/>
        <w:rPr>
          <w:rFonts w:eastAsia="Times New Roman" w:cs="Times New Roman"/>
          <w:szCs w:val="20"/>
          <w:lang w:eastAsia="pl-PL"/>
        </w:rPr>
      </w:pPr>
      <w:r w:rsidRPr="00E02F30">
        <w:rPr>
          <w:rFonts w:eastAsia="Times New Roman" w:cs="Times New Roman"/>
          <w:b/>
          <w:szCs w:val="20"/>
          <w:lang w:eastAsia="pl-PL"/>
        </w:rPr>
        <w:t>Tabela 4</w:t>
      </w:r>
      <w:r w:rsidRPr="00E02F30">
        <w:rPr>
          <w:rFonts w:eastAsia="Times New Roman" w:cs="Times New Roman"/>
          <w:szCs w:val="20"/>
          <w:lang w:eastAsia="pl-PL"/>
        </w:rPr>
        <w:t xml:space="preserve"> </w:t>
      </w:r>
      <w:bookmarkEnd w:id="7"/>
    </w:p>
    <w:p w14:paraId="3922689E" w14:textId="77777777" w:rsidR="00E02F30" w:rsidRPr="00E02F30" w:rsidRDefault="00E02F30" w:rsidP="00E02F30">
      <w:pPr>
        <w:spacing w:after="0" w:line="240" w:lineRule="auto"/>
        <w:jc w:val="center"/>
        <w:rPr>
          <w:rFonts w:eastAsia="Times New Roman" w:cs="Times New Roman"/>
          <w:szCs w:val="24"/>
          <w:lang w:eastAsia="pl-PL"/>
        </w:rPr>
      </w:pPr>
    </w:p>
    <w:tbl>
      <w:tblPr>
        <w:tblW w:w="5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Zawiera komórki scalone. Dotyczy wytwarzania odpadów niebezpiecznych. Przedstawia 8 kodów odpadów z podaniem ich rodzaju, ilości, źródła powstania, ich podstawowy skład chemiczny i właściwości. Przedstawia także sposób i miejsce magazynowania tych odpaów oraz sposób ich dalszego zagospodarowania."/>
      </w:tblPr>
      <w:tblGrid>
        <w:gridCol w:w="559"/>
        <w:gridCol w:w="987"/>
        <w:gridCol w:w="1409"/>
        <w:gridCol w:w="985"/>
        <w:gridCol w:w="2680"/>
        <w:gridCol w:w="1970"/>
        <w:gridCol w:w="2002"/>
      </w:tblGrid>
      <w:tr w:rsidR="00E02F30" w:rsidRPr="00E02F30" w14:paraId="3A7C1383" w14:textId="77777777" w:rsidTr="00A1631B">
        <w:trPr>
          <w:tblHeader/>
          <w:jc w:val="center"/>
        </w:trPr>
        <w:tc>
          <w:tcPr>
            <w:tcW w:w="5000" w:type="pct"/>
            <w:gridSpan w:val="7"/>
            <w:shd w:val="clear" w:color="auto" w:fill="auto"/>
            <w:vAlign w:val="center"/>
          </w:tcPr>
          <w:p w14:paraId="78143682" w14:textId="77777777" w:rsidR="00E02F30" w:rsidRPr="00E02F30" w:rsidRDefault="00E02F30" w:rsidP="00E02F30">
            <w:pPr>
              <w:keepNext/>
              <w:spacing w:before="60" w:after="60" w:line="276" w:lineRule="auto"/>
              <w:jc w:val="center"/>
              <w:rPr>
                <w:rFonts w:eastAsia="Times New Roman" w:cs="Arial"/>
                <w:sz w:val="16"/>
                <w:szCs w:val="16"/>
                <w:lang w:eastAsia="pl-PL"/>
              </w:rPr>
            </w:pPr>
            <w:r w:rsidRPr="00E02F30">
              <w:rPr>
                <w:rFonts w:eastAsia="Times New Roman" w:cs="Arial"/>
                <w:b/>
                <w:sz w:val="16"/>
                <w:szCs w:val="16"/>
                <w:lang w:eastAsia="pl-PL"/>
              </w:rPr>
              <w:t>ODPADY NIEBEZPIECZNE</w:t>
            </w:r>
          </w:p>
        </w:tc>
      </w:tr>
      <w:tr w:rsidR="00E02F30" w:rsidRPr="00E02F30" w14:paraId="16BF7FF3" w14:textId="77777777" w:rsidTr="00A1631B">
        <w:trPr>
          <w:tblHeader/>
          <w:jc w:val="center"/>
        </w:trPr>
        <w:tc>
          <w:tcPr>
            <w:tcW w:w="264" w:type="pct"/>
            <w:shd w:val="clear" w:color="auto" w:fill="auto"/>
            <w:vAlign w:val="center"/>
          </w:tcPr>
          <w:p w14:paraId="45054CD9"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Lp.</w:t>
            </w:r>
          </w:p>
        </w:tc>
        <w:tc>
          <w:tcPr>
            <w:tcW w:w="466" w:type="pct"/>
            <w:shd w:val="clear" w:color="auto" w:fill="auto"/>
            <w:vAlign w:val="center"/>
          </w:tcPr>
          <w:p w14:paraId="77620CE0"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Kod odpadu</w:t>
            </w:r>
          </w:p>
        </w:tc>
        <w:tc>
          <w:tcPr>
            <w:tcW w:w="665" w:type="pct"/>
            <w:shd w:val="clear" w:color="auto" w:fill="auto"/>
            <w:vAlign w:val="center"/>
          </w:tcPr>
          <w:p w14:paraId="0794EAB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Rodzaj odpadu</w:t>
            </w:r>
          </w:p>
        </w:tc>
        <w:tc>
          <w:tcPr>
            <w:tcW w:w="465" w:type="pct"/>
            <w:shd w:val="clear" w:color="auto" w:fill="auto"/>
            <w:vAlign w:val="center"/>
          </w:tcPr>
          <w:p w14:paraId="76FDDD6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Ilość [Mg/rok]</w:t>
            </w:r>
          </w:p>
        </w:tc>
        <w:tc>
          <w:tcPr>
            <w:tcW w:w="1265" w:type="pct"/>
            <w:shd w:val="clear" w:color="auto" w:fill="auto"/>
            <w:vAlign w:val="center"/>
          </w:tcPr>
          <w:p w14:paraId="0424821B"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sz w:val="16"/>
                <w:szCs w:val="16"/>
                <w:lang w:eastAsia="pl-PL"/>
              </w:rPr>
              <w:t>Źródło powstawania odpadów/ podstawowy skład chemiczny i właściwości</w:t>
            </w:r>
          </w:p>
        </w:tc>
        <w:tc>
          <w:tcPr>
            <w:tcW w:w="930" w:type="pct"/>
            <w:shd w:val="clear" w:color="auto" w:fill="auto"/>
            <w:vAlign w:val="center"/>
          </w:tcPr>
          <w:p w14:paraId="07A001AE"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Sposób i miejsce magazynowania odpadów</w:t>
            </w:r>
          </w:p>
        </w:tc>
        <w:tc>
          <w:tcPr>
            <w:tcW w:w="945" w:type="pct"/>
            <w:shd w:val="clear" w:color="auto" w:fill="auto"/>
            <w:vAlign w:val="center"/>
          </w:tcPr>
          <w:p w14:paraId="206D28B6"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Sposób dalszego zagospodarowania odpadów</w:t>
            </w:r>
          </w:p>
        </w:tc>
      </w:tr>
      <w:tr w:rsidR="00E02F30" w:rsidRPr="00E02F30" w14:paraId="747CCC14" w14:textId="77777777" w:rsidTr="00A1631B">
        <w:trPr>
          <w:jc w:val="center"/>
        </w:trPr>
        <w:tc>
          <w:tcPr>
            <w:tcW w:w="264" w:type="pct"/>
            <w:shd w:val="clear" w:color="auto" w:fill="auto"/>
            <w:vAlign w:val="center"/>
          </w:tcPr>
          <w:p w14:paraId="4B9C38B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w:t>
            </w:r>
          </w:p>
        </w:tc>
        <w:tc>
          <w:tcPr>
            <w:tcW w:w="466" w:type="pct"/>
            <w:shd w:val="clear" w:color="auto" w:fill="auto"/>
            <w:vAlign w:val="center"/>
          </w:tcPr>
          <w:p w14:paraId="43396BA0"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07 02 08*</w:t>
            </w:r>
          </w:p>
        </w:tc>
        <w:tc>
          <w:tcPr>
            <w:tcW w:w="665" w:type="pct"/>
            <w:shd w:val="clear" w:color="auto" w:fill="auto"/>
            <w:vAlign w:val="center"/>
          </w:tcPr>
          <w:p w14:paraId="0CE29F1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Inne pozostałości podestylacyjne i poreakcyjne</w:t>
            </w:r>
          </w:p>
        </w:tc>
        <w:tc>
          <w:tcPr>
            <w:tcW w:w="465" w:type="pct"/>
            <w:shd w:val="clear" w:color="auto" w:fill="auto"/>
            <w:vAlign w:val="center"/>
          </w:tcPr>
          <w:p w14:paraId="6CFEC1A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150,00</w:t>
            </w:r>
          </w:p>
        </w:tc>
        <w:tc>
          <w:tcPr>
            <w:tcW w:w="1265" w:type="pct"/>
            <w:shd w:val="clear" w:color="auto" w:fill="auto"/>
            <w:vAlign w:val="center"/>
          </w:tcPr>
          <w:p w14:paraId="0458CEC9"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z produkcji żywic poliestrowych modyfikowanych </w:t>
            </w:r>
            <w:proofErr w:type="spellStart"/>
            <w:r w:rsidRPr="00E02F30">
              <w:rPr>
                <w:rFonts w:eastAsia="Times New Roman" w:cs="Arial"/>
                <w:b/>
                <w:bCs/>
                <w:sz w:val="16"/>
                <w:szCs w:val="16"/>
                <w:lang w:eastAsia="pl-PL"/>
              </w:rPr>
              <w:t>dicyklopentadienem</w:t>
            </w:r>
            <w:proofErr w:type="spellEnd"/>
            <w:r w:rsidRPr="00E02F30">
              <w:rPr>
                <w:rFonts w:eastAsia="Times New Roman" w:cs="Arial"/>
                <w:b/>
                <w:bCs/>
                <w:sz w:val="16"/>
                <w:szCs w:val="16"/>
                <w:lang w:eastAsia="pl-PL"/>
              </w:rPr>
              <w:t xml:space="preserve"> - faza organiczna ścieków z DCPD. </w:t>
            </w:r>
          </w:p>
          <w:p w14:paraId="5E01ACB1"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Cs/>
                <w:sz w:val="16"/>
                <w:szCs w:val="16"/>
                <w:lang w:eastAsia="pl-PL"/>
              </w:rPr>
              <w:t>Skład odpadu: mieszanina cyklicznych i alifatycznych węglowodorów, brunatna ciecz i silnym charakterystycznym drażniącym zapachu.</w:t>
            </w:r>
          </w:p>
          <w:p w14:paraId="014ADA92"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Odpady z filtrów, z czyszczenia instalacji, mycia kontenerów oraz zlewki próbek laboratoryjnych. </w:t>
            </w:r>
          </w:p>
          <w:p w14:paraId="2FAFC578"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odpadu: spolimeryzowany styren, rozsypane nie nadające się zawrotu surowce, pozostałości po produkcji nienasyconych żywic poliestrowych zmieszane z alifatycznymi i aromatycznymi węglowodorami, lepka ciecz o barwie od żółtej do brunatnej o charakterystycznym zapachu styrenu, drażniąca </w:t>
            </w:r>
          </w:p>
          <w:p w14:paraId="05374971"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Właściwości: </w:t>
            </w:r>
          </w:p>
          <w:p w14:paraId="35091F8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Cs/>
                <w:sz w:val="16"/>
                <w:szCs w:val="16"/>
                <w:lang w:eastAsia="pl-PL"/>
              </w:rPr>
              <w:t xml:space="preserve">HP4 — działanie drażniące na skórę i powodujące uszkodzenie oczu, </w:t>
            </w:r>
            <w:r w:rsidRPr="00E02F30">
              <w:rPr>
                <w:rFonts w:eastAsia="Times New Roman" w:cs="Arial"/>
                <w:bCs/>
                <w:sz w:val="16"/>
                <w:szCs w:val="16"/>
                <w:lang w:eastAsia="pl-PL"/>
              </w:rPr>
              <w:br/>
              <w:t xml:space="preserve">HP 5 – działanie toksyczne na narządy docelowe (STOT) lub zagrożenie spowodowane aspiracją, oraz </w:t>
            </w:r>
            <w:r w:rsidRPr="00E02F30">
              <w:rPr>
                <w:rFonts w:eastAsia="Times New Roman" w:cs="Arial"/>
                <w:bCs/>
                <w:sz w:val="16"/>
                <w:szCs w:val="16"/>
                <w:lang w:eastAsia="pl-PL"/>
              </w:rPr>
              <w:br/>
              <w:t xml:space="preserve">HP 14 – </w:t>
            </w:r>
            <w:proofErr w:type="spellStart"/>
            <w:r w:rsidRPr="00E02F30">
              <w:rPr>
                <w:rFonts w:eastAsia="Times New Roman" w:cs="Arial"/>
                <w:bCs/>
                <w:sz w:val="16"/>
                <w:szCs w:val="16"/>
                <w:lang w:eastAsia="pl-PL"/>
              </w:rPr>
              <w:t>ekotoksyczne</w:t>
            </w:r>
            <w:proofErr w:type="spellEnd"/>
            <w:r w:rsidRPr="00E02F30">
              <w:rPr>
                <w:rFonts w:eastAsia="Times New Roman" w:cs="Arial"/>
                <w:bCs/>
                <w:sz w:val="16"/>
                <w:szCs w:val="16"/>
                <w:lang w:eastAsia="pl-PL"/>
              </w:rPr>
              <w:t>.</w:t>
            </w:r>
          </w:p>
        </w:tc>
        <w:tc>
          <w:tcPr>
            <w:tcW w:w="930" w:type="pct"/>
            <w:shd w:val="clear" w:color="auto" w:fill="auto"/>
            <w:vAlign w:val="center"/>
          </w:tcPr>
          <w:p w14:paraId="3A0C157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OBIEKT 524</w:t>
            </w:r>
          </w:p>
          <w:p w14:paraId="7CA13383"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magazynowane będą w szczelnie zamkniętych oznakowanych opakowaniach (</w:t>
            </w:r>
            <w:proofErr w:type="spellStart"/>
            <w:r w:rsidRPr="00E02F30">
              <w:rPr>
                <w:rFonts w:eastAsia="Times New Roman" w:cs="Arial"/>
                <w:sz w:val="16"/>
                <w:szCs w:val="16"/>
                <w:lang w:eastAsia="pl-PL"/>
              </w:rPr>
              <w:t>hobokach</w:t>
            </w:r>
            <w:proofErr w:type="spellEnd"/>
            <w:r w:rsidRPr="00E02F30">
              <w:rPr>
                <w:rFonts w:eastAsia="Times New Roman" w:cs="Arial"/>
                <w:sz w:val="16"/>
                <w:szCs w:val="16"/>
                <w:lang w:eastAsia="pl-PL"/>
              </w:rPr>
              <w:t>, beczkach, kontenerach) w obiekcie 529, w budynku 801, w obiekcie 402.</w:t>
            </w:r>
          </w:p>
          <w:p w14:paraId="4F421BAE"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OBIEKT 501 i 501A</w:t>
            </w:r>
          </w:p>
          <w:p w14:paraId="362CBC0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magazynowane będą w szczelnie zamkniętych oznakowanych opakowaniach (</w:t>
            </w:r>
            <w:proofErr w:type="spellStart"/>
            <w:r w:rsidRPr="00E02F30">
              <w:rPr>
                <w:rFonts w:eastAsia="Times New Roman" w:cs="Arial"/>
                <w:sz w:val="16"/>
                <w:szCs w:val="16"/>
                <w:lang w:eastAsia="pl-PL"/>
              </w:rPr>
              <w:t>hobokach</w:t>
            </w:r>
            <w:proofErr w:type="spellEnd"/>
            <w:r w:rsidRPr="00E02F30">
              <w:rPr>
                <w:rFonts w:eastAsia="Times New Roman" w:cs="Arial"/>
                <w:sz w:val="16"/>
                <w:szCs w:val="16"/>
                <w:lang w:eastAsia="pl-PL"/>
              </w:rPr>
              <w:t>, beczkach, kontenerach) w budynku 801, w obiekcie 402.</w:t>
            </w:r>
          </w:p>
        </w:tc>
        <w:tc>
          <w:tcPr>
            <w:tcW w:w="945" w:type="pct"/>
            <w:shd w:val="clear" w:color="auto" w:fill="auto"/>
            <w:vAlign w:val="center"/>
          </w:tcPr>
          <w:p w14:paraId="6D371064"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1E11C550" w14:textId="77777777" w:rsidTr="00A1631B">
        <w:trPr>
          <w:jc w:val="center"/>
        </w:trPr>
        <w:tc>
          <w:tcPr>
            <w:tcW w:w="264" w:type="pct"/>
            <w:vMerge w:val="restart"/>
            <w:shd w:val="clear" w:color="auto" w:fill="auto"/>
            <w:vAlign w:val="center"/>
          </w:tcPr>
          <w:p w14:paraId="72AE0FE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2</w:t>
            </w:r>
          </w:p>
        </w:tc>
        <w:tc>
          <w:tcPr>
            <w:tcW w:w="466" w:type="pct"/>
            <w:vMerge w:val="restart"/>
            <w:shd w:val="clear" w:color="auto" w:fill="auto"/>
            <w:vAlign w:val="center"/>
          </w:tcPr>
          <w:p w14:paraId="1AA5F042"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07 02 10*</w:t>
            </w:r>
          </w:p>
        </w:tc>
        <w:tc>
          <w:tcPr>
            <w:tcW w:w="665" w:type="pct"/>
            <w:vMerge w:val="restart"/>
            <w:shd w:val="clear" w:color="auto" w:fill="auto"/>
            <w:vAlign w:val="center"/>
          </w:tcPr>
          <w:p w14:paraId="6AFEE2E0"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Inne zużyte sorbenty i osady </w:t>
            </w:r>
            <w:proofErr w:type="spellStart"/>
            <w:r w:rsidRPr="00E02F30">
              <w:rPr>
                <w:rFonts w:eastAsia="Times New Roman" w:cs="Arial"/>
                <w:sz w:val="16"/>
                <w:szCs w:val="16"/>
                <w:lang w:eastAsia="pl-PL"/>
              </w:rPr>
              <w:t>pofiltracyjne</w:t>
            </w:r>
            <w:proofErr w:type="spellEnd"/>
          </w:p>
        </w:tc>
        <w:tc>
          <w:tcPr>
            <w:tcW w:w="465" w:type="pct"/>
            <w:vMerge w:val="restart"/>
            <w:shd w:val="clear" w:color="auto" w:fill="auto"/>
            <w:vAlign w:val="center"/>
          </w:tcPr>
          <w:p w14:paraId="4F528F7B"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20,00</w:t>
            </w:r>
          </w:p>
        </w:tc>
        <w:tc>
          <w:tcPr>
            <w:tcW w:w="1265" w:type="pct"/>
            <w:shd w:val="clear" w:color="auto" w:fill="auto"/>
            <w:vAlign w:val="center"/>
          </w:tcPr>
          <w:p w14:paraId="2D572EF0"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z procesu oczyszczania powietrza zanieczyszczonego substancjami obojętnymi w ob. 524. </w:t>
            </w:r>
          </w:p>
          <w:p w14:paraId="04B06B15"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Skład odpadu: węgiel aktywny, ciało stałe o charakterystycznym zapachu.</w:t>
            </w:r>
          </w:p>
          <w:p w14:paraId="7F08B973"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Właściwości: </w:t>
            </w:r>
          </w:p>
          <w:p w14:paraId="0CBF7328"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Cs/>
                <w:sz w:val="16"/>
                <w:szCs w:val="16"/>
                <w:lang w:eastAsia="pl-PL"/>
              </w:rPr>
              <w:t xml:space="preserve">HP4 – drażniące — działanie drażniące na skórę i powodujące uszkodzenie oczu, </w:t>
            </w:r>
            <w:r w:rsidRPr="00E02F30">
              <w:rPr>
                <w:rFonts w:eastAsia="Times New Roman" w:cs="Arial"/>
                <w:bCs/>
                <w:sz w:val="16"/>
                <w:szCs w:val="16"/>
                <w:lang w:eastAsia="pl-PL"/>
              </w:rPr>
              <w:br/>
              <w:t xml:space="preserve">HP 5 – działanie toksyczne na narządy docelowe (STOT) lub zagrożenie spowodowane aspiracją, oraz </w:t>
            </w:r>
            <w:r w:rsidRPr="00E02F30">
              <w:rPr>
                <w:rFonts w:eastAsia="Times New Roman" w:cs="Arial"/>
                <w:bCs/>
                <w:sz w:val="16"/>
                <w:szCs w:val="16"/>
                <w:lang w:eastAsia="pl-PL"/>
              </w:rPr>
              <w:br/>
              <w:t xml:space="preserve">HP 14 – </w:t>
            </w:r>
            <w:proofErr w:type="spellStart"/>
            <w:r w:rsidRPr="00E02F30">
              <w:rPr>
                <w:rFonts w:eastAsia="Times New Roman" w:cs="Arial"/>
                <w:bCs/>
                <w:sz w:val="16"/>
                <w:szCs w:val="16"/>
                <w:lang w:eastAsia="pl-PL"/>
              </w:rPr>
              <w:t>eko</w:t>
            </w:r>
            <w:proofErr w:type="spellEnd"/>
            <w:r w:rsidRPr="00E02F30">
              <w:rPr>
                <w:rFonts w:eastAsia="Times New Roman" w:cs="Arial"/>
                <w:bCs/>
                <w:sz w:val="16"/>
                <w:szCs w:val="16"/>
                <w:lang w:eastAsia="pl-PL"/>
              </w:rPr>
              <w:t>-toksyczne.</w:t>
            </w:r>
          </w:p>
        </w:tc>
        <w:tc>
          <w:tcPr>
            <w:tcW w:w="930" w:type="pct"/>
            <w:vMerge w:val="restart"/>
            <w:shd w:val="clear" w:color="auto" w:fill="auto"/>
            <w:vAlign w:val="center"/>
          </w:tcPr>
          <w:p w14:paraId="27B17B1B"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OBIEKT 524</w:t>
            </w:r>
          </w:p>
          <w:p w14:paraId="5ECC8FC7"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magazynowane będą w szczelnie zamkniętych oznakowanych opakowaniach (np. big-</w:t>
            </w:r>
            <w:proofErr w:type="spellStart"/>
            <w:r w:rsidRPr="00E02F30">
              <w:rPr>
                <w:rFonts w:eastAsia="Times New Roman" w:cs="Arial"/>
                <w:sz w:val="16"/>
                <w:szCs w:val="16"/>
                <w:lang w:eastAsia="pl-PL"/>
              </w:rPr>
              <w:t>bagach</w:t>
            </w:r>
            <w:proofErr w:type="spellEnd"/>
            <w:r w:rsidRPr="00E02F30">
              <w:rPr>
                <w:rFonts w:eastAsia="Times New Roman" w:cs="Arial"/>
                <w:sz w:val="16"/>
                <w:szCs w:val="16"/>
                <w:lang w:eastAsia="pl-PL"/>
              </w:rPr>
              <w:t>) w budynku 801, w obiekcie 402.</w:t>
            </w:r>
          </w:p>
          <w:p w14:paraId="68B49E6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OBIEKT 501 i 501A</w:t>
            </w:r>
          </w:p>
          <w:p w14:paraId="742CEE50"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magazynowane będą w szczelnie zamkniętych oznakowanych opakowaniach (</w:t>
            </w:r>
            <w:proofErr w:type="spellStart"/>
            <w:r w:rsidRPr="00E02F30">
              <w:rPr>
                <w:rFonts w:eastAsia="Times New Roman" w:cs="Arial"/>
                <w:sz w:val="16"/>
                <w:szCs w:val="16"/>
                <w:lang w:eastAsia="pl-PL"/>
              </w:rPr>
              <w:t>hobokach</w:t>
            </w:r>
            <w:proofErr w:type="spellEnd"/>
            <w:r w:rsidRPr="00E02F30">
              <w:rPr>
                <w:rFonts w:eastAsia="Times New Roman" w:cs="Arial"/>
                <w:sz w:val="16"/>
                <w:szCs w:val="16"/>
                <w:lang w:eastAsia="pl-PL"/>
              </w:rPr>
              <w:t>, beczkach, kontenerach) w budynku 801, w obiekcie 402.</w:t>
            </w:r>
          </w:p>
        </w:tc>
        <w:tc>
          <w:tcPr>
            <w:tcW w:w="945" w:type="pct"/>
            <w:vMerge w:val="restart"/>
            <w:shd w:val="clear" w:color="auto" w:fill="auto"/>
            <w:vAlign w:val="center"/>
          </w:tcPr>
          <w:p w14:paraId="7ABF75A9"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09D3937D" w14:textId="77777777" w:rsidTr="00A1631B">
        <w:trPr>
          <w:jc w:val="center"/>
        </w:trPr>
        <w:tc>
          <w:tcPr>
            <w:tcW w:w="264" w:type="pct"/>
            <w:vMerge/>
            <w:shd w:val="clear" w:color="auto" w:fill="auto"/>
            <w:vAlign w:val="center"/>
          </w:tcPr>
          <w:p w14:paraId="2ACB5DB7" w14:textId="77777777" w:rsidR="00E02F30" w:rsidRPr="00E02F30" w:rsidRDefault="00E02F30" w:rsidP="00E02F30">
            <w:pPr>
              <w:keepNext/>
              <w:spacing w:before="60" w:after="60" w:line="276" w:lineRule="auto"/>
              <w:ind w:firstLine="709"/>
              <w:jc w:val="both"/>
              <w:rPr>
                <w:rFonts w:eastAsia="Times New Roman" w:cs="Arial"/>
                <w:sz w:val="16"/>
                <w:szCs w:val="16"/>
                <w:lang w:eastAsia="pl-PL"/>
              </w:rPr>
            </w:pPr>
          </w:p>
        </w:tc>
        <w:tc>
          <w:tcPr>
            <w:tcW w:w="466" w:type="pct"/>
            <w:vMerge/>
            <w:shd w:val="clear" w:color="auto" w:fill="auto"/>
            <w:vAlign w:val="center"/>
          </w:tcPr>
          <w:p w14:paraId="56D6EC2D" w14:textId="77777777" w:rsidR="00E02F30" w:rsidRPr="00E02F30" w:rsidRDefault="00E02F30" w:rsidP="00E02F30">
            <w:pPr>
              <w:keepNext/>
              <w:spacing w:before="60" w:after="60" w:line="276" w:lineRule="auto"/>
              <w:ind w:firstLine="709"/>
              <w:jc w:val="both"/>
              <w:rPr>
                <w:rFonts w:eastAsia="Times New Roman" w:cs="Arial"/>
                <w:sz w:val="16"/>
                <w:szCs w:val="16"/>
                <w:lang w:eastAsia="pl-PL"/>
              </w:rPr>
            </w:pPr>
          </w:p>
        </w:tc>
        <w:tc>
          <w:tcPr>
            <w:tcW w:w="665" w:type="pct"/>
            <w:vMerge/>
            <w:shd w:val="clear" w:color="auto" w:fill="auto"/>
            <w:vAlign w:val="center"/>
          </w:tcPr>
          <w:p w14:paraId="0E2F6B1E" w14:textId="77777777" w:rsidR="00E02F30" w:rsidRPr="00E02F30" w:rsidRDefault="00E02F30" w:rsidP="00E02F30">
            <w:pPr>
              <w:keepNext/>
              <w:spacing w:before="60" w:after="60" w:line="276" w:lineRule="auto"/>
              <w:ind w:firstLine="709"/>
              <w:jc w:val="both"/>
              <w:rPr>
                <w:rFonts w:eastAsia="Times New Roman" w:cs="Arial"/>
                <w:sz w:val="16"/>
                <w:szCs w:val="16"/>
                <w:lang w:eastAsia="pl-PL"/>
              </w:rPr>
            </w:pPr>
          </w:p>
        </w:tc>
        <w:tc>
          <w:tcPr>
            <w:tcW w:w="465" w:type="pct"/>
            <w:vMerge/>
            <w:shd w:val="clear" w:color="auto" w:fill="auto"/>
            <w:vAlign w:val="center"/>
          </w:tcPr>
          <w:p w14:paraId="4C2D1F89" w14:textId="77777777" w:rsidR="00E02F30" w:rsidRPr="00E02F30" w:rsidRDefault="00E02F30" w:rsidP="00E02F30">
            <w:pPr>
              <w:keepNext/>
              <w:spacing w:before="60" w:after="60" w:line="276" w:lineRule="auto"/>
              <w:ind w:firstLine="709"/>
              <w:jc w:val="both"/>
              <w:rPr>
                <w:rFonts w:eastAsia="Times New Roman" w:cs="Arial"/>
                <w:sz w:val="16"/>
                <w:szCs w:val="16"/>
                <w:lang w:eastAsia="pl-PL"/>
              </w:rPr>
            </w:pPr>
          </w:p>
        </w:tc>
        <w:tc>
          <w:tcPr>
            <w:tcW w:w="1265" w:type="pct"/>
            <w:shd w:val="clear" w:color="auto" w:fill="auto"/>
            <w:vAlign w:val="center"/>
          </w:tcPr>
          <w:p w14:paraId="7A1FA91A"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stanowią zużyte materiały </w:t>
            </w:r>
            <w:proofErr w:type="spellStart"/>
            <w:r w:rsidRPr="00E02F30">
              <w:rPr>
                <w:rFonts w:eastAsia="Times New Roman" w:cs="Arial"/>
                <w:b/>
                <w:bCs/>
                <w:sz w:val="16"/>
                <w:szCs w:val="16"/>
                <w:lang w:eastAsia="pl-PL"/>
              </w:rPr>
              <w:t>pofiltracyjne</w:t>
            </w:r>
            <w:proofErr w:type="spellEnd"/>
            <w:r w:rsidRPr="00E02F30">
              <w:rPr>
                <w:rFonts w:eastAsia="Times New Roman" w:cs="Arial"/>
                <w:b/>
                <w:bCs/>
                <w:sz w:val="16"/>
                <w:szCs w:val="16"/>
                <w:lang w:eastAsia="pl-PL"/>
              </w:rPr>
              <w:t xml:space="preserve">, czyściwo. </w:t>
            </w:r>
          </w:p>
          <w:p w14:paraId="2BA73E96"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odpadu: pozostałości po produkcji nienasyconych żywic </w:t>
            </w:r>
            <w:proofErr w:type="spellStart"/>
            <w:r w:rsidRPr="00E02F30">
              <w:rPr>
                <w:rFonts w:eastAsia="Times New Roman" w:cs="Arial"/>
                <w:bCs/>
                <w:sz w:val="16"/>
                <w:szCs w:val="16"/>
                <w:lang w:eastAsia="pl-PL"/>
              </w:rPr>
              <w:t>polie-strowych</w:t>
            </w:r>
            <w:proofErr w:type="spellEnd"/>
            <w:r w:rsidRPr="00E02F30">
              <w:rPr>
                <w:rFonts w:eastAsia="Times New Roman" w:cs="Arial"/>
                <w:bCs/>
                <w:sz w:val="16"/>
                <w:szCs w:val="16"/>
                <w:lang w:eastAsia="pl-PL"/>
              </w:rPr>
              <w:t xml:space="preserve"> zmieszane z alifatycznymi i </w:t>
            </w:r>
            <w:proofErr w:type="spellStart"/>
            <w:r w:rsidRPr="00E02F30">
              <w:rPr>
                <w:rFonts w:eastAsia="Times New Roman" w:cs="Arial"/>
                <w:bCs/>
                <w:sz w:val="16"/>
                <w:szCs w:val="16"/>
                <w:lang w:eastAsia="pl-PL"/>
              </w:rPr>
              <w:t>aroma</w:t>
            </w:r>
            <w:proofErr w:type="spellEnd"/>
            <w:r w:rsidRPr="00E02F30">
              <w:rPr>
                <w:rFonts w:eastAsia="Times New Roman" w:cs="Arial"/>
                <w:bCs/>
                <w:sz w:val="16"/>
                <w:szCs w:val="16"/>
                <w:lang w:eastAsia="pl-PL"/>
              </w:rPr>
              <w:t xml:space="preserve">-tycznymi węglowodorami o konsystencji stałej lub półstałej o charakterystycznym zapachu styrenu, drażniące. </w:t>
            </w:r>
          </w:p>
          <w:p w14:paraId="4A18C8F3"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Właściwości: </w:t>
            </w:r>
          </w:p>
          <w:p w14:paraId="33E1DE8E"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Cs/>
                <w:sz w:val="16"/>
                <w:szCs w:val="16"/>
                <w:lang w:eastAsia="pl-PL"/>
              </w:rPr>
              <w:t xml:space="preserve">HP 5 – </w:t>
            </w:r>
            <w:proofErr w:type="spellStart"/>
            <w:r w:rsidRPr="00E02F30">
              <w:rPr>
                <w:rFonts w:eastAsia="Times New Roman" w:cs="Arial"/>
                <w:bCs/>
                <w:sz w:val="16"/>
                <w:szCs w:val="16"/>
                <w:lang w:eastAsia="pl-PL"/>
              </w:rPr>
              <w:t>dzia</w:t>
            </w:r>
            <w:proofErr w:type="spellEnd"/>
            <w:r w:rsidRPr="00E02F30">
              <w:rPr>
                <w:rFonts w:eastAsia="Times New Roman" w:cs="Arial"/>
                <w:bCs/>
                <w:sz w:val="16"/>
                <w:szCs w:val="16"/>
                <w:lang w:eastAsia="pl-PL"/>
              </w:rPr>
              <w:t>-łanie toksyczne na narządy docelowe (STOT) lub zagrożenie spowodowane aspiracją,</w:t>
            </w:r>
            <w:r w:rsidRPr="00E02F30">
              <w:rPr>
                <w:rFonts w:eastAsia="Times New Roman" w:cs="Arial"/>
                <w:bCs/>
                <w:sz w:val="16"/>
                <w:szCs w:val="16"/>
                <w:lang w:eastAsia="pl-PL"/>
              </w:rPr>
              <w:br/>
              <w:t xml:space="preserve">HP 14 – </w:t>
            </w:r>
            <w:proofErr w:type="spellStart"/>
            <w:r w:rsidRPr="00E02F30">
              <w:rPr>
                <w:rFonts w:eastAsia="Times New Roman" w:cs="Arial"/>
                <w:bCs/>
                <w:sz w:val="16"/>
                <w:szCs w:val="16"/>
                <w:lang w:eastAsia="pl-PL"/>
              </w:rPr>
              <w:t>ekotoksyczne</w:t>
            </w:r>
            <w:proofErr w:type="spellEnd"/>
          </w:p>
        </w:tc>
        <w:tc>
          <w:tcPr>
            <w:tcW w:w="930" w:type="pct"/>
            <w:vMerge/>
            <w:shd w:val="clear" w:color="auto" w:fill="auto"/>
            <w:vAlign w:val="center"/>
          </w:tcPr>
          <w:p w14:paraId="7B23C3FA" w14:textId="77777777" w:rsidR="00E02F30" w:rsidRPr="00E02F30" w:rsidRDefault="00E02F30" w:rsidP="00E02F30">
            <w:pPr>
              <w:keepNext/>
              <w:spacing w:before="60" w:after="60" w:line="276" w:lineRule="auto"/>
              <w:ind w:firstLine="709"/>
              <w:jc w:val="both"/>
              <w:rPr>
                <w:rFonts w:eastAsia="Times New Roman" w:cs="Arial"/>
                <w:sz w:val="16"/>
                <w:szCs w:val="16"/>
                <w:lang w:eastAsia="pl-PL"/>
              </w:rPr>
            </w:pPr>
          </w:p>
        </w:tc>
        <w:tc>
          <w:tcPr>
            <w:tcW w:w="945" w:type="pct"/>
            <w:vMerge/>
            <w:shd w:val="clear" w:color="auto" w:fill="auto"/>
            <w:vAlign w:val="center"/>
          </w:tcPr>
          <w:p w14:paraId="26223838" w14:textId="77777777" w:rsidR="00E02F30" w:rsidRPr="00E02F30" w:rsidRDefault="00E02F30" w:rsidP="00E02F30">
            <w:pPr>
              <w:keepNext/>
              <w:spacing w:before="60" w:after="60" w:line="276" w:lineRule="auto"/>
              <w:ind w:firstLine="709"/>
              <w:jc w:val="both"/>
              <w:rPr>
                <w:rFonts w:eastAsia="Times New Roman" w:cs="Arial"/>
                <w:sz w:val="16"/>
                <w:szCs w:val="16"/>
                <w:lang w:eastAsia="pl-PL"/>
              </w:rPr>
            </w:pPr>
          </w:p>
        </w:tc>
      </w:tr>
      <w:tr w:rsidR="00E02F30" w:rsidRPr="00E02F30" w14:paraId="11A08FCB" w14:textId="77777777" w:rsidTr="00A1631B">
        <w:trPr>
          <w:jc w:val="center"/>
        </w:trPr>
        <w:tc>
          <w:tcPr>
            <w:tcW w:w="264" w:type="pct"/>
            <w:shd w:val="clear" w:color="auto" w:fill="auto"/>
            <w:vAlign w:val="center"/>
          </w:tcPr>
          <w:p w14:paraId="14CDDF68"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3</w:t>
            </w:r>
          </w:p>
        </w:tc>
        <w:tc>
          <w:tcPr>
            <w:tcW w:w="466" w:type="pct"/>
            <w:shd w:val="clear" w:color="auto" w:fill="auto"/>
            <w:vAlign w:val="center"/>
          </w:tcPr>
          <w:p w14:paraId="390046B7"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13 03 08*</w:t>
            </w:r>
          </w:p>
        </w:tc>
        <w:tc>
          <w:tcPr>
            <w:tcW w:w="665" w:type="pct"/>
            <w:shd w:val="clear" w:color="auto" w:fill="auto"/>
            <w:vAlign w:val="center"/>
          </w:tcPr>
          <w:p w14:paraId="5AA59B38"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Syntetyczne oleje i ciecze stosowane jako </w:t>
            </w:r>
            <w:proofErr w:type="spellStart"/>
            <w:r w:rsidRPr="00E02F30">
              <w:rPr>
                <w:rFonts w:eastAsia="Times New Roman" w:cs="Arial"/>
                <w:sz w:val="16"/>
                <w:szCs w:val="16"/>
                <w:lang w:eastAsia="pl-PL"/>
              </w:rPr>
              <w:t>elektroizolatory</w:t>
            </w:r>
            <w:proofErr w:type="spellEnd"/>
            <w:r w:rsidRPr="00E02F30">
              <w:rPr>
                <w:rFonts w:eastAsia="Times New Roman" w:cs="Arial"/>
                <w:sz w:val="16"/>
                <w:szCs w:val="16"/>
                <w:lang w:eastAsia="pl-PL"/>
              </w:rPr>
              <w:t xml:space="preserve"> oraz nośniki ciepła inne niż wymienione w 13 03 01</w:t>
            </w:r>
          </w:p>
        </w:tc>
        <w:tc>
          <w:tcPr>
            <w:tcW w:w="465" w:type="pct"/>
            <w:shd w:val="clear" w:color="auto" w:fill="auto"/>
            <w:vAlign w:val="center"/>
          </w:tcPr>
          <w:p w14:paraId="1E408ACA"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5,00</w:t>
            </w:r>
          </w:p>
        </w:tc>
        <w:tc>
          <w:tcPr>
            <w:tcW w:w="1265" w:type="pct"/>
            <w:shd w:val="clear" w:color="auto" w:fill="auto"/>
            <w:vAlign w:val="center"/>
          </w:tcPr>
          <w:p w14:paraId="2D1919E3"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stanowi zużyty płyn grzewczo-chłodzący z instalacji grzewczo-chłodzącej rurociągów i zbiorników ob. 501 i 524. </w:t>
            </w:r>
          </w:p>
          <w:p w14:paraId="3702DD47"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odpadu: mieszanina wody z glikolami, nisko lepka ciecz. </w:t>
            </w:r>
          </w:p>
          <w:p w14:paraId="03EFAF09"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Właściwości: </w:t>
            </w:r>
          </w:p>
          <w:p w14:paraId="1D1A8F43"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Cs/>
                <w:sz w:val="16"/>
                <w:szCs w:val="16"/>
                <w:lang w:eastAsia="pl-PL"/>
              </w:rPr>
              <w:t xml:space="preserve">HP 14 – </w:t>
            </w:r>
            <w:proofErr w:type="spellStart"/>
            <w:r w:rsidRPr="00E02F30">
              <w:rPr>
                <w:rFonts w:eastAsia="Times New Roman" w:cs="Arial"/>
                <w:bCs/>
                <w:sz w:val="16"/>
                <w:szCs w:val="16"/>
                <w:lang w:eastAsia="pl-PL"/>
              </w:rPr>
              <w:t>ekotoksyczne</w:t>
            </w:r>
            <w:proofErr w:type="spellEnd"/>
          </w:p>
        </w:tc>
        <w:tc>
          <w:tcPr>
            <w:tcW w:w="930" w:type="pct"/>
            <w:shd w:val="clear" w:color="auto" w:fill="auto"/>
            <w:vAlign w:val="center"/>
          </w:tcPr>
          <w:p w14:paraId="1EF6D083"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OBIEKT 524</w:t>
            </w:r>
          </w:p>
          <w:p w14:paraId="7DA9FCE4"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magazynowane będą w szczelnie zamkniętych oznakowanych opakowaniach (np. big-</w:t>
            </w:r>
            <w:proofErr w:type="spellStart"/>
            <w:r w:rsidRPr="00E02F30">
              <w:rPr>
                <w:rFonts w:eastAsia="Times New Roman" w:cs="Arial"/>
                <w:sz w:val="16"/>
                <w:szCs w:val="16"/>
                <w:lang w:eastAsia="pl-PL"/>
              </w:rPr>
              <w:t>bagach</w:t>
            </w:r>
            <w:proofErr w:type="spellEnd"/>
            <w:r w:rsidRPr="00E02F30">
              <w:rPr>
                <w:rFonts w:eastAsia="Times New Roman" w:cs="Arial"/>
                <w:sz w:val="16"/>
                <w:szCs w:val="16"/>
                <w:lang w:eastAsia="pl-PL"/>
              </w:rPr>
              <w:t>) w budynku 801, w obiekcie 402.</w:t>
            </w:r>
          </w:p>
          <w:p w14:paraId="7D57A5B8"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OBIEKT 501 i 501A</w:t>
            </w:r>
          </w:p>
          <w:p w14:paraId="267D7D74"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Odpady magazynowane będą w szczelnie zamkniętych oznakowanych opakowaniach (workach </w:t>
            </w:r>
            <w:proofErr w:type="spellStart"/>
            <w:r w:rsidRPr="00E02F30">
              <w:rPr>
                <w:rFonts w:eastAsia="Times New Roman" w:cs="Arial"/>
                <w:sz w:val="16"/>
                <w:szCs w:val="16"/>
                <w:lang w:eastAsia="pl-PL"/>
              </w:rPr>
              <w:t>hobokach</w:t>
            </w:r>
            <w:proofErr w:type="spellEnd"/>
            <w:r w:rsidRPr="00E02F30">
              <w:rPr>
                <w:rFonts w:eastAsia="Times New Roman" w:cs="Arial"/>
                <w:sz w:val="16"/>
                <w:szCs w:val="16"/>
                <w:lang w:eastAsia="pl-PL"/>
              </w:rPr>
              <w:t>, beczkach) w budynku 801, w obiekcie 402.</w:t>
            </w:r>
          </w:p>
        </w:tc>
        <w:tc>
          <w:tcPr>
            <w:tcW w:w="945" w:type="pct"/>
            <w:shd w:val="clear" w:color="auto" w:fill="auto"/>
            <w:vAlign w:val="center"/>
          </w:tcPr>
          <w:p w14:paraId="37429D7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0C91E351" w14:textId="77777777" w:rsidTr="00A1631B">
        <w:trPr>
          <w:jc w:val="center"/>
        </w:trPr>
        <w:tc>
          <w:tcPr>
            <w:tcW w:w="264" w:type="pct"/>
            <w:shd w:val="clear" w:color="auto" w:fill="auto"/>
            <w:vAlign w:val="center"/>
          </w:tcPr>
          <w:p w14:paraId="57B907E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4</w:t>
            </w:r>
          </w:p>
        </w:tc>
        <w:tc>
          <w:tcPr>
            <w:tcW w:w="466" w:type="pct"/>
            <w:shd w:val="clear" w:color="auto" w:fill="auto"/>
            <w:vAlign w:val="center"/>
          </w:tcPr>
          <w:p w14:paraId="70703839"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15 01 10*</w:t>
            </w:r>
          </w:p>
        </w:tc>
        <w:tc>
          <w:tcPr>
            <w:tcW w:w="665" w:type="pct"/>
            <w:shd w:val="clear" w:color="auto" w:fill="auto"/>
            <w:vAlign w:val="center"/>
          </w:tcPr>
          <w:p w14:paraId="1C29DBB8"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Opakowania zawierające pozostałości substancji niebezpiecznych lub nimi zanieczyszczone </w:t>
            </w:r>
          </w:p>
        </w:tc>
        <w:tc>
          <w:tcPr>
            <w:tcW w:w="465" w:type="pct"/>
            <w:shd w:val="clear" w:color="auto" w:fill="auto"/>
            <w:vAlign w:val="center"/>
          </w:tcPr>
          <w:p w14:paraId="0CDEE2CF"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180</w:t>
            </w:r>
          </w:p>
        </w:tc>
        <w:tc>
          <w:tcPr>
            <w:tcW w:w="1265" w:type="pct"/>
            <w:shd w:val="clear" w:color="auto" w:fill="auto"/>
            <w:vAlign w:val="center"/>
          </w:tcPr>
          <w:p w14:paraId="5DAFE52E"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stanowić będą zanieczyszczone opakowania z folii, tektury, opakowania metalowe, kontenery. </w:t>
            </w:r>
          </w:p>
          <w:p w14:paraId="3FF80894"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odpadu: tworzywa sztuczne, celuloza, metal zanieczyszczony resztkami substancji niebezpiecznych, ciała stałe. </w:t>
            </w:r>
          </w:p>
          <w:p w14:paraId="296DDAB4"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Właściwości: </w:t>
            </w:r>
          </w:p>
          <w:p w14:paraId="766BE30F"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Cs/>
                <w:sz w:val="16"/>
                <w:szCs w:val="16"/>
                <w:lang w:eastAsia="pl-PL"/>
              </w:rPr>
              <w:t xml:space="preserve">HP 3 – łatwopalne, </w:t>
            </w:r>
            <w:r w:rsidRPr="00E02F30">
              <w:rPr>
                <w:rFonts w:eastAsia="Times New Roman" w:cs="Arial"/>
                <w:bCs/>
                <w:sz w:val="16"/>
                <w:szCs w:val="16"/>
                <w:lang w:eastAsia="pl-PL"/>
              </w:rPr>
              <w:br/>
              <w:t>HP4 - działanie drażniące na skórę i powodujące uszkodzenie oczu,</w:t>
            </w:r>
            <w:r w:rsidRPr="00E02F30">
              <w:rPr>
                <w:rFonts w:eastAsia="Times New Roman" w:cs="Arial"/>
                <w:bCs/>
                <w:sz w:val="16"/>
                <w:szCs w:val="16"/>
                <w:lang w:eastAsia="pl-PL"/>
              </w:rPr>
              <w:br/>
              <w:t xml:space="preserve"> HP 8 – żrące, </w:t>
            </w:r>
            <w:r w:rsidRPr="00E02F30">
              <w:rPr>
                <w:rFonts w:eastAsia="Times New Roman" w:cs="Arial"/>
                <w:bCs/>
                <w:sz w:val="16"/>
                <w:szCs w:val="16"/>
                <w:lang w:eastAsia="pl-PL"/>
              </w:rPr>
              <w:br/>
              <w:t xml:space="preserve">HP14 – </w:t>
            </w:r>
            <w:proofErr w:type="spellStart"/>
            <w:r w:rsidRPr="00E02F30">
              <w:rPr>
                <w:rFonts w:eastAsia="Times New Roman" w:cs="Arial"/>
                <w:bCs/>
                <w:sz w:val="16"/>
                <w:szCs w:val="16"/>
                <w:lang w:eastAsia="pl-PL"/>
              </w:rPr>
              <w:t>ekotoksyczne</w:t>
            </w:r>
            <w:proofErr w:type="spellEnd"/>
            <w:r w:rsidRPr="00E02F30">
              <w:rPr>
                <w:rFonts w:eastAsia="Times New Roman" w:cs="Arial"/>
                <w:bCs/>
                <w:sz w:val="16"/>
                <w:szCs w:val="16"/>
                <w:lang w:eastAsia="pl-PL"/>
              </w:rPr>
              <w:t>.</w:t>
            </w:r>
          </w:p>
        </w:tc>
        <w:tc>
          <w:tcPr>
            <w:tcW w:w="930" w:type="pct"/>
            <w:shd w:val="clear" w:color="auto" w:fill="auto"/>
            <w:vAlign w:val="center"/>
          </w:tcPr>
          <w:p w14:paraId="23F2B515"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OBIEKT 524 </w:t>
            </w:r>
          </w:p>
          <w:p w14:paraId="31199935"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 magazynowany będzie w oznakowanych opakowaniach metalowych, z tworzyw sztucznych i tekturowych. Opakowania duże magazynowane będą luzem natomiast drobne w szczelnie zamkniętych oznakowanych opakowaniach w magazynie odpadów w obiekcie 529.</w:t>
            </w:r>
          </w:p>
          <w:p w14:paraId="3E175108"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OBIEKT 501 i 501A </w:t>
            </w:r>
          </w:p>
          <w:p w14:paraId="1F8C8463"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Odpady magazynowane będą w oznakowanych opakowaniach metalowych, PP, PE lub luzem; </w:t>
            </w:r>
            <w:proofErr w:type="spellStart"/>
            <w:r w:rsidRPr="00E02F30">
              <w:rPr>
                <w:rFonts w:eastAsia="Times New Roman" w:cs="Arial"/>
                <w:sz w:val="16"/>
                <w:szCs w:val="16"/>
                <w:lang w:eastAsia="pl-PL"/>
              </w:rPr>
              <w:t>odpa-dy</w:t>
            </w:r>
            <w:proofErr w:type="spellEnd"/>
            <w:r w:rsidRPr="00E02F30">
              <w:rPr>
                <w:rFonts w:eastAsia="Times New Roman" w:cs="Arial"/>
                <w:sz w:val="16"/>
                <w:szCs w:val="16"/>
                <w:lang w:eastAsia="pl-PL"/>
              </w:rPr>
              <w:t xml:space="preserve">/opakowania metalowe drobne magazynowane będą w szczelnie zamkniętych oznakowanych </w:t>
            </w:r>
            <w:proofErr w:type="spellStart"/>
            <w:r w:rsidRPr="00E02F30">
              <w:rPr>
                <w:rFonts w:eastAsia="Times New Roman" w:cs="Arial"/>
                <w:sz w:val="16"/>
                <w:szCs w:val="16"/>
                <w:lang w:eastAsia="pl-PL"/>
              </w:rPr>
              <w:t>opakowa-niach</w:t>
            </w:r>
            <w:proofErr w:type="spellEnd"/>
            <w:r w:rsidRPr="00E02F30">
              <w:rPr>
                <w:rFonts w:eastAsia="Times New Roman" w:cs="Arial"/>
                <w:sz w:val="16"/>
                <w:szCs w:val="16"/>
                <w:lang w:eastAsia="pl-PL"/>
              </w:rPr>
              <w:t xml:space="preserve"> (</w:t>
            </w:r>
            <w:proofErr w:type="spellStart"/>
            <w:r w:rsidRPr="00E02F30">
              <w:rPr>
                <w:rFonts w:eastAsia="Times New Roman" w:cs="Arial"/>
                <w:sz w:val="16"/>
                <w:szCs w:val="16"/>
                <w:lang w:eastAsia="pl-PL"/>
              </w:rPr>
              <w:t>hobokach</w:t>
            </w:r>
            <w:proofErr w:type="spellEnd"/>
            <w:r w:rsidRPr="00E02F30">
              <w:rPr>
                <w:rFonts w:eastAsia="Times New Roman" w:cs="Arial"/>
                <w:sz w:val="16"/>
                <w:szCs w:val="16"/>
                <w:lang w:eastAsia="pl-PL"/>
              </w:rPr>
              <w:t>, beczkach, kontenerach) w magazynie odpadów w obiekcie 518, w budynku 801, w obiekcie 402.</w:t>
            </w:r>
          </w:p>
        </w:tc>
        <w:tc>
          <w:tcPr>
            <w:tcW w:w="945" w:type="pct"/>
            <w:shd w:val="clear" w:color="auto" w:fill="auto"/>
            <w:vAlign w:val="center"/>
          </w:tcPr>
          <w:p w14:paraId="6CBF93B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33AB3FA7" w14:textId="77777777" w:rsidTr="00A1631B">
        <w:trPr>
          <w:jc w:val="center"/>
        </w:trPr>
        <w:tc>
          <w:tcPr>
            <w:tcW w:w="264" w:type="pct"/>
            <w:shd w:val="clear" w:color="auto" w:fill="auto"/>
            <w:vAlign w:val="center"/>
          </w:tcPr>
          <w:p w14:paraId="53CA5133"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5</w:t>
            </w:r>
          </w:p>
        </w:tc>
        <w:tc>
          <w:tcPr>
            <w:tcW w:w="466" w:type="pct"/>
            <w:shd w:val="clear" w:color="auto" w:fill="auto"/>
            <w:vAlign w:val="center"/>
          </w:tcPr>
          <w:p w14:paraId="1399E2E7"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15 02 02*</w:t>
            </w:r>
          </w:p>
        </w:tc>
        <w:tc>
          <w:tcPr>
            <w:tcW w:w="665" w:type="pct"/>
            <w:shd w:val="clear" w:color="auto" w:fill="auto"/>
            <w:vAlign w:val="center"/>
          </w:tcPr>
          <w:p w14:paraId="11A27570"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Sorbenty, materiały filtracyjne (w tym filtry olejowe nieujęte w innych grupach), tkaniny do wycierania (np. szmaty, ścierki) i ubrania ochronne zanieczyszczone substancjami niebezpiecznymi (np. PCB)</w:t>
            </w:r>
          </w:p>
        </w:tc>
        <w:tc>
          <w:tcPr>
            <w:tcW w:w="465" w:type="pct"/>
            <w:shd w:val="clear" w:color="auto" w:fill="auto"/>
            <w:vAlign w:val="center"/>
          </w:tcPr>
          <w:p w14:paraId="20800209"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2,00</w:t>
            </w:r>
          </w:p>
        </w:tc>
        <w:tc>
          <w:tcPr>
            <w:tcW w:w="1265" w:type="pct"/>
            <w:shd w:val="clear" w:color="auto" w:fill="auto"/>
            <w:vAlign w:val="center"/>
          </w:tcPr>
          <w:p w14:paraId="69DADD85"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powstawać będzie w wyniku prac związanych z utrzymaniem w ruchu urządzeń i maszyn. </w:t>
            </w:r>
          </w:p>
          <w:p w14:paraId="0C7137BF"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Skład odpadu: tkaniny zanieczyszczone żywicami poliestrowymi i rozpuszczalnikami organicznymi, ciało stałe o charakterystycznym zapachu styrenu lub rozpuszczalników organicznych, palne.</w:t>
            </w:r>
          </w:p>
          <w:p w14:paraId="6E745A99"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Właściwości: </w:t>
            </w:r>
          </w:p>
          <w:p w14:paraId="00C492FA"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Cs/>
                <w:sz w:val="16"/>
                <w:szCs w:val="16"/>
                <w:lang w:eastAsia="pl-PL"/>
              </w:rPr>
              <w:t>HP 3 – łatwopalne</w:t>
            </w:r>
            <w:r w:rsidRPr="00E02F30">
              <w:rPr>
                <w:rFonts w:eastAsia="Times New Roman" w:cs="Arial"/>
                <w:bCs/>
                <w:sz w:val="16"/>
                <w:szCs w:val="16"/>
                <w:lang w:eastAsia="pl-PL"/>
              </w:rPr>
              <w:br/>
              <w:t xml:space="preserve">HP 4 - działanie drażniące na skórę i powodujące uszkodzenie oczu, </w:t>
            </w:r>
            <w:r w:rsidRPr="00E02F30">
              <w:rPr>
                <w:rFonts w:eastAsia="Times New Roman" w:cs="Arial"/>
                <w:bCs/>
                <w:sz w:val="16"/>
                <w:szCs w:val="16"/>
                <w:lang w:eastAsia="pl-PL"/>
              </w:rPr>
              <w:br/>
              <w:t xml:space="preserve">HP 7 – rakotwórcze, </w:t>
            </w:r>
            <w:r w:rsidRPr="00E02F30">
              <w:rPr>
                <w:rFonts w:eastAsia="Times New Roman" w:cs="Arial"/>
                <w:bCs/>
                <w:sz w:val="16"/>
                <w:szCs w:val="16"/>
                <w:lang w:eastAsia="pl-PL"/>
              </w:rPr>
              <w:br/>
              <w:t xml:space="preserve">HP 14 – </w:t>
            </w:r>
            <w:proofErr w:type="spellStart"/>
            <w:r w:rsidRPr="00E02F30">
              <w:rPr>
                <w:rFonts w:eastAsia="Times New Roman" w:cs="Arial"/>
                <w:bCs/>
                <w:sz w:val="16"/>
                <w:szCs w:val="16"/>
                <w:lang w:eastAsia="pl-PL"/>
              </w:rPr>
              <w:t>ekotoksyczne</w:t>
            </w:r>
            <w:proofErr w:type="spellEnd"/>
            <w:r w:rsidRPr="00E02F30">
              <w:rPr>
                <w:rFonts w:eastAsia="Times New Roman" w:cs="Arial"/>
                <w:bCs/>
                <w:sz w:val="16"/>
                <w:szCs w:val="16"/>
                <w:lang w:eastAsia="pl-PL"/>
              </w:rPr>
              <w:t>.</w:t>
            </w:r>
          </w:p>
        </w:tc>
        <w:tc>
          <w:tcPr>
            <w:tcW w:w="930" w:type="pct"/>
            <w:shd w:val="clear" w:color="auto" w:fill="auto"/>
            <w:vAlign w:val="center"/>
          </w:tcPr>
          <w:p w14:paraId="104729CF"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OBIEKT 524</w:t>
            </w:r>
          </w:p>
          <w:p w14:paraId="151BAB64"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Odpady magazynowane będą w szczelnie zamkniętych oznakowanych opakowaniach lub workach polietylenowych ułożone na paletach w magazynie odpadów w obiekcie 529, w budynku 801, w obiekcie 402. </w:t>
            </w:r>
          </w:p>
          <w:p w14:paraId="618ADB5A"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OBIEKT 501 i 501A</w:t>
            </w:r>
          </w:p>
          <w:p w14:paraId="270E00D9"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Odpady magazynowane będą w szczelnie </w:t>
            </w:r>
            <w:proofErr w:type="spellStart"/>
            <w:r w:rsidRPr="00E02F30">
              <w:rPr>
                <w:rFonts w:eastAsia="Times New Roman" w:cs="Arial"/>
                <w:sz w:val="16"/>
                <w:szCs w:val="16"/>
                <w:lang w:eastAsia="pl-PL"/>
              </w:rPr>
              <w:t>zamknię</w:t>
            </w:r>
            <w:proofErr w:type="spellEnd"/>
            <w:r w:rsidRPr="00E02F30">
              <w:rPr>
                <w:rFonts w:eastAsia="Times New Roman" w:cs="Arial"/>
                <w:sz w:val="16"/>
                <w:szCs w:val="16"/>
                <w:lang w:eastAsia="pl-PL"/>
              </w:rPr>
              <w:t>-tych oznakowanych opakowaniach (</w:t>
            </w:r>
            <w:proofErr w:type="spellStart"/>
            <w:r w:rsidRPr="00E02F30">
              <w:rPr>
                <w:rFonts w:eastAsia="Times New Roman" w:cs="Arial"/>
                <w:sz w:val="16"/>
                <w:szCs w:val="16"/>
                <w:lang w:eastAsia="pl-PL"/>
              </w:rPr>
              <w:t>hobokach</w:t>
            </w:r>
            <w:proofErr w:type="spellEnd"/>
            <w:r w:rsidRPr="00E02F30">
              <w:rPr>
                <w:rFonts w:eastAsia="Times New Roman" w:cs="Arial"/>
                <w:sz w:val="16"/>
                <w:szCs w:val="16"/>
                <w:lang w:eastAsia="pl-PL"/>
              </w:rPr>
              <w:t>, becz-</w:t>
            </w:r>
            <w:proofErr w:type="spellStart"/>
            <w:r w:rsidRPr="00E02F30">
              <w:rPr>
                <w:rFonts w:eastAsia="Times New Roman" w:cs="Arial"/>
                <w:sz w:val="16"/>
                <w:szCs w:val="16"/>
                <w:lang w:eastAsia="pl-PL"/>
              </w:rPr>
              <w:t>kach</w:t>
            </w:r>
            <w:proofErr w:type="spellEnd"/>
            <w:r w:rsidRPr="00E02F30">
              <w:rPr>
                <w:rFonts w:eastAsia="Times New Roman" w:cs="Arial"/>
                <w:sz w:val="16"/>
                <w:szCs w:val="16"/>
                <w:lang w:eastAsia="pl-PL"/>
              </w:rPr>
              <w:t>) lub zamkniętych w oznakowanych workach polietylenowych ułożonych na paletach w magazyn odpadów w obiekcie 518, w budynku 801, w obiekcie 402.</w:t>
            </w:r>
          </w:p>
        </w:tc>
        <w:tc>
          <w:tcPr>
            <w:tcW w:w="945" w:type="pct"/>
            <w:shd w:val="clear" w:color="auto" w:fill="auto"/>
            <w:vAlign w:val="center"/>
          </w:tcPr>
          <w:p w14:paraId="5F434B43"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2220FEEF" w14:textId="77777777" w:rsidTr="00A1631B">
        <w:trPr>
          <w:jc w:val="center"/>
        </w:trPr>
        <w:tc>
          <w:tcPr>
            <w:tcW w:w="264" w:type="pct"/>
            <w:shd w:val="clear" w:color="auto" w:fill="auto"/>
            <w:vAlign w:val="center"/>
          </w:tcPr>
          <w:p w14:paraId="4BB5BC3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6</w:t>
            </w:r>
          </w:p>
        </w:tc>
        <w:tc>
          <w:tcPr>
            <w:tcW w:w="466" w:type="pct"/>
            <w:shd w:val="clear" w:color="auto" w:fill="auto"/>
            <w:vAlign w:val="center"/>
          </w:tcPr>
          <w:p w14:paraId="16035072"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16 06 01*</w:t>
            </w:r>
          </w:p>
        </w:tc>
        <w:tc>
          <w:tcPr>
            <w:tcW w:w="665" w:type="pct"/>
            <w:shd w:val="clear" w:color="auto" w:fill="auto"/>
            <w:vAlign w:val="center"/>
          </w:tcPr>
          <w:p w14:paraId="1831E88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Baterie i akumulatory ołowiowe.</w:t>
            </w:r>
          </w:p>
        </w:tc>
        <w:tc>
          <w:tcPr>
            <w:tcW w:w="465" w:type="pct"/>
            <w:shd w:val="clear" w:color="auto" w:fill="auto"/>
            <w:vAlign w:val="center"/>
          </w:tcPr>
          <w:p w14:paraId="4DB33978"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0,20</w:t>
            </w:r>
          </w:p>
        </w:tc>
        <w:tc>
          <w:tcPr>
            <w:tcW w:w="1265" w:type="pct"/>
            <w:shd w:val="clear" w:color="auto" w:fill="auto"/>
            <w:vAlign w:val="center"/>
          </w:tcPr>
          <w:p w14:paraId="6FB09F09"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powstawać będzie przy wymianie akumulatorów ołowiowych z urządzeń podtrzymujących oświetlenie, </w:t>
            </w:r>
            <w:proofErr w:type="spellStart"/>
            <w:r w:rsidRPr="00E02F30">
              <w:rPr>
                <w:rFonts w:eastAsia="Times New Roman" w:cs="Arial"/>
                <w:b/>
                <w:bCs/>
                <w:sz w:val="16"/>
                <w:szCs w:val="16"/>
                <w:lang w:eastAsia="pl-PL"/>
              </w:rPr>
              <w:t>zasilań</w:t>
            </w:r>
            <w:proofErr w:type="spellEnd"/>
            <w:r w:rsidRPr="00E02F30">
              <w:rPr>
                <w:rFonts w:eastAsia="Times New Roman" w:cs="Arial"/>
                <w:b/>
                <w:bCs/>
                <w:sz w:val="16"/>
                <w:szCs w:val="16"/>
                <w:lang w:eastAsia="pl-PL"/>
              </w:rPr>
              <w:t xml:space="preserve"> awaryjnych maszyn, urządzeń i obiektów. </w:t>
            </w:r>
          </w:p>
          <w:p w14:paraId="65D2126E"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odpadu: ołów, związki ołowiu, kwas siarkowy, tworzywa sztuczne, głównie polipropylen, metale żelazne i nieżelazne. Ciało stałe. </w:t>
            </w:r>
          </w:p>
          <w:p w14:paraId="4719F109"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Właściwości: </w:t>
            </w:r>
          </w:p>
          <w:p w14:paraId="4940AF66"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Cs/>
                <w:sz w:val="16"/>
                <w:szCs w:val="16"/>
                <w:lang w:eastAsia="pl-PL"/>
              </w:rPr>
              <w:t xml:space="preserve">HP 4 – drażniące, </w:t>
            </w:r>
            <w:r w:rsidRPr="00E02F30">
              <w:rPr>
                <w:rFonts w:eastAsia="Times New Roman" w:cs="Arial"/>
                <w:bCs/>
                <w:sz w:val="16"/>
                <w:szCs w:val="16"/>
                <w:lang w:eastAsia="pl-PL"/>
              </w:rPr>
              <w:br/>
              <w:t>HP 8 – żrące.</w:t>
            </w:r>
          </w:p>
        </w:tc>
        <w:tc>
          <w:tcPr>
            <w:tcW w:w="930" w:type="pct"/>
            <w:shd w:val="clear" w:color="auto" w:fill="auto"/>
            <w:vAlign w:val="center"/>
          </w:tcPr>
          <w:p w14:paraId="5195C0AF"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magazynowane będą luzem w wyznaczonym miejscu oznakowanym i zabezpieczonym w budynku 801</w:t>
            </w:r>
          </w:p>
        </w:tc>
        <w:tc>
          <w:tcPr>
            <w:tcW w:w="945" w:type="pct"/>
            <w:shd w:val="clear" w:color="auto" w:fill="auto"/>
            <w:vAlign w:val="center"/>
          </w:tcPr>
          <w:p w14:paraId="790DD13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w:t>
            </w:r>
          </w:p>
        </w:tc>
      </w:tr>
      <w:tr w:rsidR="00E02F30" w:rsidRPr="00E02F30" w14:paraId="0DC04457" w14:textId="77777777" w:rsidTr="00A1631B">
        <w:trPr>
          <w:jc w:val="center"/>
        </w:trPr>
        <w:tc>
          <w:tcPr>
            <w:tcW w:w="264" w:type="pct"/>
            <w:shd w:val="clear" w:color="auto" w:fill="auto"/>
            <w:vAlign w:val="center"/>
          </w:tcPr>
          <w:p w14:paraId="66E0CE58"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7</w:t>
            </w:r>
          </w:p>
        </w:tc>
        <w:tc>
          <w:tcPr>
            <w:tcW w:w="466" w:type="pct"/>
            <w:shd w:val="clear" w:color="auto" w:fill="auto"/>
            <w:vAlign w:val="center"/>
          </w:tcPr>
          <w:p w14:paraId="5958F6A9"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16 81 01*</w:t>
            </w:r>
          </w:p>
        </w:tc>
        <w:tc>
          <w:tcPr>
            <w:tcW w:w="665" w:type="pct"/>
            <w:shd w:val="clear" w:color="auto" w:fill="auto"/>
            <w:vAlign w:val="center"/>
          </w:tcPr>
          <w:p w14:paraId="44FB926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wykazujące właściwości niebezpieczne</w:t>
            </w:r>
          </w:p>
        </w:tc>
        <w:tc>
          <w:tcPr>
            <w:tcW w:w="465" w:type="pct"/>
            <w:shd w:val="clear" w:color="auto" w:fill="auto"/>
            <w:vAlign w:val="center"/>
          </w:tcPr>
          <w:p w14:paraId="022D420F"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5,00</w:t>
            </w:r>
          </w:p>
        </w:tc>
        <w:tc>
          <w:tcPr>
            <w:tcW w:w="1265" w:type="pct"/>
            <w:shd w:val="clear" w:color="auto" w:fill="auto"/>
            <w:vAlign w:val="center"/>
          </w:tcPr>
          <w:p w14:paraId="1D4BE07D"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Odpady powstałe w wyniku zdarzeń losowych. </w:t>
            </w:r>
          </w:p>
          <w:p w14:paraId="02EFE73E"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odpadu: pozostałości po nienasyconych żywicach poliestrowych zmieszane z alifatycznymi, cyklicznymi i aromatycznymi węglowodorami, lepka ciecz lub ciało stałe o charakterystycznym zapachu styrenu lub rozpuszczalników. </w:t>
            </w:r>
          </w:p>
          <w:p w14:paraId="4886F91C"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Właściwości: </w:t>
            </w:r>
          </w:p>
          <w:p w14:paraId="7D0F7ADE"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Cs/>
                <w:sz w:val="16"/>
                <w:szCs w:val="16"/>
                <w:lang w:eastAsia="pl-PL"/>
              </w:rPr>
              <w:t xml:space="preserve">HP 4 - działanie drażniące na skórę i powodujące uszkodzenie oczu, </w:t>
            </w:r>
            <w:r w:rsidRPr="00E02F30">
              <w:rPr>
                <w:rFonts w:eastAsia="Times New Roman" w:cs="Arial"/>
                <w:bCs/>
                <w:sz w:val="16"/>
                <w:szCs w:val="16"/>
                <w:lang w:eastAsia="pl-PL"/>
              </w:rPr>
              <w:br/>
              <w:t xml:space="preserve">HP 5 – działanie toksyczne na narządy docelowe (STOT) lub zagrożenie spowodowane aspiracją, oraz </w:t>
            </w:r>
            <w:r w:rsidRPr="00E02F30">
              <w:rPr>
                <w:rFonts w:eastAsia="Times New Roman" w:cs="Arial"/>
                <w:bCs/>
                <w:sz w:val="16"/>
                <w:szCs w:val="16"/>
                <w:lang w:eastAsia="pl-PL"/>
              </w:rPr>
              <w:br/>
              <w:t xml:space="preserve">HP 14 – </w:t>
            </w:r>
            <w:proofErr w:type="spellStart"/>
            <w:r w:rsidRPr="00E02F30">
              <w:rPr>
                <w:rFonts w:eastAsia="Times New Roman" w:cs="Arial"/>
                <w:bCs/>
                <w:sz w:val="16"/>
                <w:szCs w:val="16"/>
                <w:lang w:eastAsia="pl-PL"/>
              </w:rPr>
              <w:t>ekotoksyczne</w:t>
            </w:r>
            <w:proofErr w:type="spellEnd"/>
          </w:p>
        </w:tc>
        <w:tc>
          <w:tcPr>
            <w:tcW w:w="930" w:type="pct"/>
            <w:shd w:val="clear" w:color="auto" w:fill="auto"/>
            <w:vAlign w:val="center"/>
          </w:tcPr>
          <w:p w14:paraId="55E9835E"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Odpady magazynowane będą w dobranych do ich konsystencji szczelnie zamkniętych oznakowanych opakowaniach (workach polietylenowych, beczkach, </w:t>
            </w:r>
            <w:proofErr w:type="spellStart"/>
            <w:r w:rsidRPr="00E02F30">
              <w:rPr>
                <w:rFonts w:eastAsia="Times New Roman" w:cs="Arial"/>
                <w:sz w:val="16"/>
                <w:szCs w:val="16"/>
                <w:lang w:eastAsia="pl-PL"/>
              </w:rPr>
              <w:t>hobokach</w:t>
            </w:r>
            <w:proofErr w:type="spellEnd"/>
            <w:r w:rsidRPr="00E02F30">
              <w:rPr>
                <w:rFonts w:eastAsia="Times New Roman" w:cs="Arial"/>
                <w:sz w:val="16"/>
                <w:szCs w:val="16"/>
                <w:lang w:eastAsia="pl-PL"/>
              </w:rPr>
              <w:t>) w magazynie odpadów w obiekcie 529, w budynku 801, w obiekcie 402.</w:t>
            </w:r>
          </w:p>
        </w:tc>
        <w:tc>
          <w:tcPr>
            <w:tcW w:w="945" w:type="pct"/>
            <w:shd w:val="clear" w:color="auto" w:fill="auto"/>
            <w:vAlign w:val="center"/>
          </w:tcPr>
          <w:p w14:paraId="7A619C90"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23CC9C9D" w14:textId="77777777" w:rsidTr="00A1631B">
        <w:trPr>
          <w:jc w:val="center"/>
        </w:trPr>
        <w:tc>
          <w:tcPr>
            <w:tcW w:w="264" w:type="pct"/>
            <w:shd w:val="clear" w:color="auto" w:fill="auto"/>
            <w:vAlign w:val="center"/>
          </w:tcPr>
          <w:p w14:paraId="240A732E"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8</w:t>
            </w:r>
          </w:p>
        </w:tc>
        <w:tc>
          <w:tcPr>
            <w:tcW w:w="466" w:type="pct"/>
            <w:shd w:val="clear" w:color="auto" w:fill="auto"/>
            <w:vAlign w:val="center"/>
          </w:tcPr>
          <w:p w14:paraId="3FF180AE"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17 06 03*</w:t>
            </w:r>
          </w:p>
        </w:tc>
        <w:tc>
          <w:tcPr>
            <w:tcW w:w="665" w:type="pct"/>
            <w:shd w:val="clear" w:color="auto" w:fill="auto"/>
            <w:vAlign w:val="center"/>
          </w:tcPr>
          <w:p w14:paraId="2EE26C4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Inne materiały izolacyjne zawierające substancje niebezpieczne</w:t>
            </w:r>
          </w:p>
          <w:p w14:paraId="3F619EB0" w14:textId="77777777" w:rsidR="00E02F30" w:rsidRPr="00E02F30" w:rsidRDefault="00E02F30" w:rsidP="00E02F30">
            <w:pPr>
              <w:keepNext/>
              <w:spacing w:before="60" w:after="60" w:line="276" w:lineRule="auto"/>
              <w:ind w:firstLine="709"/>
              <w:jc w:val="both"/>
              <w:rPr>
                <w:rFonts w:eastAsia="Times New Roman" w:cs="Arial"/>
                <w:sz w:val="16"/>
                <w:szCs w:val="16"/>
                <w:lang w:eastAsia="pl-PL"/>
              </w:rPr>
            </w:pPr>
          </w:p>
        </w:tc>
        <w:tc>
          <w:tcPr>
            <w:tcW w:w="465" w:type="pct"/>
            <w:shd w:val="clear" w:color="auto" w:fill="auto"/>
            <w:vAlign w:val="center"/>
          </w:tcPr>
          <w:p w14:paraId="1F11A22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3,00</w:t>
            </w:r>
          </w:p>
        </w:tc>
        <w:tc>
          <w:tcPr>
            <w:tcW w:w="1265" w:type="pct"/>
            <w:shd w:val="clear" w:color="auto" w:fill="auto"/>
            <w:vAlign w:val="center"/>
          </w:tcPr>
          <w:p w14:paraId="028762D5"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Odpad: wełna mineralna zanieczyszczona substancjami chemicznymi.</w:t>
            </w:r>
          </w:p>
          <w:p w14:paraId="1EE727A0"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Skład: wełna mineralna zanieczyszczona produktami lub substancjami chemicznymi</w:t>
            </w:r>
          </w:p>
          <w:p w14:paraId="24E7D8FB"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Właściwości:</w:t>
            </w:r>
          </w:p>
          <w:p w14:paraId="6D7BD3F9"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Ciało stałe o charakterystycznej strukturze w zależności od </w:t>
            </w:r>
            <w:proofErr w:type="spellStart"/>
            <w:r w:rsidRPr="00E02F30">
              <w:rPr>
                <w:rFonts w:eastAsia="Times New Roman" w:cs="Arial"/>
                <w:bCs/>
                <w:sz w:val="16"/>
                <w:szCs w:val="16"/>
                <w:lang w:eastAsia="pl-PL"/>
              </w:rPr>
              <w:t>zaniczyszczenia</w:t>
            </w:r>
            <w:proofErr w:type="spellEnd"/>
            <w:r w:rsidRPr="00E02F30">
              <w:rPr>
                <w:rFonts w:eastAsia="Times New Roman" w:cs="Arial"/>
                <w:bCs/>
                <w:sz w:val="16"/>
                <w:szCs w:val="16"/>
                <w:lang w:eastAsia="pl-PL"/>
              </w:rPr>
              <w:t>, lepkie, mokre, zbite w jednolitą masę.</w:t>
            </w:r>
          </w:p>
          <w:p w14:paraId="427FD98A"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W zależności od zanieczyszczenia</w:t>
            </w:r>
          </w:p>
          <w:p w14:paraId="3DC95421"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Cs/>
                <w:sz w:val="16"/>
                <w:szCs w:val="16"/>
                <w:lang w:eastAsia="pl-PL"/>
              </w:rPr>
              <w:t>HP 3 – łatwopalne</w:t>
            </w:r>
            <w:r w:rsidRPr="00E02F30">
              <w:rPr>
                <w:rFonts w:eastAsia="Times New Roman" w:cs="Arial"/>
                <w:bCs/>
                <w:sz w:val="16"/>
                <w:szCs w:val="16"/>
                <w:lang w:eastAsia="pl-PL"/>
              </w:rPr>
              <w:br/>
              <w:t xml:space="preserve">HP 4 - działanie drażniące na skórę i powodujące uszkodzenie oczu, </w:t>
            </w:r>
            <w:r w:rsidRPr="00E02F30">
              <w:rPr>
                <w:rFonts w:eastAsia="Times New Roman" w:cs="Arial"/>
                <w:bCs/>
                <w:sz w:val="16"/>
                <w:szCs w:val="16"/>
                <w:lang w:eastAsia="pl-PL"/>
              </w:rPr>
              <w:br/>
              <w:t>HP 7 – rakotwórcze,</w:t>
            </w:r>
            <w:r w:rsidRPr="00E02F30">
              <w:rPr>
                <w:rFonts w:eastAsia="Times New Roman" w:cs="Arial"/>
                <w:bCs/>
                <w:sz w:val="16"/>
                <w:szCs w:val="16"/>
                <w:lang w:eastAsia="pl-PL"/>
              </w:rPr>
              <w:br/>
              <w:t xml:space="preserve"> HP 14 – </w:t>
            </w:r>
            <w:proofErr w:type="spellStart"/>
            <w:r w:rsidRPr="00E02F30">
              <w:rPr>
                <w:rFonts w:eastAsia="Times New Roman" w:cs="Arial"/>
                <w:bCs/>
                <w:sz w:val="16"/>
                <w:szCs w:val="16"/>
                <w:lang w:eastAsia="pl-PL"/>
              </w:rPr>
              <w:t>ekotoksyczne</w:t>
            </w:r>
            <w:proofErr w:type="spellEnd"/>
            <w:r w:rsidRPr="00E02F30">
              <w:rPr>
                <w:rFonts w:eastAsia="Times New Roman" w:cs="Arial"/>
                <w:bCs/>
                <w:sz w:val="16"/>
                <w:szCs w:val="16"/>
                <w:lang w:eastAsia="pl-PL"/>
              </w:rPr>
              <w:t>.</w:t>
            </w:r>
          </w:p>
        </w:tc>
        <w:tc>
          <w:tcPr>
            <w:tcW w:w="930" w:type="pct"/>
            <w:shd w:val="clear" w:color="auto" w:fill="auto"/>
            <w:vAlign w:val="center"/>
          </w:tcPr>
          <w:p w14:paraId="6FAD5D63"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magazynowane będą w workach polietylenowych, kontenerach PE, na paletach w budynku 801, w obiekcie 402</w:t>
            </w:r>
          </w:p>
        </w:tc>
        <w:tc>
          <w:tcPr>
            <w:tcW w:w="945" w:type="pct"/>
            <w:shd w:val="clear" w:color="auto" w:fill="auto"/>
            <w:vAlign w:val="center"/>
          </w:tcPr>
          <w:p w14:paraId="68E49247"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5A0FA725" w14:textId="77777777" w:rsidTr="00A1631B">
        <w:trPr>
          <w:trHeight w:val="486"/>
          <w:jc w:val="center"/>
        </w:trPr>
        <w:tc>
          <w:tcPr>
            <w:tcW w:w="1395" w:type="pct"/>
            <w:gridSpan w:val="3"/>
            <w:shd w:val="clear" w:color="auto" w:fill="auto"/>
            <w:vAlign w:val="center"/>
          </w:tcPr>
          <w:p w14:paraId="7BA0FF4F" w14:textId="77777777" w:rsidR="00E02F30" w:rsidRPr="00E02F30" w:rsidRDefault="00E02F30" w:rsidP="00E02F30">
            <w:pPr>
              <w:keepNext/>
              <w:spacing w:before="60" w:after="60" w:line="276" w:lineRule="auto"/>
              <w:ind w:firstLine="709"/>
              <w:jc w:val="both"/>
              <w:rPr>
                <w:rFonts w:eastAsia="Times New Roman" w:cs="Arial"/>
                <w:sz w:val="16"/>
                <w:szCs w:val="16"/>
                <w:lang w:eastAsia="pl-PL"/>
              </w:rPr>
            </w:pPr>
            <w:r w:rsidRPr="00E02F30">
              <w:rPr>
                <w:rFonts w:eastAsia="Times New Roman" w:cs="Arial"/>
                <w:sz w:val="16"/>
                <w:szCs w:val="16"/>
                <w:lang w:eastAsia="pl-PL"/>
              </w:rPr>
              <w:t>SUMA</w:t>
            </w:r>
          </w:p>
        </w:tc>
        <w:tc>
          <w:tcPr>
            <w:tcW w:w="465" w:type="pct"/>
            <w:shd w:val="clear" w:color="auto" w:fill="auto"/>
            <w:vAlign w:val="center"/>
          </w:tcPr>
          <w:p w14:paraId="6A6F7674"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365,2</w:t>
            </w:r>
          </w:p>
        </w:tc>
        <w:tc>
          <w:tcPr>
            <w:tcW w:w="3140" w:type="pct"/>
            <w:gridSpan w:val="3"/>
            <w:shd w:val="clear" w:color="auto" w:fill="auto"/>
            <w:vAlign w:val="center"/>
          </w:tcPr>
          <w:p w14:paraId="51202A9D" w14:textId="77777777" w:rsidR="00E02F30" w:rsidRPr="00E02F30" w:rsidRDefault="00E02F30" w:rsidP="00E02F30">
            <w:pPr>
              <w:keepNext/>
              <w:spacing w:before="60" w:after="60" w:line="276" w:lineRule="auto"/>
              <w:ind w:firstLine="709"/>
              <w:jc w:val="both"/>
              <w:rPr>
                <w:rFonts w:eastAsia="Times New Roman" w:cs="Arial"/>
                <w:sz w:val="16"/>
                <w:szCs w:val="16"/>
                <w:lang w:eastAsia="pl-PL"/>
              </w:rPr>
            </w:pPr>
          </w:p>
        </w:tc>
      </w:tr>
    </w:tbl>
    <w:p w14:paraId="258C15AD" w14:textId="77777777" w:rsidR="00E02F30" w:rsidRPr="00E02F30" w:rsidRDefault="00E02F30" w:rsidP="00E02F30">
      <w:pPr>
        <w:keepNext/>
        <w:widowControl w:val="0"/>
        <w:adjustRightInd w:val="0"/>
        <w:spacing w:after="0" w:line="240" w:lineRule="auto"/>
        <w:textAlignment w:val="baseline"/>
        <w:outlineLvl w:val="4"/>
        <w:rPr>
          <w:rFonts w:eastAsia="Calibri" w:cs="Times New Roman"/>
          <w:szCs w:val="20"/>
        </w:rPr>
      </w:pPr>
      <w:r w:rsidRPr="00E02F30">
        <w:rPr>
          <w:rFonts w:eastAsia="Calibri" w:cs="Times New Roman"/>
          <w:szCs w:val="20"/>
        </w:rPr>
        <w:t>Tabela 4a</w:t>
      </w:r>
    </w:p>
    <w:tbl>
      <w:tblPr>
        <w:tblW w:w="5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Zawiera komórki scalone. Dotyczy wytwarzania odpadów innych niż niebezpieczne. Przedstawia 13 kodów odpadów z podaniem ich rodzaju, ilości, źródła powstania, ich podstawowy skład chemiczny i właściwości. Przedstawia także sposób i miejsce magazynowania tych odpaów oraz sposób ich dalszego zagospodarowania."/>
      </w:tblPr>
      <w:tblGrid>
        <w:gridCol w:w="559"/>
        <w:gridCol w:w="987"/>
        <w:gridCol w:w="1409"/>
        <w:gridCol w:w="985"/>
        <w:gridCol w:w="2680"/>
        <w:gridCol w:w="1970"/>
        <w:gridCol w:w="2002"/>
      </w:tblGrid>
      <w:tr w:rsidR="00E02F30" w:rsidRPr="00E02F30" w14:paraId="4A584588" w14:textId="77777777" w:rsidTr="00A1631B">
        <w:trPr>
          <w:tblHeader/>
          <w:jc w:val="center"/>
        </w:trPr>
        <w:tc>
          <w:tcPr>
            <w:tcW w:w="5000" w:type="pct"/>
            <w:gridSpan w:val="7"/>
            <w:shd w:val="clear" w:color="auto" w:fill="auto"/>
            <w:vAlign w:val="center"/>
          </w:tcPr>
          <w:p w14:paraId="0A286285" w14:textId="77777777" w:rsidR="00E02F30" w:rsidRPr="00E02F30" w:rsidRDefault="00E02F30" w:rsidP="00E02F30">
            <w:pPr>
              <w:keepNext/>
              <w:spacing w:before="60" w:after="60" w:line="276" w:lineRule="auto"/>
              <w:jc w:val="center"/>
              <w:rPr>
                <w:rFonts w:eastAsia="Times New Roman" w:cs="Arial"/>
                <w:b/>
                <w:sz w:val="16"/>
                <w:szCs w:val="16"/>
                <w:lang w:eastAsia="pl-PL"/>
              </w:rPr>
            </w:pPr>
            <w:r w:rsidRPr="00E02F30">
              <w:rPr>
                <w:rFonts w:eastAsia="Times New Roman" w:cs="Arial"/>
                <w:b/>
                <w:sz w:val="16"/>
                <w:szCs w:val="16"/>
                <w:lang w:eastAsia="pl-PL"/>
              </w:rPr>
              <w:t>ODAPADY INNE NIŻ NIEBEZPIECZNE</w:t>
            </w:r>
          </w:p>
        </w:tc>
      </w:tr>
      <w:tr w:rsidR="00E02F30" w:rsidRPr="00E02F30" w14:paraId="6CFFE76B" w14:textId="77777777" w:rsidTr="00A1631B">
        <w:trPr>
          <w:tblHeader/>
          <w:jc w:val="center"/>
        </w:trPr>
        <w:tc>
          <w:tcPr>
            <w:tcW w:w="264" w:type="pct"/>
            <w:shd w:val="clear" w:color="auto" w:fill="auto"/>
            <w:vAlign w:val="center"/>
          </w:tcPr>
          <w:p w14:paraId="37705B9B"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Lp.</w:t>
            </w:r>
          </w:p>
        </w:tc>
        <w:tc>
          <w:tcPr>
            <w:tcW w:w="466" w:type="pct"/>
            <w:shd w:val="clear" w:color="auto" w:fill="auto"/>
            <w:vAlign w:val="center"/>
          </w:tcPr>
          <w:p w14:paraId="6C77240B"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Kod odpadu</w:t>
            </w:r>
          </w:p>
        </w:tc>
        <w:tc>
          <w:tcPr>
            <w:tcW w:w="665" w:type="pct"/>
            <w:shd w:val="clear" w:color="auto" w:fill="auto"/>
            <w:vAlign w:val="center"/>
          </w:tcPr>
          <w:p w14:paraId="31AEB8E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Rodzaj odpadu</w:t>
            </w:r>
          </w:p>
        </w:tc>
        <w:tc>
          <w:tcPr>
            <w:tcW w:w="465" w:type="pct"/>
            <w:shd w:val="clear" w:color="auto" w:fill="auto"/>
            <w:vAlign w:val="center"/>
          </w:tcPr>
          <w:p w14:paraId="16F92A8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Ilość [Mg/rok]</w:t>
            </w:r>
          </w:p>
        </w:tc>
        <w:tc>
          <w:tcPr>
            <w:tcW w:w="1265" w:type="pct"/>
            <w:shd w:val="clear" w:color="auto" w:fill="auto"/>
            <w:vAlign w:val="center"/>
          </w:tcPr>
          <w:p w14:paraId="6FE21D84"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sz w:val="16"/>
                <w:szCs w:val="16"/>
                <w:lang w:eastAsia="pl-PL"/>
              </w:rPr>
              <w:t>Źródło powstawania odpadów/ podstawowy skład chemiczny i właściwości</w:t>
            </w:r>
          </w:p>
        </w:tc>
        <w:tc>
          <w:tcPr>
            <w:tcW w:w="930" w:type="pct"/>
            <w:shd w:val="clear" w:color="auto" w:fill="auto"/>
            <w:vAlign w:val="center"/>
          </w:tcPr>
          <w:p w14:paraId="509336EE"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Sposób i miejsce magazynowania odpadów</w:t>
            </w:r>
          </w:p>
        </w:tc>
        <w:tc>
          <w:tcPr>
            <w:tcW w:w="945" w:type="pct"/>
            <w:shd w:val="clear" w:color="auto" w:fill="auto"/>
            <w:vAlign w:val="center"/>
          </w:tcPr>
          <w:p w14:paraId="3AAF2A8B"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b/>
                <w:sz w:val="16"/>
                <w:szCs w:val="16"/>
                <w:lang w:eastAsia="pl-PL"/>
              </w:rPr>
              <w:t>Sposób dalszego zagospodarowania odpadów</w:t>
            </w:r>
          </w:p>
        </w:tc>
      </w:tr>
      <w:tr w:rsidR="00E02F30" w:rsidRPr="00E02F30" w14:paraId="6162DE21" w14:textId="77777777" w:rsidTr="00A1631B">
        <w:trPr>
          <w:jc w:val="center"/>
        </w:trPr>
        <w:tc>
          <w:tcPr>
            <w:tcW w:w="264" w:type="pct"/>
            <w:shd w:val="clear" w:color="auto" w:fill="auto"/>
            <w:vAlign w:val="center"/>
          </w:tcPr>
          <w:p w14:paraId="305DD44E"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w:t>
            </w:r>
          </w:p>
        </w:tc>
        <w:tc>
          <w:tcPr>
            <w:tcW w:w="466" w:type="pct"/>
            <w:shd w:val="clear" w:color="auto" w:fill="auto"/>
            <w:vAlign w:val="center"/>
          </w:tcPr>
          <w:p w14:paraId="1AA6857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07 02 99</w:t>
            </w:r>
          </w:p>
        </w:tc>
        <w:tc>
          <w:tcPr>
            <w:tcW w:w="665" w:type="pct"/>
            <w:shd w:val="clear" w:color="auto" w:fill="auto"/>
            <w:vAlign w:val="center"/>
          </w:tcPr>
          <w:p w14:paraId="015BB507"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Inne nie wymienione odpady</w:t>
            </w:r>
          </w:p>
        </w:tc>
        <w:tc>
          <w:tcPr>
            <w:tcW w:w="465" w:type="pct"/>
            <w:shd w:val="clear" w:color="auto" w:fill="auto"/>
            <w:vAlign w:val="center"/>
          </w:tcPr>
          <w:p w14:paraId="363C6BE4"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1,00</w:t>
            </w:r>
          </w:p>
        </w:tc>
        <w:tc>
          <w:tcPr>
            <w:tcW w:w="1265" w:type="pct"/>
            <w:shd w:val="clear" w:color="auto" w:fill="auto"/>
            <w:vAlign w:val="center"/>
          </w:tcPr>
          <w:p w14:paraId="4703D2F6"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powstawać będzie w procesie wytwarzania produkcja żywic i żelkotów poliestrowych. </w:t>
            </w:r>
          </w:p>
          <w:p w14:paraId="78C0F118"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Skład: utwardzone żywice poliestrowe. </w:t>
            </w:r>
          </w:p>
          <w:p w14:paraId="1CEE1BBC"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Właściwości: </w:t>
            </w:r>
          </w:p>
          <w:p w14:paraId="75AAB211"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ciało stałe, nierozpuszczalne w wodzie i rozpuszczalnikach organicznych, palne.</w:t>
            </w:r>
          </w:p>
        </w:tc>
        <w:tc>
          <w:tcPr>
            <w:tcW w:w="930" w:type="pct"/>
            <w:shd w:val="clear" w:color="auto" w:fill="auto"/>
            <w:vAlign w:val="center"/>
          </w:tcPr>
          <w:p w14:paraId="307E2DEA"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Odpad magazynowany będzie w szczelnie zamkniętych oznakowanych opakowaniach (workach polietylenowych lub </w:t>
            </w:r>
            <w:proofErr w:type="spellStart"/>
            <w:r w:rsidRPr="00E02F30">
              <w:rPr>
                <w:rFonts w:eastAsia="Times New Roman" w:cs="Arial"/>
                <w:sz w:val="16"/>
                <w:szCs w:val="16"/>
                <w:lang w:eastAsia="pl-PL"/>
              </w:rPr>
              <w:t>hobokach</w:t>
            </w:r>
            <w:proofErr w:type="spellEnd"/>
            <w:r w:rsidRPr="00E02F30">
              <w:rPr>
                <w:rFonts w:eastAsia="Times New Roman" w:cs="Arial"/>
                <w:sz w:val="16"/>
                <w:szCs w:val="16"/>
                <w:lang w:eastAsia="pl-PL"/>
              </w:rPr>
              <w:t xml:space="preserve"> lub beczkach) w magazynie odpadów w obiekcie 518, budynku 801, w obiekcie 402.</w:t>
            </w:r>
          </w:p>
        </w:tc>
        <w:tc>
          <w:tcPr>
            <w:tcW w:w="945" w:type="pct"/>
            <w:shd w:val="clear" w:color="auto" w:fill="auto"/>
            <w:vAlign w:val="center"/>
          </w:tcPr>
          <w:p w14:paraId="73B427A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48C6C043" w14:textId="77777777" w:rsidTr="00A1631B">
        <w:trPr>
          <w:jc w:val="center"/>
        </w:trPr>
        <w:tc>
          <w:tcPr>
            <w:tcW w:w="264" w:type="pct"/>
            <w:shd w:val="clear" w:color="auto" w:fill="auto"/>
            <w:vAlign w:val="center"/>
          </w:tcPr>
          <w:p w14:paraId="28F08084"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2</w:t>
            </w:r>
          </w:p>
        </w:tc>
        <w:tc>
          <w:tcPr>
            <w:tcW w:w="466" w:type="pct"/>
            <w:shd w:val="clear" w:color="auto" w:fill="auto"/>
            <w:vAlign w:val="center"/>
          </w:tcPr>
          <w:p w14:paraId="2D7F0A57"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15 01 01</w:t>
            </w:r>
          </w:p>
        </w:tc>
        <w:tc>
          <w:tcPr>
            <w:tcW w:w="665" w:type="pct"/>
            <w:shd w:val="clear" w:color="auto" w:fill="auto"/>
            <w:vAlign w:val="center"/>
          </w:tcPr>
          <w:p w14:paraId="7DBC82E5"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Opakowania z papieru i tektury</w:t>
            </w:r>
          </w:p>
        </w:tc>
        <w:tc>
          <w:tcPr>
            <w:tcW w:w="465" w:type="pct"/>
            <w:shd w:val="clear" w:color="auto" w:fill="auto"/>
            <w:vAlign w:val="center"/>
          </w:tcPr>
          <w:p w14:paraId="43F67C7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6,00</w:t>
            </w:r>
          </w:p>
        </w:tc>
        <w:tc>
          <w:tcPr>
            <w:tcW w:w="1265" w:type="pct"/>
            <w:shd w:val="clear" w:color="auto" w:fill="auto"/>
            <w:vAlign w:val="center"/>
          </w:tcPr>
          <w:p w14:paraId="62126D19"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stanowić będą zużyte opakowania z papieru i tektury (kartony i worki) po surowcach i materiałach. </w:t>
            </w:r>
          </w:p>
          <w:p w14:paraId="77F03FEE"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włókno, głównie pochodzenia roślinnego (drewno drzew iglastych i liściastych, trzcina, len, konopie, słoma zbożowa itp.) </w:t>
            </w:r>
          </w:p>
          <w:p w14:paraId="56D18439"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Właściwości: biodegradowalne, ciało stałe, palne.</w:t>
            </w:r>
          </w:p>
        </w:tc>
        <w:tc>
          <w:tcPr>
            <w:tcW w:w="930" w:type="pct"/>
            <w:shd w:val="clear" w:color="auto" w:fill="auto"/>
            <w:vAlign w:val="center"/>
          </w:tcPr>
          <w:p w14:paraId="3ECA54C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 magazynowany będzie w szczelnie zamkniętych oznakowanych workach polietylenowych lub luzem na paletach w obiekcie 518, budynku 801, w obiekcie 402.</w:t>
            </w:r>
          </w:p>
        </w:tc>
        <w:tc>
          <w:tcPr>
            <w:tcW w:w="945" w:type="pct"/>
            <w:shd w:val="clear" w:color="auto" w:fill="auto"/>
            <w:vAlign w:val="center"/>
          </w:tcPr>
          <w:p w14:paraId="73240AFF"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w:t>
            </w:r>
          </w:p>
        </w:tc>
      </w:tr>
      <w:tr w:rsidR="00E02F30" w:rsidRPr="00E02F30" w14:paraId="373D7FD1" w14:textId="77777777" w:rsidTr="00A1631B">
        <w:trPr>
          <w:jc w:val="center"/>
        </w:trPr>
        <w:tc>
          <w:tcPr>
            <w:tcW w:w="264" w:type="pct"/>
            <w:shd w:val="clear" w:color="auto" w:fill="auto"/>
            <w:vAlign w:val="center"/>
          </w:tcPr>
          <w:p w14:paraId="0BCAAC46"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3</w:t>
            </w:r>
          </w:p>
        </w:tc>
        <w:tc>
          <w:tcPr>
            <w:tcW w:w="466" w:type="pct"/>
            <w:shd w:val="clear" w:color="auto" w:fill="auto"/>
            <w:vAlign w:val="center"/>
          </w:tcPr>
          <w:p w14:paraId="793FBC6A"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15 01 02</w:t>
            </w:r>
          </w:p>
        </w:tc>
        <w:tc>
          <w:tcPr>
            <w:tcW w:w="665" w:type="pct"/>
            <w:shd w:val="clear" w:color="auto" w:fill="auto"/>
            <w:vAlign w:val="center"/>
          </w:tcPr>
          <w:p w14:paraId="1D2C172F"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Opakowania z tworzyw sztucznych</w:t>
            </w:r>
          </w:p>
        </w:tc>
        <w:tc>
          <w:tcPr>
            <w:tcW w:w="465" w:type="pct"/>
            <w:shd w:val="clear" w:color="auto" w:fill="auto"/>
            <w:vAlign w:val="center"/>
          </w:tcPr>
          <w:p w14:paraId="3F823679"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10,00</w:t>
            </w:r>
          </w:p>
        </w:tc>
        <w:tc>
          <w:tcPr>
            <w:tcW w:w="1265" w:type="pct"/>
            <w:shd w:val="clear" w:color="auto" w:fill="auto"/>
            <w:vAlign w:val="center"/>
          </w:tcPr>
          <w:p w14:paraId="017095FB"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Odpad stanowić będą opakowania po zużytych surowcach.</w:t>
            </w:r>
          </w:p>
          <w:p w14:paraId="57365F60"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Skład odpadu: Tworzywa sztuczne </w:t>
            </w:r>
          </w:p>
          <w:p w14:paraId="5BF5D19F"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 xml:space="preserve">Właściwości: </w:t>
            </w:r>
          </w:p>
          <w:p w14:paraId="0077ADB6"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ciało stałe palne.</w:t>
            </w:r>
          </w:p>
        </w:tc>
        <w:tc>
          <w:tcPr>
            <w:tcW w:w="930" w:type="pct"/>
            <w:shd w:val="clear" w:color="auto" w:fill="auto"/>
            <w:vAlign w:val="center"/>
          </w:tcPr>
          <w:p w14:paraId="0A4FD6A5"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 magazynowany będzie w szczelnie zamkniętych oznakowanych workach polietylenowych w magazynie odpadów w obiekcie 518, budynku 801, w obiekcie 402.</w:t>
            </w:r>
          </w:p>
        </w:tc>
        <w:tc>
          <w:tcPr>
            <w:tcW w:w="945" w:type="pct"/>
            <w:shd w:val="clear" w:color="auto" w:fill="auto"/>
            <w:vAlign w:val="center"/>
          </w:tcPr>
          <w:p w14:paraId="33EA1BE9"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w:t>
            </w:r>
          </w:p>
        </w:tc>
      </w:tr>
      <w:tr w:rsidR="00E02F30" w:rsidRPr="00E02F30" w14:paraId="3838CABF" w14:textId="77777777" w:rsidTr="00A1631B">
        <w:trPr>
          <w:jc w:val="center"/>
        </w:trPr>
        <w:tc>
          <w:tcPr>
            <w:tcW w:w="264" w:type="pct"/>
            <w:shd w:val="clear" w:color="auto" w:fill="auto"/>
            <w:vAlign w:val="center"/>
          </w:tcPr>
          <w:p w14:paraId="4D5D3FAB"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4</w:t>
            </w:r>
          </w:p>
        </w:tc>
        <w:tc>
          <w:tcPr>
            <w:tcW w:w="466" w:type="pct"/>
            <w:shd w:val="clear" w:color="auto" w:fill="auto"/>
            <w:vAlign w:val="center"/>
          </w:tcPr>
          <w:p w14:paraId="0D6050E6"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15 01 04</w:t>
            </w:r>
          </w:p>
        </w:tc>
        <w:tc>
          <w:tcPr>
            <w:tcW w:w="665" w:type="pct"/>
            <w:shd w:val="clear" w:color="auto" w:fill="auto"/>
            <w:vAlign w:val="center"/>
          </w:tcPr>
          <w:p w14:paraId="430C4FD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Opakowania z metali</w:t>
            </w:r>
          </w:p>
        </w:tc>
        <w:tc>
          <w:tcPr>
            <w:tcW w:w="465" w:type="pct"/>
            <w:shd w:val="clear" w:color="auto" w:fill="auto"/>
            <w:vAlign w:val="center"/>
          </w:tcPr>
          <w:p w14:paraId="4A608FA0"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2,00</w:t>
            </w:r>
          </w:p>
        </w:tc>
        <w:tc>
          <w:tcPr>
            <w:tcW w:w="1265" w:type="pct"/>
            <w:shd w:val="clear" w:color="auto" w:fill="auto"/>
            <w:vAlign w:val="center"/>
          </w:tcPr>
          <w:p w14:paraId="7572CBC2"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stanowić będą: opakowania po środkach i materiałach stosowanych do utrzymania instalacji. </w:t>
            </w:r>
          </w:p>
          <w:p w14:paraId="4FFFBB20" w14:textId="77777777" w:rsidR="00E02F30" w:rsidRPr="00E02F30" w:rsidRDefault="00E02F30" w:rsidP="00E02F30">
            <w:pPr>
              <w:keepNext/>
              <w:spacing w:before="60" w:after="60" w:line="276" w:lineRule="auto"/>
              <w:jc w:val="both"/>
              <w:rPr>
                <w:rFonts w:eastAsia="Times New Roman" w:cs="Arial"/>
                <w:bCs/>
                <w:sz w:val="16"/>
                <w:szCs w:val="16"/>
                <w:lang w:eastAsia="pl-PL"/>
              </w:rPr>
            </w:pPr>
            <w:proofErr w:type="spellStart"/>
            <w:r w:rsidRPr="00E02F30">
              <w:rPr>
                <w:rFonts w:eastAsia="Times New Roman" w:cs="Arial"/>
                <w:bCs/>
                <w:sz w:val="16"/>
                <w:szCs w:val="16"/>
                <w:lang w:eastAsia="pl-PL"/>
              </w:rPr>
              <w:t>Właściwości:metale</w:t>
            </w:r>
            <w:proofErr w:type="spellEnd"/>
            <w:r w:rsidRPr="00E02F30">
              <w:rPr>
                <w:rFonts w:eastAsia="Times New Roman" w:cs="Arial"/>
                <w:bCs/>
                <w:sz w:val="16"/>
                <w:szCs w:val="16"/>
                <w:lang w:eastAsia="pl-PL"/>
              </w:rPr>
              <w:t xml:space="preserve"> żelazne, stal węglowa, ocynkowana, aluminium. Odpad stały, niepalny.</w:t>
            </w:r>
          </w:p>
        </w:tc>
        <w:tc>
          <w:tcPr>
            <w:tcW w:w="930" w:type="pct"/>
            <w:shd w:val="clear" w:color="auto" w:fill="auto"/>
            <w:vAlign w:val="center"/>
          </w:tcPr>
          <w:p w14:paraId="20BA98F6"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w:t>
            </w:r>
          </w:p>
        </w:tc>
        <w:tc>
          <w:tcPr>
            <w:tcW w:w="945" w:type="pct"/>
            <w:shd w:val="clear" w:color="auto" w:fill="auto"/>
            <w:vAlign w:val="center"/>
          </w:tcPr>
          <w:p w14:paraId="318AE325"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w:t>
            </w:r>
          </w:p>
        </w:tc>
      </w:tr>
      <w:tr w:rsidR="00E02F30" w:rsidRPr="00E02F30" w14:paraId="1DEE4DDB" w14:textId="77777777" w:rsidTr="00A1631B">
        <w:trPr>
          <w:jc w:val="center"/>
        </w:trPr>
        <w:tc>
          <w:tcPr>
            <w:tcW w:w="264" w:type="pct"/>
            <w:shd w:val="clear" w:color="auto" w:fill="auto"/>
            <w:vAlign w:val="center"/>
          </w:tcPr>
          <w:p w14:paraId="75C6E616"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5</w:t>
            </w:r>
          </w:p>
        </w:tc>
        <w:tc>
          <w:tcPr>
            <w:tcW w:w="466" w:type="pct"/>
            <w:shd w:val="clear" w:color="auto" w:fill="auto"/>
            <w:vAlign w:val="center"/>
          </w:tcPr>
          <w:p w14:paraId="6A75DEF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15 01 05</w:t>
            </w:r>
          </w:p>
        </w:tc>
        <w:tc>
          <w:tcPr>
            <w:tcW w:w="665" w:type="pct"/>
            <w:shd w:val="clear" w:color="auto" w:fill="auto"/>
            <w:vAlign w:val="center"/>
          </w:tcPr>
          <w:p w14:paraId="46F879A2"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Opakowania wielomateriałowe</w:t>
            </w:r>
          </w:p>
        </w:tc>
        <w:tc>
          <w:tcPr>
            <w:tcW w:w="465" w:type="pct"/>
            <w:shd w:val="clear" w:color="auto" w:fill="auto"/>
            <w:vAlign w:val="center"/>
          </w:tcPr>
          <w:p w14:paraId="455F210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12,00</w:t>
            </w:r>
          </w:p>
        </w:tc>
        <w:tc>
          <w:tcPr>
            <w:tcW w:w="1265" w:type="pct"/>
            <w:shd w:val="clear" w:color="auto" w:fill="auto"/>
            <w:vAlign w:val="center"/>
          </w:tcPr>
          <w:p w14:paraId="6D820571"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stanowić będą: opakowania po materiały stosowanych do produkcji. </w:t>
            </w:r>
          </w:p>
          <w:p w14:paraId="3017B757"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celuloza, polimery syntetyczne, metale. </w:t>
            </w:r>
          </w:p>
          <w:p w14:paraId="18E13EAD"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Właściwości: ciało stałe, palne</w:t>
            </w:r>
            <w:r w:rsidRPr="00E02F30">
              <w:rPr>
                <w:rFonts w:eastAsia="Times New Roman" w:cs="Arial"/>
                <w:b/>
                <w:bCs/>
                <w:sz w:val="16"/>
                <w:szCs w:val="16"/>
                <w:lang w:eastAsia="pl-PL"/>
              </w:rPr>
              <w:t>.</w:t>
            </w:r>
          </w:p>
        </w:tc>
        <w:tc>
          <w:tcPr>
            <w:tcW w:w="930" w:type="pct"/>
            <w:shd w:val="clear" w:color="auto" w:fill="auto"/>
            <w:vAlign w:val="center"/>
          </w:tcPr>
          <w:p w14:paraId="142E43E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c>
          <w:tcPr>
            <w:tcW w:w="945" w:type="pct"/>
            <w:shd w:val="clear" w:color="auto" w:fill="auto"/>
            <w:vAlign w:val="center"/>
          </w:tcPr>
          <w:p w14:paraId="4DF07CB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73240E16" w14:textId="77777777" w:rsidTr="00A1631B">
        <w:trPr>
          <w:jc w:val="center"/>
        </w:trPr>
        <w:tc>
          <w:tcPr>
            <w:tcW w:w="264" w:type="pct"/>
            <w:shd w:val="clear" w:color="auto" w:fill="auto"/>
            <w:vAlign w:val="center"/>
          </w:tcPr>
          <w:p w14:paraId="5A2D9350"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6</w:t>
            </w:r>
          </w:p>
        </w:tc>
        <w:tc>
          <w:tcPr>
            <w:tcW w:w="466" w:type="pct"/>
            <w:shd w:val="clear" w:color="auto" w:fill="auto"/>
            <w:vAlign w:val="center"/>
          </w:tcPr>
          <w:p w14:paraId="21794C37"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15 01 06</w:t>
            </w:r>
          </w:p>
        </w:tc>
        <w:tc>
          <w:tcPr>
            <w:tcW w:w="665" w:type="pct"/>
            <w:shd w:val="clear" w:color="auto" w:fill="auto"/>
            <w:vAlign w:val="center"/>
          </w:tcPr>
          <w:p w14:paraId="456D9FE3"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Zmieszane odpady opakowaniowe</w:t>
            </w:r>
          </w:p>
        </w:tc>
        <w:tc>
          <w:tcPr>
            <w:tcW w:w="465" w:type="pct"/>
            <w:shd w:val="clear" w:color="auto" w:fill="auto"/>
            <w:vAlign w:val="center"/>
          </w:tcPr>
          <w:p w14:paraId="199BB35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3,00</w:t>
            </w:r>
          </w:p>
        </w:tc>
        <w:tc>
          <w:tcPr>
            <w:tcW w:w="1265" w:type="pct"/>
            <w:shd w:val="clear" w:color="auto" w:fill="auto"/>
            <w:vAlign w:val="center"/>
          </w:tcPr>
          <w:p w14:paraId="053CBFD8"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stanowić będą: opakowania po materiałach stosowanych do produkcji. </w:t>
            </w:r>
          </w:p>
          <w:p w14:paraId="069878C5"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celuloza, hemiceluloza, lignina, metale żelazne, polipropylen, polietylen, PCV, krzemionka. </w:t>
            </w:r>
          </w:p>
          <w:p w14:paraId="225DD2FE"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Właściwości: odpad stały, biodegradowalny, palny.</w:t>
            </w:r>
          </w:p>
        </w:tc>
        <w:tc>
          <w:tcPr>
            <w:tcW w:w="930" w:type="pct"/>
            <w:shd w:val="clear" w:color="auto" w:fill="auto"/>
            <w:vAlign w:val="center"/>
          </w:tcPr>
          <w:p w14:paraId="0474214F"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c>
          <w:tcPr>
            <w:tcW w:w="945" w:type="pct"/>
            <w:shd w:val="clear" w:color="auto" w:fill="auto"/>
            <w:vAlign w:val="center"/>
          </w:tcPr>
          <w:p w14:paraId="762E8EAA"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214266D5" w14:textId="77777777" w:rsidTr="00A1631B">
        <w:trPr>
          <w:jc w:val="center"/>
        </w:trPr>
        <w:tc>
          <w:tcPr>
            <w:tcW w:w="264" w:type="pct"/>
            <w:shd w:val="clear" w:color="auto" w:fill="auto"/>
            <w:vAlign w:val="center"/>
          </w:tcPr>
          <w:p w14:paraId="493D456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7</w:t>
            </w:r>
          </w:p>
        </w:tc>
        <w:tc>
          <w:tcPr>
            <w:tcW w:w="466" w:type="pct"/>
            <w:shd w:val="clear" w:color="auto" w:fill="auto"/>
            <w:vAlign w:val="center"/>
          </w:tcPr>
          <w:p w14:paraId="4E9D1B92"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15 02 03</w:t>
            </w:r>
          </w:p>
        </w:tc>
        <w:tc>
          <w:tcPr>
            <w:tcW w:w="665" w:type="pct"/>
            <w:shd w:val="clear" w:color="auto" w:fill="auto"/>
            <w:vAlign w:val="center"/>
          </w:tcPr>
          <w:p w14:paraId="7C3799F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Sorbenty, materiały filtracyjne, tkaniny do wycierania (np. szmaty, ścierki) i ubrania ochronne inne niż wymienione w 15 02 02</w:t>
            </w:r>
          </w:p>
        </w:tc>
        <w:tc>
          <w:tcPr>
            <w:tcW w:w="465" w:type="pct"/>
            <w:shd w:val="clear" w:color="auto" w:fill="auto"/>
            <w:vAlign w:val="center"/>
          </w:tcPr>
          <w:p w14:paraId="7C1B529A"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3,00</w:t>
            </w:r>
          </w:p>
        </w:tc>
        <w:tc>
          <w:tcPr>
            <w:tcW w:w="1265" w:type="pct"/>
            <w:shd w:val="clear" w:color="auto" w:fill="auto"/>
            <w:vAlign w:val="center"/>
          </w:tcPr>
          <w:p w14:paraId="3F3CDA1A" w14:textId="77777777" w:rsidR="00E02F30" w:rsidRPr="00E02F30" w:rsidRDefault="00E02F30" w:rsidP="00E02F30">
            <w:pPr>
              <w:keepNext/>
              <w:tabs>
                <w:tab w:val="left" w:pos="1100"/>
              </w:tabs>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Odpad stanowić będą: opakowania po materiałach sto</w:t>
            </w:r>
            <w:r w:rsidRPr="00E02F30">
              <w:rPr>
                <w:rFonts w:eastAsia="Times New Roman" w:cs="Arial"/>
                <w:sz w:val="16"/>
                <w:szCs w:val="16"/>
                <w:lang w:eastAsia="pl-PL"/>
              </w:rPr>
              <w:t xml:space="preserve"> </w:t>
            </w:r>
            <w:r w:rsidRPr="00E02F30">
              <w:rPr>
                <w:rFonts w:eastAsia="Times New Roman" w:cs="Arial"/>
                <w:b/>
                <w:bCs/>
                <w:sz w:val="16"/>
                <w:szCs w:val="16"/>
                <w:lang w:eastAsia="pl-PL"/>
              </w:rPr>
              <w:t xml:space="preserve">Odpad stanowić będą: opakowania po materiałach stosowanych do produkcji. </w:t>
            </w:r>
          </w:p>
          <w:p w14:paraId="1C87F08A" w14:textId="77777777" w:rsidR="00E02F30" w:rsidRPr="00E02F30" w:rsidRDefault="00E02F30" w:rsidP="00E02F30">
            <w:pPr>
              <w:keepNext/>
              <w:tabs>
                <w:tab w:val="left" w:pos="1100"/>
              </w:tabs>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celuloza, hemiceluloza, lignina, metale żelazne, polipropylen, polietylen, PCV, krzemionka. </w:t>
            </w:r>
          </w:p>
          <w:p w14:paraId="2623907D" w14:textId="77777777" w:rsidR="00E02F30" w:rsidRPr="00E02F30" w:rsidRDefault="00E02F30" w:rsidP="00E02F30">
            <w:pPr>
              <w:keepNext/>
              <w:tabs>
                <w:tab w:val="left" w:pos="1100"/>
              </w:tabs>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Właściwości: odpad stały, biodegradowalny, palny. </w:t>
            </w:r>
            <w:proofErr w:type="spellStart"/>
            <w:r w:rsidRPr="00E02F30">
              <w:rPr>
                <w:rFonts w:eastAsia="Times New Roman" w:cs="Arial"/>
                <w:bCs/>
                <w:sz w:val="16"/>
                <w:szCs w:val="16"/>
                <w:lang w:eastAsia="pl-PL"/>
              </w:rPr>
              <w:t>sowanych</w:t>
            </w:r>
            <w:proofErr w:type="spellEnd"/>
            <w:r w:rsidRPr="00E02F30">
              <w:rPr>
                <w:rFonts w:eastAsia="Times New Roman" w:cs="Arial"/>
                <w:bCs/>
                <w:sz w:val="16"/>
                <w:szCs w:val="16"/>
                <w:lang w:eastAsia="pl-PL"/>
              </w:rPr>
              <w:t xml:space="preserve"> do produkcji. </w:t>
            </w:r>
          </w:p>
          <w:p w14:paraId="3D6AC149" w14:textId="77777777" w:rsidR="00E02F30" w:rsidRPr="00E02F30" w:rsidRDefault="00E02F30" w:rsidP="00E02F30">
            <w:pPr>
              <w:keepNext/>
              <w:tabs>
                <w:tab w:val="left" w:pos="1100"/>
              </w:tabs>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celuloza, hemiceluloza, lignina, metale żelazne, polipropylen, polietylen, PCV, krzemionka. </w:t>
            </w:r>
          </w:p>
          <w:p w14:paraId="4385D800" w14:textId="77777777" w:rsidR="00E02F30" w:rsidRPr="00E02F30" w:rsidRDefault="00E02F30" w:rsidP="00E02F30">
            <w:pPr>
              <w:keepNext/>
              <w:tabs>
                <w:tab w:val="left" w:pos="1100"/>
              </w:tabs>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Właściwości: odpad stały, biodegradowalny, palny.</w:t>
            </w:r>
          </w:p>
        </w:tc>
        <w:tc>
          <w:tcPr>
            <w:tcW w:w="930" w:type="pct"/>
            <w:shd w:val="clear" w:color="auto" w:fill="auto"/>
            <w:vAlign w:val="center"/>
          </w:tcPr>
          <w:p w14:paraId="00BC409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 magazynowany będzie w szczelnie zamkniętych oznakowanych workach polietylenowych w obiekcie 518, budynku 801, w obiekcie 402.</w:t>
            </w:r>
          </w:p>
        </w:tc>
        <w:tc>
          <w:tcPr>
            <w:tcW w:w="945" w:type="pct"/>
            <w:shd w:val="clear" w:color="auto" w:fill="auto"/>
            <w:vAlign w:val="center"/>
          </w:tcPr>
          <w:p w14:paraId="51075486"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3544B297" w14:textId="77777777" w:rsidTr="00A1631B">
        <w:trPr>
          <w:jc w:val="center"/>
        </w:trPr>
        <w:tc>
          <w:tcPr>
            <w:tcW w:w="264" w:type="pct"/>
            <w:shd w:val="clear" w:color="auto" w:fill="auto"/>
            <w:vAlign w:val="center"/>
          </w:tcPr>
          <w:p w14:paraId="0B6FC9A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8</w:t>
            </w:r>
          </w:p>
        </w:tc>
        <w:tc>
          <w:tcPr>
            <w:tcW w:w="466" w:type="pct"/>
            <w:shd w:val="clear" w:color="auto" w:fill="auto"/>
            <w:vAlign w:val="center"/>
          </w:tcPr>
          <w:p w14:paraId="5A96ED9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16 02 16</w:t>
            </w:r>
          </w:p>
        </w:tc>
        <w:tc>
          <w:tcPr>
            <w:tcW w:w="665" w:type="pct"/>
            <w:shd w:val="clear" w:color="auto" w:fill="auto"/>
            <w:vAlign w:val="center"/>
          </w:tcPr>
          <w:p w14:paraId="6B24C9D6"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Elementy usunięte ze zużytych urządzeń inne niż wymienione w 16 02 15</w:t>
            </w:r>
          </w:p>
        </w:tc>
        <w:tc>
          <w:tcPr>
            <w:tcW w:w="465" w:type="pct"/>
            <w:shd w:val="clear" w:color="auto" w:fill="auto"/>
            <w:vAlign w:val="center"/>
          </w:tcPr>
          <w:p w14:paraId="7D6001B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0,30</w:t>
            </w:r>
          </w:p>
        </w:tc>
        <w:tc>
          <w:tcPr>
            <w:tcW w:w="1265" w:type="pct"/>
            <w:shd w:val="clear" w:color="auto" w:fill="auto"/>
            <w:vAlign w:val="center"/>
          </w:tcPr>
          <w:p w14:paraId="672F982F"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Odpady będą powstawać w wyniku wymiany zużytych części urządzeń. </w:t>
            </w:r>
          </w:p>
          <w:p w14:paraId="27EE2BE7"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zużyte tonery (frakcja większych kulek szklanych i bardzo drobnych odpowiednio zabarwionych kulek żywicy termoplastycznej), tworzywa sztuczne polietylenowe, polipropylenowe, stal. </w:t>
            </w:r>
          </w:p>
          <w:p w14:paraId="7716F4D0"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Właściwości: ciała stałe.</w:t>
            </w:r>
          </w:p>
        </w:tc>
        <w:tc>
          <w:tcPr>
            <w:tcW w:w="930" w:type="pct"/>
            <w:shd w:val="clear" w:color="auto" w:fill="auto"/>
            <w:vAlign w:val="center"/>
          </w:tcPr>
          <w:p w14:paraId="46BABCB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OBIEKT 524</w:t>
            </w:r>
          </w:p>
          <w:p w14:paraId="04E744C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 magazynowany będzie w oznakowanym worku polietylenowym w magazynie w obiekcie 518, budynku 801, w obiekcie 402.</w:t>
            </w:r>
          </w:p>
          <w:p w14:paraId="37473168"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OBIEKT 501 i 501A</w:t>
            </w:r>
          </w:p>
          <w:p w14:paraId="413F40D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 magazynowany będzie w oznakowanym pojemniku w obiekcie 518, budynku 801, w obiekcie 402.</w:t>
            </w:r>
          </w:p>
        </w:tc>
        <w:tc>
          <w:tcPr>
            <w:tcW w:w="945" w:type="pct"/>
            <w:shd w:val="clear" w:color="auto" w:fill="auto"/>
            <w:vAlign w:val="center"/>
          </w:tcPr>
          <w:p w14:paraId="32A66A3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7C5FFCD6" w14:textId="77777777" w:rsidTr="00A1631B">
        <w:trPr>
          <w:jc w:val="center"/>
        </w:trPr>
        <w:tc>
          <w:tcPr>
            <w:tcW w:w="264" w:type="pct"/>
            <w:shd w:val="clear" w:color="auto" w:fill="auto"/>
            <w:vAlign w:val="center"/>
          </w:tcPr>
          <w:p w14:paraId="27842E10"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9</w:t>
            </w:r>
          </w:p>
        </w:tc>
        <w:tc>
          <w:tcPr>
            <w:tcW w:w="466" w:type="pct"/>
            <w:shd w:val="clear" w:color="auto" w:fill="auto"/>
            <w:vAlign w:val="center"/>
          </w:tcPr>
          <w:p w14:paraId="14E7E22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16 06 04</w:t>
            </w:r>
          </w:p>
        </w:tc>
        <w:tc>
          <w:tcPr>
            <w:tcW w:w="665" w:type="pct"/>
            <w:shd w:val="clear" w:color="auto" w:fill="auto"/>
            <w:vAlign w:val="center"/>
          </w:tcPr>
          <w:p w14:paraId="1EDC7AF8"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Baterie alkaliczne (z wyłączeniem 16 06 03)</w:t>
            </w:r>
          </w:p>
        </w:tc>
        <w:tc>
          <w:tcPr>
            <w:tcW w:w="465" w:type="pct"/>
            <w:shd w:val="clear" w:color="auto" w:fill="auto"/>
            <w:vAlign w:val="center"/>
          </w:tcPr>
          <w:p w14:paraId="0B662C6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0,10</w:t>
            </w:r>
          </w:p>
        </w:tc>
        <w:tc>
          <w:tcPr>
            <w:tcW w:w="1265" w:type="pct"/>
            <w:shd w:val="clear" w:color="auto" w:fill="auto"/>
            <w:vAlign w:val="center"/>
          </w:tcPr>
          <w:p w14:paraId="69C30B24"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powstawać będzie wyniku wymiany zużytych baterii w urządzeniach produkcyjnych. </w:t>
            </w:r>
          </w:p>
          <w:p w14:paraId="7A8F5118"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Skład odpadu: baterie zawierające cynk i tlenek manganu, ciało stałe.</w:t>
            </w:r>
          </w:p>
        </w:tc>
        <w:tc>
          <w:tcPr>
            <w:tcW w:w="930" w:type="pct"/>
            <w:shd w:val="clear" w:color="auto" w:fill="auto"/>
            <w:vAlign w:val="center"/>
          </w:tcPr>
          <w:p w14:paraId="672710EF"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magazynowane będą luzem w wyznaczonym miejscu oznakowanym i zabezpieczonym w budynku 801</w:t>
            </w:r>
          </w:p>
        </w:tc>
        <w:tc>
          <w:tcPr>
            <w:tcW w:w="945" w:type="pct"/>
            <w:shd w:val="clear" w:color="auto" w:fill="auto"/>
            <w:vAlign w:val="center"/>
          </w:tcPr>
          <w:p w14:paraId="60C18D8B"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w:t>
            </w:r>
          </w:p>
        </w:tc>
      </w:tr>
      <w:tr w:rsidR="00E02F30" w:rsidRPr="00E02F30" w14:paraId="6FF94308" w14:textId="77777777" w:rsidTr="00A1631B">
        <w:trPr>
          <w:jc w:val="center"/>
        </w:trPr>
        <w:tc>
          <w:tcPr>
            <w:tcW w:w="264" w:type="pct"/>
            <w:shd w:val="clear" w:color="auto" w:fill="auto"/>
            <w:vAlign w:val="center"/>
          </w:tcPr>
          <w:p w14:paraId="09739AC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10</w:t>
            </w:r>
          </w:p>
        </w:tc>
        <w:tc>
          <w:tcPr>
            <w:tcW w:w="466" w:type="pct"/>
            <w:shd w:val="clear" w:color="auto" w:fill="auto"/>
            <w:vAlign w:val="center"/>
          </w:tcPr>
          <w:p w14:paraId="33066418"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17 04 01</w:t>
            </w:r>
          </w:p>
        </w:tc>
        <w:tc>
          <w:tcPr>
            <w:tcW w:w="665" w:type="pct"/>
            <w:shd w:val="clear" w:color="auto" w:fill="auto"/>
            <w:vAlign w:val="center"/>
          </w:tcPr>
          <w:p w14:paraId="173ABA59"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Miedź, brąz, mosiądz</w:t>
            </w:r>
          </w:p>
        </w:tc>
        <w:tc>
          <w:tcPr>
            <w:tcW w:w="465" w:type="pct"/>
            <w:shd w:val="clear" w:color="auto" w:fill="auto"/>
            <w:vAlign w:val="center"/>
          </w:tcPr>
          <w:p w14:paraId="430BA2B4"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0,50</w:t>
            </w:r>
          </w:p>
        </w:tc>
        <w:tc>
          <w:tcPr>
            <w:tcW w:w="1265" w:type="pct"/>
            <w:shd w:val="clear" w:color="auto" w:fill="auto"/>
            <w:vAlign w:val="center"/>
          </w:tcPr>
          <w:p w14:paraId="306D99F9"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powstawać będzie w wyniku remontów instalacji nienasyconych żywic poliestrowych oraz zużywania się siatek filtracyjnych (fosforobrązowych). </w:t>
            </w:r>
          </w:p>
          <w:p w14:paraId="77B8C357"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Skład odpadu: stopy miedzi z cyną lub cynkiem, ciało stałe, niepalne.</w:t>
            </w:r>
          </w:p>
        </w:tc>
        <w:tc>
          <w:tcPr>
            <w:tcW w:w="930" w:type="pct"/>
            <w:shd w:val="clear" w:color="auto" w:fill="auto"/>
            <w:vAlign w:val="center"/>
          </w:tcPr>
          <w:p w14:paraId="062AD14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 magazynowany będzie w oznakowanych pojemnikach w obiekcie 518, budynku 801, w obiekcie 402.</w:t>
            </w:r>
          </w:p>
        </w:tc>
        <w:tc>
          <w:tcPr>
            <w:tcW w:w="945" w:type="pct"/>
            <w:shd w:val="clear" w:color="auto" w:fill="auto"/>
            <w:vAlign w:val="center"/>
          </w:tcPr>
          <w:p w14:paraId="33AC31A5"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w:t>
            </w:r>
          </w:p>
        </w:tc>
      </w:tr>
      <w:tr w:rsidR="00E02F30" w:rsidRPr="00E02F30" w14:paraId="506B5468" w14:textId="77777777" w:rsidTr="00A1631B">
        <w:trPr>
          <w:jc w:val="center"/>
        </w:trPr>
        <w:tc>
          <w:tcPr>
            <w:tcW w:w="264" w:type="pct"/>
            <w:shd w:val="clear" w:color="auto" w:fill="auto"/>
            <w:vAlign w:val="center"/>
          </w:tcPr>
          <w:p w14:paraId="488D7DAC"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11</w:t>
            </w:r>
          </w:p>
        </w:tc>
        <w:tc>
          <w:tcPr>
            <w:tcW w:w="466" w:type="pct"/>
            <w:shd w:val="clear" w:color="auto" w:fill="auto"/>
            <w:vAlign w:val="center"/>
          </w:tcPr>
          <w:p w14:paraId="771AFB62"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17 04 02</w:t>
            </w:r>
          </w:p>
        </w:tc>
        <w:tc>
          <w:tcPr>
            <w:tcW w:w="665" w:type="pct"/>
            <w:shd w:val="clear" w:color="auto" w:fill="auto"/>
            <w:vAlign w:val="center"/>
          </w:tcPr>
          <w:p w14:paraId="612ADEE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Aluminium</w:t>
            </w:r>
          </w:p>
        </w:tc>
        <w:tc>
          <w:tcPr>
            <w:tcW w:w="465" w:type="pct"/>
            <w:shd w:val="clear" w:color="auto" w:fill="auto"/>
            <w:vAlign w:val="center"/>
          </w:tcPr>
          <w:p w14:paraId="44B5366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2,00</w:t>
            </w:r>
          </w:p>
        </w:tc>
        <w:tc>
          <w:tcPr>
            <w:tcW w:w="1265" w:type="pct"/>
            <w:shd w:val="clear" w:color="auto" w:fill="auto"/>
            <w:vAlign w:val="center"/>
          </w:tcPr>
          <w:p w14:paraId="76F3FC81"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powstawać będzie w wyniku remontów instalacji nienasyconych żywic poliestrowych (zużyta izolacja rurociągów i aparatów oraz części instalacji). </w:t>
            </w:r>
          </w:p>
          <w:p w14:paraId="092AD5D4"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Skład odpadu: stopy aluminium, ciało stałe, niepalne.</w:t>
            </w:r>
          </w:p>
        </w:tc>
        <w:tc>
          <w:tcPr>
            <w:tcW w:w="930" w:type="pct"/>
            <w:shd w:val="clear" w:color="auto" w:fill="auto"/>
            <w:vAlign w:val="center"/>
          </w:tcPr>
          <w:p w14:paraId="4B59EE52"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 magazynowany będzie w oznakowanych pojemnikach w obiekcie 518, budynku 801, w obiekcie 402.</w:t>
            </w:r>
          </w:p>
        </w:tc>
        <w:tc>
          <w:tcPr>
            <w:tcW w:w="945" w:type="pct"/>
            <w:shd w:val="clear" w:color="auto" w:fill="auto"/>
            <w:vAlign w:val="center"/>
          </w:tcPr>
          <w:p w14:paraId="5418A47E"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w:t>
            </w:r>
          </w:p>
        </w:tc>
      </w:tr>
      <w:tr w:rsidR="00E02F30" w:rsidRPr="00E02F30" w14:paraId="373B8AC3" w14:textId="77777777" w:rsidTr="00A1631B">
        <w:trPr>
          <w:jc w:val="center"/>
        </w:trPr>
        <w:tc>
          <w:tcPr>
            <w:tcW w:w="264" w:type="pct"/>
            <w:shd w:val="clear" w:color="auto" w:fill="auto"/>
            <w:vAlign w:val="center"/>
          </w:tcPr>
          <w:p w14:paraId="4092036E"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12</w:t>
            </w:r>
          </w:p>
        </w:tc>
        <w:tc>
          <w:tcPr>
            <w:tcW w:w="466" w:type="pct"/>
            <w:shd w:val="clear" w:color="auto" w:fill="auto"/>
            <w:vAlign w:val="center"/>
          </w:tcPr>
          <w:p w14:paraId="3C9A7125"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17 04 05</w:t>
            </w:r>
          </w:p>
        </w:tc>
        <w:tc>
          <w:tcPr>
            <w:tcW w:w="665" w:type="pct"/>
            <w:shd w:val="clear" w:color="auto" w:fill="auto"/>
            <w:vAlign w:val="center"/>
          </w:tcPr>
          <w:p w14:paraId="0BF37EA6"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Żelazo i stal</w:t>
            </w:r>
          </w:p>
        </w:tc>
        <w:tc>
          <w:tcPr>
            <w:tcW w:w="465" w:type="pct"/>
            <w:shd w:val="clear" w:color="auto" w:fill="auto"/>
            <w:vAlign w:val="center"/>
          </w:tcPr>
          <w:p w14:paraId="174E507E"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15,00</w:t>
            </w:r>
          </w:p>
        </w:tc>
        <w:tc>
          <w:tcPr>
            <w:tcW w:w="1265" w:type="pct"/>
            <w:shd w:val="clear" w:color="auto" w:fill="auto"/>
            <w:vAlign w:val="center"/>
          </w:tcPr>
          <w:p w14:paraId="3272AF5E"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powstawać będzie w wyniku remontów instalacji nienasyconych żywic poliestrowych oraz zużywania się siatek filtracyjnych (stalowych). </w:t>
            </w:r>
          </w:p>
          <w:p w14:paraId="74BE6876"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Skład odpadu: stopy żelaza i węgla, ciało stałe, niepalne.</w:t>
            </w:r>
          </w:p>
        </w:tc>
        <w:tc>
          <w:tcPr>
            <w:tcW w:w="930" w:type="pct"/>
            <w:shd w:val="clear" w:color="auto" w:fill="auto"/>
            <w:vAlign w:val="center"/>
          </w:tcPr>
          <w:p w14:paraId="47BA635D"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 magazynowany będzie luzem w oznakowanym otwartym kontenerze metalowym w obiekcie 518.</w:t>
            </w:r>
          </w:p>
        </w:tc>
        <w:tc>
          <w:tcPr>
            <w:tcW w:w="945" w:type="pct"/>
            <w:shd w:val="clear" w:color="auto" w:fill="auto"/>
            <w:vAlign w:val="center"/>
          </w:tcPr>
          <w:p w14:paraId="5482C139"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w:t>
            </w:r>
          </w:p>
        </w:tc>
      </w:tr>
      <w:tr w:rsidR="00E02F30" w:rsidRPr="00E02F30" w14:paraId="0AEFE691" w14:textId="77777777" w:rsidTr="00A1631B">
        <w:trPr>
          <w:jc w:val="center"/>
        </w:trPr>
        <w:tc>
          <w:tcPr>
            <w:tcW w:w="264" w:type="pct"/>
            <w:shd w:val="clear" w:color="auto" w:fill="auto"/>
            <w:vAlign w:val="center"/>
          </w:tcPr>
          <w:p w14:paraId="024739A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13</w:t>
            </w:r>
          </w:p>
        </w:tc>
        <w:tc>
          <w:tcPr>
            <w:tcW w:w="466" w:type="pct"/>
            <w:shd w:val="clear" w:color="auto" w:fill="auto"/>
            <w:vAlign w:val="center"/>
          </w:tcPr>
          <w:p w14:paraId="017A805A"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17 06 04</w:t>
            </w:r>
          </w:p>
        </w:tc>
        <w:tc>
          <w:tcPr>
            <w:tcW w:w="665" w:type="pct"/>
            <w:shd w:val="clear" w:color="auto" w:fill="auto"/>
            <w:vAlign w:val="center"/>
          </w:tcPr>
          <w:p w14:paraId="539AAC47"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Materiały izolacyjne inne niż wymienione w 17 06 01* i 17 06 03*</w:t>
            </w:r>
          </w:p>
        </w:tc>
        <w:tc>
          <w:tcPr>
            <w:tcW w:w="465" w:type="pct"/>
            <w:shd w:val="clear" w:color="auto" w:fill="auto"/>
            <w:vAlign w:val="center"/>
          </w:tcPr>
          <w:p w14:paraId="6FCFF760"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1,00</w:t>
            </w:r>
          </w:p>
        </w:tc>
        <w:tc>
          <w:tcPr>
            <w:tcW w:w="1265" w:type="pct"/>
            <w:shd w:val="clear" w:color="auto" w:fill="auto"/>
            <w:vAlign w:val="center"/>
          </w:tcPr>
          <w:p w14:paraId="185217F0"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
                <w:bCs/>
                <w:sz w:val="16"/>
                <w:szCs w:val="16"/>
                <w:lang w:eastAsia="pl-PL"/>
              </w:rPr>
              <w:t xml:space="preserve">Odpad: wełna mineralna </w:t>
            </w:r>
          </w:p>
          <w:p w14:paraId="206D019F" w14:textId="77777777" w:rsidR="00E02F30" w:rsidRPr="00E02F30" w:rsidRDefault="00E02F30" w:rsidP="00E02F30">
            <w:pPr>
              <w:keepNext/>
              <w:spacing w:before="60" w:after="60" w:line="276" w:lineRule="auto"/>
              <w:jc w:val="both"/>
              <w:rPr>
                <w:rFonts w:eastAsia="Times New Roman" w:cs="Arial"/>
                <w:bCs/>
                <w:sz w:val="16"/>
                <w:szCs w:val="16"/>
                <w:lang w:eastAsia="pl-PL"/>
              </w:rPr>
            </w:pPr>
            <w:r w:rsidRPr="00E02F30">
              <w:rPr>
                <w:rFonts w:eastAsia="Times New Roman" w:cs="Arial"/>
                <w:bCs/>
                <w:sz w:val="16"/>
                <w:szCs w:val="16"/>
                <w:lang w:eastAsia="pl-PL"/>
              </w:rPr>
              <w:t xml:space="preserve">Skład: wełna mineralna i pozostałe elementy izolacji - siatka, otulina </w:t>
            </w:r>
            <w:proofErr w:type="spellStart"/>
            <w:r w:rsidRPr="00E02F30">
              <w:rPr>
                <w:rFonts w:eastAsia="Times New Roman" w:cs="Arial"/>
                <w:bCs/>
                <w:sz w:val="16"/>
                <w:szCs w:val="16"/>
                <w:lang w:eastAsia="pl-PL"/>
              </w:rPr>
              <w:t>itp</w:t>
            </w:r>
            <w:proofErr w:type="spellEnd"/>
          </w:p>
          <w:p w14:paraId="10E3E36B" w14:textId="77777777" w:rsidR="00E02F30" w:rsidRPr="00E02F30" w:rsidRDefault="00E02F30" w:rsidP="00E02F30">
            <w:pPr>
              <w:keepNext/>
              <w:spacing w:before="60" w:after="60" w:line="276" w:lineRule="auto"/>
              <w:jc w:val="both"/>
              <w:rPr>
                <w:rFonts w:eastAsia="Times New Roman" w:cs="Arial"/>
                <w:b/>
                <w:bCs/>
                <w:sz w:val="16"/>
                <w:szCs w:val="16"/>
                <w:lang w:eastAsia="pl-PL"/>
              </w:rPr>
            </w:pPr>
            <w:r w:rsidRPr="00E02F30">
              <w:rPr>
                <w:rFonts w:eastAsia="Times New Roman" w:cs="Arial"/>
                <w:bCs/>
                <w:sz w:val="16"/>
                <w:szCs w:val="16"/>
                <w:lang w:eastAsia="pl-PL"/>
              </w:rPr>
              <w:t>Właściwości: Ciało stałe o charakterystycznej strukturze</w:t>
            </w:r>
          </w:p>
        </w:tc>
        <w:tc>
          <w:tcPr>
            <w:tcW w:w="930" w:type="pct"/>
            <w:shd w:val="clear" w:color="auto" w:fill="auto"/>
            <w:vAlign w:val="center"/>
          </w:tcPr>
          <w:p w14:paraId="11982B42"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magazynowane będą w workach polietylenowych, kontenerach PE, na paletach w budynku 801, w obiekcie 402</w:t>
            </w:r>
          </w:p>
        </w:tc>
        <w:tc>
          <w:tcPr>
            <w:tcW w:w="945" w:type="pct"/>
            <w:shd w:val="clear" w:color="auto" w:fill="auto"/>
            <w:vAlign w:val="center"/>
          </w:tcPr>
          <w:p w14:paraId="15C03CF9"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Odpady przekazywane będą uprawnionym podmiotom do odzysku lub w przypadku braku możliwości odzysku do unieszkodliwiania.</w:t>
            </w:r>
          </w:p>
        </w:tc>
      </w:tr>
      <w:tr w:rsidR="00E02F30" w:rsidRPr="00E02F30" w14:paraId="39E44B42" w14:textId="77777777" w:rsidTr="00A1631B">
        <w:trPr>
          <w:jc w:val="center"/>
        </w:trPr>
        <w:tc>
          <w:tcPr>
            <w:tcW w:w="1395" w:type="pct"/>
            <w:gridSpan w:val="3"/>
            <w:shd w:val="clear" w:color="auto" w:fill="auto"/>
            <w:vAlign w:val="center"/>
          </w:tcPr>
          <w:p w14:paraId="306CEE71" w14:textId="77777777" w:rsidR="00E02F30" w:rsidRPr="00E02F30" w:rsidRDefault="00E02F30" w:rsidP="00E02F30">
            <w:pPr>
              <w:keepNext/>
              <w:spacing w:before="60" w:after="60" w:line="276" w:lineRule="auto"/>
              <w:ind w:firstLine="709"/>
              <w:jc w:val="both"/>
              <w:rPr>
                <w:rFonts w:eastAsia="Times New Roman" w:cs="Arial"/>
                <w:sz w:val="16"/>
                <w:szCs w:val="16"/>
                <w:lang w:eastAsia="pl-PL"/>
              </w:rPr>
            </w:pPr>
            <w:r w:rsidRPr="00E02F30">
              <w:rPr>
                <w:rFonts w:eastAsia="Times New Roman" w:cs="Arial"/>
                <w:sz w:val="16"/>
                <w:szCs w:val="16"/>
                <w:lang w:eastAsia="pl-PL"/>
              </w:rPr>
              <w:t>SUMA</w:t>
            </w:r>
          </w:p>
        </w:tc>
        <w:tc>
          <w:tcPr>
            <w:tcW w:w="465" w:type="pct"/>
            <w:shd w:val="clear" w:color="auto" w:fill="auto"/>
            <w:vAlign w:val="center"/>
          </w:tcPr>
          <w:p w14:paraId="5E042D81" w14:textId="77777777" w:rsidR="00E02F30" w:rsidRPr="00E02F30" w:rsidRDefault="00E02F30" w:rsidP="00E02F30">
            <w:pPr>
              <w:keepNext/>
              <w:spacing w:before="60" w:after="60" w:line="276" w:lineRule="auto"/>
              <w:jc w:val="both"/>
              <w:rPr>
                <w:rFonts w:eastAsia="Times New Roman" w:cs="Arial"/>
                <w:sz w:val="16"/>
                <w:szCs w:val="16"/>
                <w:lang w:eastAsia="pl-PL"/>
              </w:rPr>
            </w:pPr>
            <w:r w:rsidRPr="00E02F30">
              <w:rPr>
                <w:rFonts w:eastAsia="Times New Roman" w:cs="Arial"/>
                <w:sz w:val="16"/>
                <w:szCs w:val="16"/>
                <w:lang w:eastAsia="pl-PL"/>
              </w:rPr>
              <w:t>55,9</w:t>
            </w:r>
          </w:p>
        </w:tc>
        <w:tc>
          <w:tcPr>
            <w:tcW w:w="3140" w:type="pct"/>
            <w:gridSpan w:val="3"/>
            <w:shd w:val="clear" w:color="auto" w:fill="auto"/>
            <w:vAlign w:val="center"/>
          </w:tcPr>
          <w:p w14:paraId="6152A080" w14:textId="77777777" w:rsidR="00E02F30" w:rsidRPr="00E02F30" w:rsidRDefault="00E02F30" w:rsidP="00E02F30">
            <w:pPr>
              <w:keepNext/>
              <w:spacing w:before="60" w:after="60" w:line="276" w:lineRule="auto"/>
              <w:ind w:firstLine="709"/>
              <w:jc w:val="both"/>
              <w:rPr>
                <w:rFonts w:eastAsia="Times New Roman" w:cs="Arial"/>
                <w:sz w:val="16"/>
                <w:szCs w:val="16"/>
                <w:lang w:eastAsia="pl-PL"/>
              </w:rPr>
            </w:pPr>
          </w:p>
        </w:tc>
      </w:tr>
    </w:tbl>
    <w:p w14:paraId="0627E704" w14:textId="77777777" w:rsidR="00E02F30" w:rsidRPr="00E02F30" w:rsidRDefault="00E02F30" w:rsidP="00E02F30">
      <w:pPr>
        <w:spacing w:after="0" w:line="240" w:lineRule="auto"/>
        <w:jc w:val="both"/>
        <w:rPr>
          <w:rFonts w:eastAsia="Calibri" w:cs="Times New Roman"/>
          <w:szCs w:val="24"/>
        </w:rPr>
      </w:pPr>
    </w:p>
    <w:p w14:paraId="43D6353B" w14:textId="77777777" w:rsidR="00E02F30" w:rsidRPr="00E02F30" w:rsidRDefault="00E02F30" w:rsidP="00E02F30">
      <w:pPr>
        <w:keepNext/>
        <w:widowControl w:val="0"/>
        <w:adjustRightInd w:val="0"/>
        <w:spacing w:before="120" w:after="0" w:line="276" w:lineRule="auto"/>
        <w:jc w:val="both"/>
        <w:textAlignment w:val="baseline"/>
        <w:outlineLvl w:val="3"/>
        <w:rPr>
          <w:rFonts w:eastAsia="Calibri" w:cs="Times New Roman"/>
          <w:b/>
          <w:szCs w:val="20"/>
        </w:rPr>
      </w:pPr>
      <w:r w:rsidRPr="00E02F30">
        <w:rPr>
          <w:rFonts w:eastAsia="Calibri" w:cs="Times New Roman"/>
          <w:b/>
          <w:bCs/>
          <w:szCs w:val="20"/>
        </w:rPr>
        <w:t xml:space="preserve">II.3.2. </w:t>
      </w:r>
      <w:r w:rsidRPr="00E02F30">
        <w:rPr>
          <w:rFonts w:eastAsia="Calibri" w:cs="Times New Roman"/>
          <w:b/>
          <w:szCs w:val="20"/>
        </w:rPr>
        <w:t xml:space="preserve">Sposoby zapobiegania powstawaniu oraz ograniczania ilości odpadów </w:t>
      </w:r>
      <w:r w:rsidRPr="00E02F30">
        <w:rPr>
          <w:rFonts w:eastAsia="Calibri" w:cs="Times New Roman"/>
          <w:b/>
          <w:szCs w:val="20"/>
        </w:rPr>
        <w:br/>
        <w:t>i ich negatywnego wpływu na środowisko:</w:t>
      </w:r>
    </w:p>
    <w:p w14:paraId="0BC4FBCB" w14:textId="77777777" w:rsidR="00E02F30" w:rsidRPr="00E02F30" w:rsidRDefault="00E02F30">
      <w:pPr>
        <w:keepNext/>
        <w:numPr>
          <w:ilvl w:val="0"/>
          <w:numId w:val="24"/>
        </w:numPr>
        <w:suppressLineNumbers/>
        <w:spacing w:before="60" w:after="60" w:line="276" w:lineRule="auto"/>
        <w:ind w:left="350"/>
        <w:contextualSpacing/>
        <w:jc w:val="both"/>
        <w:rPr>
          <w:rFonts w:eastAsia="Times New Roman" w:cs="Arial"/>
          <w:bCs/>
          <w:szCs w:val="24"/>
          <w:lang w:val="x-none" w:eastAsia="pl-PL"/>
        </w:rPr>
      </w:pPr>
      <w:r w:rsidRPr="00E02F30">
        <w:rPr>
          <w:rFonts w:eastAsia="Times New Roman" w:cs="Arial"/>
          <w:bCs/>
          <w:szCs w:val="24"/>
          <w:lang w:val="x-none" w:eastAsia="pl-PL"/>
        </w:rPr>
        <w:t xml:space="preserve">Każdy rodzaj odpadów wytwarzanych będzie magazynowany selektywnie, </w:t>
      </w:r>
      <w:r w:rsidRPr="00E02F30">
        <w:rPr>
          <w:rFonts w:eastAsia="Times New Roman" w:cs="Arial"/>
          <w:bCs/>
          <w:szCs w:val="24"/>
          <w:lang w:val="x-none" w:eastAsia="pl-PL"/>
        </w:rPr>
        <w:br/>
        <w:t xml:space="preserve">w sposób uniemożliwiający ich negatywne oddziaływanie na środowisko </w:t>
      </w:r>
      <w:r w:rsidRPr="00E02F30">
        <w:rPr>
          <w:rFonts w:eastAsia="Times New Roman" w:cs="Arial"/>
          <w:bCs/>
          <w:szCs w:val="24"/>
          <w:lang w:val="x-none" w:eastAsia="pl-PL"/>
        </w:rPr>
        <w:br/>
        <w:t>i zabezpieczający przed oddziaływaniem czynników atmosferycznych oraz uniemożliwiający dostęp do nich osób nieupoważnionych.</w:t>
      </w:r>
    </w:p>
    <w:p w14:paraId="1EFC48AE" w14:textId="77777777" w:rsidR="00E02F30" w:rsidRPr="00E02F30" w:rsidRDefault="00E02F30">
      <w:pPr>
        <w:keepNext/>
        <w:numPr>
          <w:ilvl w:val="0"/>
          <w:numId w:val="24"/>
        </w:numPr>
        <w:suppressLineNumbers/>
        <w:spacing w:after="0" w:line="276" w:lineRule="auto"/>
        <w:ind w:left="357" w:hanging="357"/>
        <w:contextualSpacing/>
        <w:jc w:val="both"/>
        <w:rPr>
          <w:rFonts w:eastAsia="Times New Roman" w:cs="Arial"/>
          <w:bCs/>
          <w:szCs w:val="24"/>
          <w:lang w:val="x-none" w:eastAsia="pl-PL"/>
        </w:rPr>
      </w:pPr>
      <w:r w:rsidRPr="00E02F30">
        <w:rPr>
          <w:rFonts w:eastAsia="Times New Roman" w:cs="Arial"/>
          <w:bCs/>
          <w:szCs w:val="24"/>
          <w:lang w:val="x-none" w:eastAsia="pl-PL"/>
        </w:rPr>
        <w:t>Przemieszczanie i transport odpadów odbywać się będzie w sposób zabezpieczający przed ich przypadkowym rozproszeniem, pyleniem i</w:t>
      </w:r>
      <w:r w:rsidRPr="00E02F30">
        <w:rPr>
          <w:rFonts w:eastAsia="Times New Roman" w:cs="Arial"/>
          <w:bCs/>
          <w:szCs w:val="24"/>
          <w:lang w:eastAsia="pl-PL"/>
        </w:rPr>
        <w:t> </w:t>
      </w:r>
      <w:r w:rsidRPr="00E02F30">
        <w:rPr>
          <w:rFonts w:eastAsia="Times New Roman" w:cs="Arial"/>
          <w:bCs/>
          <w:szCs w:val="24"/>
          <w:lang w:val="x-none" w:eastAsia="pl-PL"/>
        </w:rPr>
        <w:t xml:space="preserve">wyciekiem. Środki transportu dostosowane będą do rodzaju i ilości przewożonych odpadów. Ewentualne rozproszenie lub wyciek odpadów będą niezwłocznie usuwane. </w:t>
      </w:r>
    </w:p>
    <w:p w14:paraId="4F7CFBF3" w14:textId="77777777" w:rsidR="00E02F30" w:rsidRPr="00E02F30" w:rsidRDefault="00E02F30">
      <w:pPr>
        <w:keepNext/>
        <w:numPr>
          <w:ilvl w:val="0"/>
          <w:numId w:val="24"/>
        </w:numPr>
        <w:suppressLineNumbers/>
        <w:spacing w:before="60" w:after="60" w:line="276" w:lineRule="auto"/>
        <w:ind w:left="350"/>
        <w:contextualSpacing/>
        <w:jc w:val="both"/>
        <w:rPr>
          <w:rFonts w:eastAsia="Times New Roman" w:cs="Arial"/>
          <w:bCs/>
          <w:szCs w:val="24"/>
          <w:lang w:val="x-none" w:eastAsia="pl-PL"/>
        </w:rPr>
      </w:pPr>
      <w:r w:rsidRPr="00E02F30">
        <w:rPr>
          <w:rFonts w:eastAsia="Times New Roman" w:cs="Arial"/>
          <w:bCs/>
          <w:szCs w:val="24"/>
          <w:lang w:val="x-none" w:eastAsia="pl-PL"/>
        </w:rPr>
        <w:t xml:space="preserve">Powierzchnie komunikacyjne przy obiektach technologicznych będą utwardzone, </w:t>
      </w:r>
      <w:r w:rsidRPr="00E02F30">
        <w:rPr>
          <w:rFonts w:eastAsia="Times New Roman" w:cs="Arial"/>
          <w:bCs/>
          <w:szCs w:val="24"/>
          <w:lang w:val="x-none" w:eastAsia="pl-PL"/>
        </w:rPr>
        <w:br/>
        <w:t>o nawierzchni nieprzepuszczalnej, z systemem odwodnienia.</w:t>
      </w:r>
    </w:p>
    <w:p w14:paraId="08DA70B9" w14:textId="77777777" w:rsidR="00E02F30" w:rsidRPr="00E02F30" w:rsidRDefault="00E02F30">
      <w:pPr>
        <w:keepNext/>
        <w:numPr>
          <w:ilvl w:val="0"/>
          <w:numId w:val="24"/>
        </w:numPr>
        <w:suppressLineNumbers/>
        <w:spacing w:before="60" w:after="60" w:line="276" w:lineRule="auto"/>
        <w:ind w:left="350"/>
        <w:contextualSpacing/>
        <w:jc w:val="both"/>
        <w:rPr>
          <w:rFonts w:eastAsia="Times New Roman" w:cs="Arial"/>
          <w:bCs/>
          <w:szCs w:val="24"/>
          <w:lang w:val="x-none" w:eastAsia="pl-PL"/>
        </w:rPr>
      </w:pPr>
      <w:r w:rsidRPr="00E02F30">
        <w:rPr>
          <w:rFonts w:eastAsia="Times New Roman" w:cs="Arial"/>
          <w:bCs/>
          <w:szCs w:val="24"/>
          <w:lang w:eastAsia="pl-PL"/>
        </w:rPr>
        <w:t>S</w:t>
      </w:r>
      <w:proofErr w:type="spellStart"/>
      <w:r w:rsidRPr="00E02F30">
        <w:rPr>
          <w:rFonts w:eastAsia="Times New Roman" w:cs="Arial"/>
          <w:bCs/>
          <w:szCs w:val="24"/>
          <w:lang w:val="x-none" w:eastAsia="pl-PL"/>
        </w:rPr>
        <w:t>tosowanie</w:t>
      </w:r>
      <w:proofErr w:type="spellEnd"/>
      <w:r w:rsidRPr="00E02F30">
        <w:rPr>
          <w:rFonts w:eastAsia="Times New Roman" w:cs="Arial"/>
          <w:bCs/>
          <w:szCs w:val="24"/>
          <w:lang w:val="x-none" w:eastAsia="pl-PL"/>
        </w:rPr>
        <w:t xml:space="preserve"> materiałów</w:t>
      </w:r>
      <w:r w:rsidRPr="00E02F30">
        <w:rPr>
          <w:rFonts w:eastAsia="Times New Roman" w:cs="Arial"/>
          <w:bCs/>
          <w:szCs w:val="24"/>
          <w:lang w:eastAsia="pl-PL"/>
        </w:rPr>
        <w:t xml:space="preserve"> i surowców</w:t>
      </w:r>
      <w:r w:rsidRPr="00E02F30">
        <w:rPr>
          <w:rFonts w:eastAsia="Times New Roman" w:cs="Arial"/>
          <w:bCs/>
          <w:szCs w:val="24"/>
          <w:lang w:val="x-none" w:eastAsia="pl-PL"/>
        </w:rPr>
        <w:t xml:space="preserve"> dobrej jakości, o wydłużonym okresie eksploatacyjnym, i bieżący nadzór nad stanem instalacji.</w:t>
      </w:r>
    </w:p>
    <w:p w14:paraId="3F231BB6" w14:textId="77777777" w:rsidR="00E02F30" w:rsidRPr="00E02F30" w:rsidRDefault="00E02F30">
      <w:pPr>
        <w:keepNext/>
        <w:numPr>
          <w:ilvl w:val="0"/>
          <w:numId w:val="24"/>
        </w:numPr>
        <w:suppressLineNumbers/>
        <w:spacing w:before="60" w:after="60" w:line="276" w:lineRule="auto"/>
        <w:ind w:left="426" w:hanging="426"/>
        <w:contextualSpacing/>
        <w:jc w:val="both"/>
        <w:rPr>
          <w:rFonts w:eastAsia="Times New Roman" w:cs="Arial"/>
          <w:bCs/>
          <w:szCs w:val="24"/>
          <w:lang w:eastAsia="pl-PL"/>
        </w:rPr>
      </w:pPr>
      <w:r w:rsidRPr="00E02F30">
        <w:rPr>
          <w:rFonts w:eastAsia="Times New Roman" w:cs="Arial"/>
          <w:bCs/>
          <w:szCs w:val="24"/>
          <w:lang w:eastAsia="pl-PL"/>
        </w:rPr>
        <w:t xml:space="preserve">Przestrzegane będą zasady prawidłowej eksploatacji i konserwacji urządzeń. </w:t>
      </w:r>
    </w:p>
    <w:p w14:paraId="40EAD8ED" w14:textId="77777777" w:rsidR="00E02F30" w:rsidRPr="00E02F30" w:rsidRDefault="00E02F30">
      <w:pPr>
        <w:keepNext/>
        <w:numPr>
          <w:ilvl w:val="0"/>
          <w:numId w:val="24"/>
        </w:numPr>
        <w:suppressLineNumbers/>
        <w:spacing w:before="60" w:after="60" w:line="276" w:lineRule="auto"/>
        <w:ind w:left="426" w:hanging="426"/>
        <w:contextualSpacing/>
        <w:jc w:val="both"/>
        <w:rPr>
          <w:rFonts w:eastAsia="Times New Roman" w:cs="Arial"/>
          <w:bCs/>
          <w:szCs w:val="24"/>
          <w:lang w:eastAsia="pl-PL"/>
        </w:rPr>
      </w:pPr>
      <w:r w:rsidRPr="00E02F30">
        <w:rPr>
          <w:rFonts w:eastAsia="Times New Roman" w:cs="Arial"/>
          <w:bCs/>
          <w:szCs w:val="24"/>
          <w:lang w:eastAsia="pl-PL"/>
        </w:rPr>
        <w:t>Przeprowadzane będą systematyczne szkolenia pracowników zajmujących się gospodarką odpadami.</w:t>
      </w:r>
    </w:p>
    <w:p w14:paraId="0C90E4B3" w14:textId="77777777" w:rsidR="00E02F30" w:rsidRPr="00E02F30" w:rsidRDefault="00E02F30">
      <w:pPr>
        <w:keepNext/>
        <w:numPr>
          <w:ilvl w:val="0"/>
          <w:numId w:val="24"/>
        </w:numPr>
        <w:suppressLineNumbers/>
        <w:spacing w:before="60" w:after="60" w:line="276" w:lineRule="auto"/>
        <w:ind w:left="426" w:hanging="426"/>
        <w:contextualSpacing/>
        <w:jc w:val="both"/>
        <w:rPr>
          <w:rFonts w:eastAsia="Times New Roman" w:cs="Arial"/>
          <w:bCs/>
          <w:szCs w:val="24"/>
          <w:lang w:eastAsia="pl-PL"/>
        </w:rPr>
      </w:pPr>
      <w:r w:rsidRPr="00E02F30">
        <w:rPr>
          <w:rFonts w:eastAsia="Times New Roman" w:cs="Arial"/>
          <w:bCs/>
          <w:szCs w:val="24"/>
          <w:lang w:eastAsia="pl-PL"/>
        </w:rPr>
        <w:t>Odpady magazynowane będą selektywnie a następnie przekazywane do dalszego wykorzystania lub unieszkodliwiania uprawnionym odbiorcom.</w:t>
      </w:r>
    </w:p>
    <w:p w14:paraId="2DA27062" w14:textId="77777777" w:rsidR="00E02F30" w:rsidRPr="00E02F30" w:rsidRDefault="00E02F30">
      <w:pPr>
        <w:keepNext/>
        <w:numPr>
          <w:ilvl w:val="0"/>
          <w:numId w:val="24"/>
        </w:numPr>
        <w:suppressLineNumbers/>
        <w:spacing w:before="60" w:after="60" w:line="276" w:lineRule="auto"/>
        <w:ind w:left="426" w:hanging="426"/>
        <w:contextualSpacing/>
        <w:jc w:val="both"/>
        <w:rPr>
          <w:rFonts w:eastAsia="Times New Roman" w:cs="Arial"/>
          <w:bCs/>
          <w:szCs w:val="24"/>
          <w:lang w:eastAsia="pl-PL"/>
        </w:rPr>
      </w:pPr>
      <w:r w:rsidRPr="00E02F30">
        <w:rPr>
          <w:rFonts w:eastAsia="Times New Roman" w:cs="Arial"/>
          <w:bCs/>
          <w:szCs w:val="24"/>
          <w:lang w:eastAsia="pl-PL"/>
        </w:rPr>
        <w:t>Przestrzegany będzie określony przepisami czas magazynowania odpadów.</w:t>
      </w:r>
    </w:p>
    <w:p w14:paraId="4BBE32C6" w14:textId="77777777" w:rsidR="00E02F30" w:rsidRPr="00E02F30" w:rsidRDefault="00E02F30">
      <w:pPr>
        <w:keepNext/>
        <w:numPr>
          <w:ilvl w:val="0"/>
          <w:numId w:val="24"/>
        </w:numPr>
        <w:suppressLineNumbers/>
        <w:spacing w:before="60" w:after="60" w:line="276" w:lineRule="auto"/>
        <w:ind w:left="426" w:hanging="426"/>
        <w:contextualSpacing/>
        <w:jc w:val="both"/>
        <w:rPr>
          <w:rFonts w:eastAsia="Times New Roman" w:cs="Arial"/>
          <w:bCs/>
          <w:szCs w:val="24"/>
          <w:lang w:val="x-none" w:eastAsia="pl-PL"/>
        </w:rPr>
      </w:pPr>
      <w:r w:rsidRPr="00E02F30">
        <w:rPr>
          <w:rFonts w:eastAsia="Times New Roman" w:cs="Arial"/>
          <w:bCs/>
          <w:szCs w:val="24"/>
          <w:lang w:eastAsia="pl-PL"/>
        </w:rPr>
        <w:t>M</w:t>
      </w:r>
      <w:proofErr w:type="spellStart"/>
      <w:r w:rsidRPr="00E02F30">
        <w:rPr>
          <w:rFonts w:eastAsia="Times New Roman" w:cs="Arial"/>
          <w:bCs/>
          <w:szCs w:val="24"/>
          <w:lang w:val="x-none" w:eastAsia="pl-PL"/>
        </w:rPr>
        <w:t>agazynowanie</w:t>
      </w:r>
      <w:proofErr w:type="spellEnd"/>
      <w:r w:rsidRPr="00E02F30">
        <w:rPr>
          <w:rFonts w:eastAsia="Times New Roman" w:cs="Arial"/>
          <w:bCs/>
          <w:szCs w:val="24"/>
          <w:lang w:val="x-none" w:eastAsia="pl-PL"/>
        </w:rPr>
        <w:t xml:space="preserve"> odpadów w miejscach na ten cel przeznaczonych </w:t>
      </w:r>
      <w:r w:rsidRPr="00E02F30">
        <w:rPr>
          <w:rFonts w:eastAsia="Times New Roman" w:cs="Arial"/>
          <w:bCs/>
          <w:szCs w:val="24"/>
          <w:lang w:val="x-none" w:eastAsia="fr-FR"/>
        </w:rPr>
        <w:t xml:space="preserve">na nieprzepuszczalnym podłożu, wykonanym z materiału odpornego na działanie chemiczne przechowywanego </w:t>
      </w:r>
      <w:r w:rsidRPr="00E02F30">
        <w:rPr>
          <w:rFonts w:eastAsia="Times New Roman" w:cs="Arial"/>
          <w:bCs/>
          <w:szCs w:val="24"/>
          <w:lang w:eastAsia="fr-FR"/>
        </w:rPr>
        <w:t>odpadu</w:t>
      </w:r>
      <w:r w:rsidRPr="00E02F30">
        <w:rPr>
          <w:rFonts w:eastAsia="Times New Roman" w:cs="Arial"/>
          <w:bCs/>
          <w:szCs w:val="24"/>
          <w:lang w:val="x-none" w:eastAsia="fr-FR"/>
        </w:rPr>
        <w:t>.</w:t>
      </w:r>
    </w:p>
    <w:p w14:paraId="5AAEA13B" w14:textId="77777777" w:rsidR="00E02F30" w:rsidRPr="00E02F30" w:rsidRDefault="00E02F30">
      <w:pPr>
        <w:keepNext/>
        <w:numPr>
          <w:ilvl w:val="0"/>
          <w:numId w:val="24"/>
        </w:numPr>
        <w:suppressLineNumbers/>
        <w:spacing w:before="60" w:after="60" w:line="276" w:lineRule="auto"/>
        <w:ind w:left="426" w:hanging="426"/>
        <w:contextualSpacing/>
        <w:jc w:val="both"/>
        <w:rPr>
          <w:rFonts w:eastAsia="Times New Roman" w:cs="Arial"/>
          <w:bCs/>
          <w:szCs w:val="24"/>
          <w:lang w:eastAsia="pl-PL"/>
        </w:rPr>
      </w:pPr>
      <w:r w:rsidRPr="00E02F30">
        <w:rPr>
          <w:rFonts w:eastAsia="Times New Roman" w:cs="Arial"/>
          <w:bCs/>
          <w:szCs w:val="24"/>
          <w:lang w:eastAsia="pl-PL"/>
        </w:rPr>
        <w:t>Wykorzystywane będą opakowania wielokrotnego użytku (bębny, kontenery, big-</w:t>
      </w:r>
      <w:proofErr w:type="spellStart"/>
      <w:r w:rsidRPr="00E02F30">
        <w:rPr>
          <w:rFonts w:eastAsia="Times New Roman" w:cs="Arial"/>
          <w:bCs/>
          <w:szCs w:val="24"/>
          <w:lang w:eastAsia="pl-PL"/>
        </w:rPr>
        <w:t>bagi</w:t>
      </w:r>
      <w:proofErr w:type="spellEnd"/>
      <w:r w:rsidRPr="00E02F30">
        <w:rPr>
          <w:rFonts w:eastAsia="Times New Roman" w:cs="Arial"/>
          <w:bCs/>
          <w:szCs w:val="24"/>
          <w:lang w:eastAsia="pl-PL"/>
        </w:rPr>
        <w:t>, palety drewniane).</w:t>
      </w:r>
    </w:p>
    <w:p w14:paraId="786C4353" w14:textId="77777777" w:rsidR="00E02F30" w:rsidRPr="00E02F30" w:rsidRDefault="00E02F30">
      <w:pPr>
        <w:keepNext/>
        <w:numPr>
          <w:ilvl w:val="0"/>
          <w:numId w:val="24"/>
        </w:numPr>
        <w:suppressLineNumbers/>
        <w:spacing w:before="60" w:after="60" w:line="276" w:lineRule="auto"/>
        <w:ind w:left="426" w:hanging="426"/>
        <w:contextualSpacing/>
        <w:jc w:val="both"/>
        <w:rPr>
          <w:rFonts w:eastAsia="Times New Roman" w:cs="Arial"/>
          <w:bCs/>
          <w:szCs w:val="24"/>
          <w:lang w:eastAsia="pl-PL"/>
        </w:rPr>
      </w:pPr>
      <w:r w:rsidRPr="00E02F30">
        <w:rPr>
          <w:rFonts w:eastAsia="Times New Roman" w:cs="Arial"/>
          <w:bCs/>
          <w:szCs w:val="24"/>
          <w:lang w:eastAsia="pl-PL"/>
        </w:rPr>
        <w:t>Przestrzegany będzie reżim prowadzonego procesu technologicznego.</w:t>
      </w:r>
    </w:p>
    <w:p w14:paraId="6C5FC0C2" w14:textId="77777777" w:rsidR="00E02F30" w:rsidRPr="00E02F30" w:rsidRDefault="00E02F30">
      <w:pPr>
        <w:keepNext/>
        <w:numPr>
          <w:ilvl w:val="0"/>
          <w:numId w:val="24"/>
        </w:numPr>
        <w:suppressLineNumbers/>
        <w:spacing w:before="60" w:after="60" w:line="276" w:lineRule="auto"/>
        <w:ind w:left="426" w:hanging="426"/>
        <w:contextualSpacing/>
        <w:jc w:val="both"/>
        <w:rPr>
          <w:rFonts w:eastAsia="Times New Roman" w:cs="Arial"/>
          <w:bCs/>
          <w:sz w:val="22"/>
          <w:lang w:eastAsia="pl-PL"/>
        </w:rPr>
      </w:pPr>
      <w:r w:rsidRPr="00E02F30">
        <w:rPr>
          <w:rFonts w:eastAsia="Times New Roman" w:cs="Arial"/>
          <w:bCs/>
          <w:sz w:val="22"/>
          <w:lang w:eastAsia="pl-PL"/>
        </w:rPr>
        <w:t>Prowadzona będzie kontrola stanu dostaw materiałów i surowców, celem wyeliminowania przyjmowanych materiałów i surowców w uszkodzonych opakowaniach, a tym samym ograniczenia ilości powstających odpadów.</w:t>
      </w:r>
    </w:p>
    <w:p w14:paraId="3072CB30" w14:textId="77777777" w:rsidR="00E02F30" w:rsidRPr="00E02F30" w:rsidRDefault="00E02F30" w:rsidP="00E02F30">
      <w:pPr>
        <w:keepNext/>
        <w:widowControl w:val="0"/>
        <w:adjustRightInd w:val="0"/>
        <w:spacing w:after="0" w:line="276" w:lineRule="auto"/>
        <w:textAlignment w:val="baseline"/>
        <w:outlineLvl w:val="3"/>
        <w:rPr>
          <w:rFonts w:eastAsia="Calibri" w:cs="Times New Roman"/>
          <w:b/>
          <w:szCs w:val="20"/>
        </w:rPr>
      </w:pPr>
      <w:r w:rsidRPr="00E02F30">
        <w:rPr>
          <w:rFonts w:eastAsia="Calibri" w:cs="Times New Roman"/>
          <w:b/>
          <w:bCs/>
          <w:szCs w:val="20"/>
        </w:rPr>
        <w:t xml:space="preserve">II.3.3. </w:t>
      </w:r>
      <w:r w:rsidRPr="00E02F30">
        <w:rPr>
          <w:rFonts w:eastAsia="Calibri" w:cs="Times New Roman"/>
          <w:b/>
          <w:szCs w:val="20"/>
        </w:rPr>
        <w:t>Warunki gospodarowania wytwarzanymi odpadami</w:t>
      </w:r>
    </w:p>
    <w:p w14:paraId="3EE9BBE4" w14:textId="77777777" w:rsidR="00E02F30" w:rsidRPr="00E02F30" w:rsidRDefault="00E02F30">
      <w:pPr>
        <w:keepNext/>
        <w:numPr>
          <w:ilvl w:val="0"/>
          <w:numId w:val="73"/>
        </w:numPr>
        <w:suppressLineNumbers/>
        <w:spacing w:before="60" w:after="60" w:line="276" w:lineRule="auto"/>
        <w:ind w:left="363" w:hanging="357"/>
        <w:contextualSpacing/>
        <w:jc w:val="both"/>
        <w:rPr>
          <w:rFonts w:eastAsia="Times New Roman" w:cs="Arial"/>
          <w:bCs/>
          <w:szCs w:val="24"/>
          <w:lang w:val="x-none" w:eastAsia="pl-PL"/>
        </w:rPr>
      </w:pPr>
      <w:r w:rsidRPr="00E02F30">
        <w:rPr>
          <w:rFonts w:eastAsia="Times New Roman" w:cs="Arial"/>
          <w:bCs/>
          <w:szCs w:val="24"/>
          <w:lang w:val="x-none" w:eastAsia="pl-PL"/>
        </w:rPr>
        <w:t xml:space="preserve">Odpady wytworzone magazynowane będą w miejscach oznakowanych w sposób trwały kodem i nazwą odpadu oraz zabezpieczonych przed dostępem osób postronnych; w sposób selektywny, uniemożliwiający ich zmieszanie oraz zabezpieczający środowisko wodne i gruntowe przed zanieczyszczeniami. </w:t>
      </w:r>
    </w:p>
    <w:p w14:paraId="27D9F04C" w14:textId="77777777" w:rsidR="00E02F30" w:rsidRPr="00E02F30" w:rsidRDefault="00E02F30">
      <w:pPr>
        <w:keepNext/>
        <w:numPr>
          <w:ilvl w:val="0"/>
          <w:numId w:val="73"/>
        </w:numPr>
        <w:suppressLineNumbers/>
        <w:spacing w:before="60" w:after="60" w:line="276" w:lineRule="auto"/>
        <w:ind w:left="363" w:hanging="357"/>
        <w:contextualSpacing/>
        <w:jc w:val="both"/>
        <w:rPr>
          <w:rFonts w:eastAsia="Times New Roman" w:cs="Arial"/>
          <w:bCs/>
          <w:szCs w:val="24"/>
          <w:lang w:val="x-none" w:eastAsia="pl-PL"/>
        </w:rPr>
      </w:pPr>
      <w:r w:rsidRPr="00E02F30">
        <w:rPr>
          <w:rFonts w:eastAsia="Times New Roman" w:cs="Arial"/>
          <w:bCs/>
          <w:szCs w:val="24"/>
          <w:lang w:val="x-none" w:eastAsia="pl-PL"/>
        </w:rPr>
        <w:t xml:space="preserve">W zależności od rodzaju i postaci magazynowanych odpadów płynnych, półpłynnych czy stałych oraz ich właściwości, stosowane będą szczelne opakowania, pojemniki, zbiorniki, itp. adekwatne do charakteru magazynowanego odpadu, odporne na działanie znajdujących się w nich substancji </w:t>
      </w:r>
      <w:r w:rsidRPr="00E02F30">
        <w:rPr>
          <w:rFonts w:eastAsia="Times New Roman" w:cs="Arial"/>
          <w:bCs/>
          <w:szCs w:val="24"/>
          <w:lang w:val="x-none" w:eastAsia="pl-PL"/>
        </w:rPr>
        <w:br/>
        <w:t>i zabezpieczające przed zanieczyszczeniem środowiska (rozlaniem czy rozsypaniem) oraz zapewniać będą bezpieczeństwo prac ładunkowych i przewozu odpadów do miejsc ich odzysku czy unieszkodliwiania.</w:t>
      </w:r>
    </w:p>
    <w:p w14:paraId="6EE45E9C" w14:textId="77777777" w:rsidR="00E02F30" w:rsidRPr="00E02F30" w:rsidRDefault="00E02F30">
      <w:pPr>
        <w:keepNext/>
        <w:numPr>
          <w:ilvl w:val="0"/>
          <w:numId w:val="73"/>
        </w:numPr>
        <w:suppressLineNumbers/>
        <w:spacing w:before="60" w:after="60" w:line="276" w:lineRule="auto"/>
        <w:ind w:left="363" w:hanging="357"/>
        <w:contextualSpacing/>
        <w:jc w:val="both"/>
        <w:rPr>
          <w:rFonts w:eastAsia="Times New Roman" w:cs="Arial"/>
          <w:bCs/>
          <w:szCs w:val="24"/>
          <w:lang w:val="x-none" w:eastAsia="pl-PL"/>
        </w:rPr>
      </w:pPr>
      <w:r w:rsidRPr="00E02F30">
        <w:rPr>
          <w:rFonts w:eastAsia="Times New Roman" w:cs="Arial"/>
          <w:bCs/>
          <w:szCs w:val="24"/>
          <w:lang w:val="x-none" w:eastAsia="pl-PL"/>
        </w:rPr>
        <w:t xml:space="preserve">Ilość magazynowanych odpadów nie może przekraczać pojemności miejsc magazynowania, a sposób magazynowania odpadów nie może powodować zanieczyszczenia środowiska oraz uciążliwości zapachowych. </w:t>
      </w:r>
    </w:p>
    <w:p w14:paraId="4A0E800E" w14:textId="77777777" w:rsidR="00E02F30" w:rsidRPr="00E02F30" w:rsidRDefault="00E02F30">
      <w:pPr>
        <w:keepNext/>
        <w:numPr>
          <w:ilvl w:val="0"/>
          <w:numId w:val="73"/>
        </w:numPr>
        <w:suppressLineNumbers/>
        <w:autoSpaceDE w:val="0"/>
        <w:autoSpaceDN w:val="0"/>
        <w:adjustRightInd w:val="0"/>
        <w:spacing w:before="60" w:after="60" w:line="276" w:lineRule="auto"/>
        <w:ind w:left="363" w:hanging="357"/>
        <w:contextualSpacing/>
        <w:jc w:val="both"/>
        <w:rPr>
          <w:rFonts w:eastAsia="Times New Roman" w:cs="Arial"/>
          <w:szCs w:val="24"/>
          <w:lang w:eastAsia="pl-PL"/>
        </w:rPr>
      </w:pPr>
      <w:r w:rsidRPr="00E02F30">
        <w:rPr>
          <w:rFonts w:eastAsia="Times New Roman" w:cs="Arial"/>
          <w:szCs w:val="24"/>
          <w:lang w:eastAsia="pl-PL"/>
        </w:rPr>
        <w:t xml:space="preserve">Miejsce magazynowania odpadów będzie posiadać utwardzoną, szczelną nawierzchnię, oświetlenie, urządzenia p.poż. i materiały gaśnicze, a także </w:t>
      </w:r>
      <w:r w:rsidRPr="00E02F30">
        <w:rPr>
          <w:rFonts w:eastAsia="Times New Roman" w:cs="Arial"/>
          <w:szCs w:val="24"/>
          <w:lang w:eastAsia="pl-PL"/>
        </w:rPr>
        <w:br/>
        <w:t>w przypadku miejsc tymczasowego magazynowania płynnych odpadów niebezpiecznych – sorbenty do likwidacji ewentualnych wycieków.</w:t>
      </w:r>
    </w:p>
    <w:p w14:paraId="29537CD1" w14:textId="77777777" w:rsidR="00E02F30" w:rsidRPr="00E02F30" w:rsidRDefault="00E02F30">
      <w:pPr>
        <w:keepNext/>
        <w:numPr>
          <w:ilvl w:val="0"/>
          <w:numId w:val="73"/>
        </w:numPr>
        <w:suppressLineNumbers/>
        <w:spacing w:before="60" w:after="60" w:line="276" w:lineRule="auto"/>
        <w:ind w:left="363" w:hanging="357"/>
        <w:contextualSpacing/>
        <w:jc w:val="both"/>
        <w:rPr>
          <w:rFonts w:eastAsia="Times New Roman" w:cs="Arial"/>
          <w:color w:val="70AD47"/>
          <w:szCs w:val="24"/>
          <w:lang w:eastAsia="pl-PL"/>
        </w:rPr>
      </w:pPr>
      <w:r w:rsidRPr="00E02F30">
        <w:rPr>
          <w:rFonts w:eastAsia="Times New Roman" w:cs="Arial"/>
          <w:szCs w:val="24"/>
          <w:lang w:eastAsia="pl-PL"/>
        </w:rPr>
        <w:t>Pracownicy zakładu poddawani będą szkoleniom z zakresu aktualnie obowiązujących przepisów w zakresie gospodarki odpadami i ochrony środowiska, p.poż.</w:t>
      </w:r>
    </w:p>
    <w:p w14:paraId="02E82EB4" w14:textId="77777777" w:rsidR="00E02F30" w:rsidRPr="00E02F30" w:rsidRDefault="00E02F30" w:rsidP="00E02F30">
      <w:pPr>
        <w:keepNext/>
        <w:widowControl w:val="0"/>
        <w:adjustRightInd w:val="0"/>
        <w:spacing w:after="0" w:line="360" w:lineRule="auto"/>
        <w:textAlignment w:val="baseline"/>
        <w:outlineLvl w:val="2"/>
        <w:rPr>
          <w:rFonts w:eastAsia="Times New Roman" w:cs="Times New Roman"/>
          <w:b/>
          <w:szCs w:val="20"/>
          <w:lang w:eastAsia="pl-PL"/>
        </w:rPr>
      </w:pPr>
      <w:r w:rsidRPr="00E02F30">
        <w:rPr>
          <w:rFonts w:eastAsia="Times New Roman" w:cs="Times New Roman"/>
          <w:b/>
          <w:szCs w:val="20"/>
          <w:lang w:eastAsia="pl-PL"/>
        </w:rPr>
        <w:t>II.4. Dopuszczalny poziom emisji hałasu do środowiska z instalacji</w:t>
      </w:r>
    </w:p>
    <w:p w14:paraId="20545B87" w14:textId="77777777" w:rsidR="00E02F30" w:rsidRPr="00E02F30" w:rsidRDefault="00E02F30" w:rsidP="00E02F30">
      <w:pPr>
        <w:keepNext/>
        <w:suppressAutoHyphens/>
        <w:spacing w:before="60" w:after="0" w:line="276" w:lineRule="auto"/>
        <w:ind w:firstLine="426"/>
        <w:rPr>
          <w:rFonts w:eastAsia="Times New Roman" w:cs="Arial"/>
          <w:szCs w:val="24"/>
          <w:lang w:eastAsia="pl-PL"/>
        </w:rPr>
      </w:pPr>
      <w:r w:rsidRPr="00E02F30">
        <w:rPr>
          <w:rFonts w:eastAsia="Times New Roman" w:cs="Arial"/>
          <w:szCs w:val="24"/>
          <w:lang w:eastAsia="pl-PL"/>
        </w:rPr>
        <w:t xml:space="preserve">Dopuszczalny poziom emisji hałasu poza Zakładem do środowiska z instalacji objętej niniejszym pozwoleniem, wyrażony wskaźnikami </w:t>
      </w:r>
      <w:proofErr w:type="spellStart"/>
      <w:r w:rsidRPr="00E02F30">
        <w:rPr>
          <w:rFonts w:eastAsia="Times New Roman" w:cs="Arial"/>
          <w:szCs w:val="24"/>
          <w:lang w:eastAsia="pl-PL"/>
        </w:rPr>
        <w:t>L</w:t>
      </w:r>
      <w:r w:rsidRPr="00E02F30">
        <w:rPr>
          <w:rFonts w:eastAsia="Times New Roman" w:cs="Arial"/>
          <w:szCs w:val="24"/>
          <w:vertAlign w:val="subscript"/>
          <w:lang w:eastAsia="pl-PL"/>
        </w:rPr>
        <w:t>Aeq</w:t>
      </w:r>
      <w:proofErr w:type="spellEnd"/>
      <w:r w:rsidRPr="00E02F30">
        <w:rPr>
          <w:rFonts w:eastAsia="Times New Roman" w:cs="Arial"/>
          <w:szCs w:val="24"/>
          <w:vertAlign w:val="subscript"/>
          <w:lang w:eastAsia="pl-PL"/>
        </w:rPr>
        <w:t xml:space="preserve"> D </w:t>
      </w:r>
      <w:r w:rsidRPr="00E02F30">
        <w:rPr>
          <w:rFonts w:eastAsia="Times New Roman" w:cs="Arial"/>
          <w:szCs w:val="24"/>
          <w:lang w:eastAsia="pl-PL"/>
        </w:rPr>
        <w:t xml:space="preserve">i </w:t>
      </w:r>
      <w:proofErr w:type="spellStart"/>
      <w:r w:rsidRPr="00E02F30">
        <w:rPr>
          <w:rFonts w:eastAsia="Times New Roman" w:cs="Arial"/>
          <w:szCs w:val="24"/>
          <w:lang w:eastAsia="pl-PL"/>
        </w:rPr>
        <w:t>L</w:t>
      </w:r>
      <w:r w:rsidRPr="00E02F30">
        <w:rPr>
          <w:rFonts w:eastAsia="Times New Roman" w:cs="Arial"/>
          <w:szCs w:val="24"/>
          <w:vertAlign w:val="subscript"/>
          <w:lang w:eastAsia="pl-PL"/>
        </w:rPr>
        <w:t>Aeq</w:t>
      </w:r>
      <w:proofErr w:type="spellEnd"/>
      <w:r w:rsidRPr="00E02F30">
        <w:rPr>
          <w:rFonts w:eastAsia="Times New Roman" w:cs="Arial"/>
          <w:szCs w:val="24"/>
          <w:vertAlign w:val="subscript"/>
          <w:lang w:eastAsia="pl-PL"/>
        </w:rPr>
        <w:t xml:space="preserve"> N </w:t>
      </w:r>
      <w:r w:rsidRPr="00E02F30">
        <w:rPr>
          <w:rFonts w:eastAsia="Times New Roman" w:cs="Arial"/>
          <w:szCs w:val="24"/>
          <w:lang w:eastAsia="pl-PL"/>
        </w:rPr>
        <w:t>w odniesieniu do działek leżących:</w:t>
      </w:r>
    </w:p>
    <w:p w14:paraId="5F47FCFF" w14:textId="77777777" w:rsidR="00E02F30" w:rsidRPr="00E02F30" w:rsidRDefault="00E02F30">
      <w:pPr>
        <w:keepNext/>
        <w:numPr>
          <w:ilvl w:val="0"/>
          <w:numId w:val="38"/>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 xml:space="preserve">po stronie północno-wschodniej: </w:t>
      </w:r>
    </w:p>
    <w:p w14:paraId="67C1A0E5" w14:textId="77777777" w:rsidR="00E02F30" w:rsidRPr="00E02F30" w:rsidRDefault="00E02F30">
      <w:pPr>
        <w:keepNext/>
        <w:numPr>
          <w:ilvl w:val="0"/>
          <w:numId w:val="40"/>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tereny zabudowy mieszkaniowej jednorodzinnej i tereny zabudowy mieszkaniowo-usługowej oddalone o ok. 130 m od granic Zakładu;</w:t>
      </w:r>
    </w:p>
    <w:p w14:paraId="0A465E5E" w14:textId="77777777" w:rsidR="00E02F30" w:rsidRPr="00E02F30" w:rsidRDefault="00E02F30">
      <w:pPr>
        <w:keepNext/>
        <w:numPr>
          <w:ilvl w:val="0"/>
          <w:numId w:val="38"/>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po stronie wschodniej:</w:t>
      </w:r>
    </w:p>
    <w:p w14:paraId="489EE236" w14:textId="77777777" w:rsidR="00E02F30" w:rsidRPr="00E02F30" w:rsidRDefault="00E02F30">
      <w:pPr>
        <w:keepNext/>
        <w:numPr>
          <w:ilvl w:val="0"/>
          <w:numId w:val="39"/>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tereny zabudowy mieszkaniowej jednorodzinnej oddalone o ok. 390 m od granic Zakładu;</w:t>
      </w:r>
    </w:p>
    <w:p w14:paraId="125915F3" w14:textId="77777777" w:rsidR="00E02F30" w:rsidRPr="00E02F30" w:rsidRDefault="00E02F30">
      <w:pPr>
        <w:keepNext/>
        <w:numPr>
          <w:ilvl w:val="0"/>
          <w:numId w:val="38"/>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po stronie południowo-wschodniej:</w:t>
      </w:r>
    </w:p>
    <w:p w14:paraId="7EABC711" w14:textId="77777777" w:rsidR="00E02F30" w:rsidRPr="00E02F30" w:rsidRDefault="00E02F30">
      <w:pPr>
        <w:keepNext/>
        <w:numPr>
          <w:ilvl w:val="0"/>
          <w:numId w:val="41"/>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tereny zabudowy zagrodowej oddalone o ok. 990 m od granic Zakładu;</w:t>
      </w:r>
    </w:p>
    <w:p w14:paraId="1F00D56F" w14:textId="77777777" w:rsidR="00E02F30" w:rsidRPr="00E02F30" w:rsidRDefault="00E02F30">
      <w:pPr>
        <w:keepNext/>
        <w:numPr>
          <w:ilvl w:val="0"/>
          <w:numId w:val="41"/>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tereny rekreacyjno-wypoczynkowe oddalone o ok. 950 m od granic Zakładu;</w:t>
      </w:r>
    </w:p>
    <w:p w14:paraId="7E08B958" w14:textId="77777777" w:rsidR="00E02F30" w:rsidRPr="00E02F30" w:rsidRDefault="00E02F30">
      <w:pPr>
        <w:keepNext/>
        <w:numPr>
          <w:ilvl w:val="0"/>
          <w:numId w:val="38"/>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po stronie południowej:</w:t>
      </w:r>
    </w:p>
    <w:p w14:paraId="2FBB63C0" w14:textId="77777777" w:rsidR="00E02F30" w:rsidRPr="00E02F30" w:rsidRDefault="00E02F30">
      <w:pPr>
        <w:keepNext/>
        <w:numPr>
          <w:ilvl w:val="0"/>
          <w:numId w:val="42"/>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tereny zabudowy zagrodowej oddalone o ok. 950 m od granic Zakładu;</w:t>
      </w:r>
    </w:p>
    <w:p w14:paraId="42EE7D1D" w14:textId="77777777" w:rsidR="00E02F30" w:rsidRPr="00E02F30" w:rsidRDefault="00E02F30">
      <w:pPr>
        <w:keepNext/>
        <w:numPr>
          <w:ilvl w:val="0"/>
          <w:numId w:val="38"/>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po stronie południowo-zachodniej:</w:t>
      </w:r>
    </w:p>
    <w:p w14:paraId="52429C7F" w14:textId="77777777" w:rsidR="00E02F30" w:rsidRPr="00E02F30" w:rsidRDefault="00E02F30">
      <w:pPr>
        <w:keepNext/>
        <w:numPr>
          <w:ilvl w:val="0"/>
          <w:numId w:val="42"/>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tereny zabudowy zagrodowej oddalone o ok. 770 m od granic Zakładu</w:t>
      </w:r>
    </w:p>
    <w:p w14:paraId="607AA19B" w14:textId="77777777" w:rsidR="00E02F30" w:rsidRPr="00E02F30" w:rsidRDefault="00E02F30" w:rsidP="00E02F30">
      <w:pPr>
        <w:suppressLineNumbers/>
        <w:tabs>
          <w:tab w:val="left" w:pos="0"/>
        </w:tabs>
        <w:spacing w:after="0" w:line="276" w:lineRule="auto"/>
        <w:jc w:val="both"/>
        <w:rPr>
          <w:rFonts w:eastAsia="Times New Roman" w:cs="Arial"/>
          <w:bCs/>
          <w:szCs w:val="24"/>
          <w:lang w:eastAsia="pl-PL"/>
        </w:rPr>
      </w:pPr>
      <w:r w:rsidRPr="00E02F30">
        <w:rPr>
          <w:rFonts w:eastAsia="Times New Roman" w:cs="Arial"/>
          <w:bCs/>
          <w:szCs w:val="24"/>
          <w:lang w:eastAsia="pl-PL"/>
        </w:rPr>
        <w:t>w następujący sposób:</w:t>
      </w:r>
    </w:p>
    <w:p w14:paraId="5B969F9B" w14:textId="77777777" w:rsidR="00E02F30" w:rsidRPr="00E02F30" w:rsidRDefault="00E02F30">
      <w:pPr>
        <w:widowControl w:val="0"/>
        <w:numPr>
          <w:ilvl w:val="0"/>
          <w:numId w:val="38"/>
        </w:numPr>
        <w:suppressLineNumbers/>
        <w:adjustRightInd w:val="0"/>
        <w:spacing w:after="0" w:line="276" w:lineRule="auto"/>
        <w:jc w:val="both"/>
        <w:textAlignment w:val="baseline"/>
        <w:rPr>
          <w:rFonts w:eastAsia="Times New Roman" w:cs="Arial"/>
          <w:bCs/>
          <w:szCs w:val="24"/>
          <w:lang w:eastAsia="pl-PL"/>
        </w:rPr>
      </w:pPr>
      <w:r w:rsidRPr="00E02F30">
        <w:rPr>
          <w:rFonts w:eastAsia="Times New Roman" w:cs="Arial"/>
          <w:b/>
          <w:bCs/>
          <w:szCs w:val="24"/>
          <w:lang w:eastAsia="pl-PL"/>
        </w:rPr>
        <w:t>Tereny zabudowy mieszkaniowej jednorodzinnej:</w:t>
      </w:r>
    </w:p>
    <w:p w14:paraId="3C75F784" w14:textId="77777777" w:rsidR="00E02F30" w:rsidRPr="00E02F30" w:rsidRDefault="00E02F30">
      <w:pPr>
        <w:keepNext/>
        <w:numPr>
          <w:ilvl w:val="0"/>
          <w:numId w:val="51"/>
        </w:numPr>
        <w:suppressAutoHyphens/>
        <w:spacing w:before="60" w:after="60" w:line="276" w:lineRule="auto"/>
        <w:contextualSpacing/>
        <w:jc w:val="both"/>
        <w:rPr>
          <w:rFonts w:eastAsia="Times New Roman" w:cs="Arial"/>
          <w:bCs/>
          <w:szCs w:val="24"/>
          <w:lang w:eastAsia="pl-PL"/>
        </w:rPr>
      </w:pPr>
      <w:r w:rsidRPr="00E02F30">
        <w:rPr>
          <w:rFonts w:eastAsia="Times New Roman" w:cs="Arial"/>
          <w:bCs/>
          <w:szCs w:val="24"/>
          <w:lang w:eastAsia="pl-PL"/>
        </w:rPr>
        <w:t xml:space="preserve">porze dnia (06:00 – 22:00) – 50 </w:t>
      </w:r>
      <w:proofErr w:type="spellStart"/>
      <w:r w:rsidRPr="00E02F30">
        <w:rPr>
          <w:rFonts w:eastAsia="Times New Roman" w:cs="Arial"/>
          <w:bCs/>
          <w:szCs w:val="24"/>
          <w:lang w:eastAsia="pl-PL"/>
        </w:rPr>
        <w:t>dB</w:t>
      </w:r>
      <w:proofErr w:type="spellEnd"/>
      <w:r w:rsidRPr="00E02F30">
        <w:rPr>
          <w:rFonts w:eastAsia="Times New Roman" w:cs="Arial"/>
          <w:bCs/>
          <w:szCs w:val="24"/>
          <w:lang w:eastAsia="pl-PL"/>
        </w:rPr>
        <w:t>(A),</w:t>
      </w:r>
    </w:p>
    <w:p w14:paraId="14A5669C" w14:textId="77777777" w:rsidR="00E02F30" w:rsidRPr="00E02F30" w:rsidRDefault="00E02F30">
      <w:pPr>
        <w:keepNext/>
        <w:numPr>
          <w:ilvl w:val="0"/>
          <w:numId w:val="51"/>
        </w:numPr>
        <w:suppressAutoHyphens/>
        <w:spacing w:before="60" w:after="60" w:line="276" w:lineRule="auto"/>
        <w:contextualSpacing/>
        <w:jc w:val="both"/>
        <w:rPr>
          <w:rFonts w:eastAsia="Times New Roman" w:cs="Arial"/>
          <w:bCs/>
          <w:szCs w:val="24"/>
          <w:lang w:eastAsia="pl-PL"/>
        </w:rPr>
      </w:pPr>
      <w:r w:rsidRPr="00E02F30">
        <w:rPr>
          <w:rFonts w:eastAsia="Times New Roman" w:cs="Arial"/>
          <w:bCs/>
          <w:szCs w:val="24"/>
          <w:lang w:eastAsia="pl-PL"/>
        </w:rPr>
        <w:t xml:space="preserve">porze nocy (22:00 – 06:00) – 40 </w:t>
      </w:r>
      <w:proofErr w:type="spellStart"/>
      <w:r w:rsidRPr="00E02F30">
        <w:rPr>
          <w:rFonts w:eastAsia="Times New Roman" w:cs="Arial"/>
          <w:bCs/>
          <w:szCs w:val="24"/>
          <w:lang w:eastAsia="pl-PL"/>
        </w:rPr>
        <w:t>dB</w:t>
      </w:r>
      <w:proofErr w:type="spellEnd"/>
      <w:r w:rsidRPr="00E02F30">
        <w:rPr>
          <w:rFonts w:eastAsia="Times New Roman" w:cs="Arial"/>
          <w:bCs/>
          <w:szCs w:val="24"/>
          <w:lang w:eastAsia="pl-PL"/>
        </w:rPr>
        <w:t>(A).</w:t>
      </w:r>
    </w:p>
    <w:p w14:paraId="285E387A" w14:textId="77777777" w:rsidR="00E02F30" w:rsidRPr="00E02F30" w:rsidRDefault="00E02F30">
      <w:pPr>
        <w:keepNext/>
        <w:numPr>
          <w:ilvl w:val="0"/>
          <w:numId w:val="38"/>
        </w:numPr>
        <w:suppressAutoHyphens/>
        <w:spacing w:before="60" w:after="60" w:line="276" w:lineRule="auto"/>
        <w:contextualSpacing/>
        <w:jc w:val="both"/>
        <w:rPr>
          <w:rFonts w:eastAsia="Times New Roman" w:cs="Arial"/>
          <w:bCs/>
          <w:szCs w:val="24"/>
          <w:lang w:eastAsia="pl-PL"/>
        </w:rPr>
      </w:pPr>
      <w:r w:rsidRPr="00E02F30">
        <w:rPr>
          <w:rFonts w:eastAsia="Times New Roman" w:cs="Arial"/>
          <w:b/>
          <w:bCs/>
          <w:szCs w:val="24"/>
          <w:lang w:eastAsia="pl-PL"/>
        </w:rPr>
        <w:t>Tereny zabudowy mieszkaniowej wielorodzinnej i zamieszkania zbiorowego, tereny zabudowy zagrodowej, tereny mieszkaniowo-usługowe, tereny związane ze stałym lub czasowym przebywaniem dzieci i młodzieży:</w:t>
      </w:r>
    </w:p>
    <w:p w14:paraId="41A976F0" w14:textId="77777777" w:rsidR="00E02F30" w:rsidRPr="00E02F30" w:rsidRDefault="00E02F30">
      <w:pPr>
        <w:keepNext/>
        <w:numPr>
          <w:ilvl w:val="0"/>
          <w:numId w:val="52"/>
        </w:numPr>
        <w:suppressAutoHyphens/>
        <w:spacing w:before="60" w:after="60" w:line="276" w:lineRule="auto"/>
        <w:contextualSpacing/>
        <w:jc w:val="both"/>
        <w:rPr>
          <w:rFonts w:eastAsia="Times New Roman" w:cs="Arial"/>
          <w:bCs/>
          <w:szCs w:val="24"/>
          <w:lang w:eastAsia="pl-PL"/>
        </w:rPr>
      </w:pPr>
      <w:r w:rsidRPr="00E02F30">
        <w:rPr>
          <w:rFonts w:eastAsia="Times New Roman" w:cs="Arial"/>
          <w:bCs/>
          <w:szCs w:val="24"/>
          <w:lang w:eastAsia="pl-PL"/>
        </w:rPr>
        <w:t xml:space="preserve">w porze dnia (06:00 – 22:00) – 55 </w:t>
      </w:r>
      <w:proofErr w:type="spellStart"/>
      <w:r w:rsidRPr="00E02F30">
        <w:rPr>
          <w:rFonts w:eastAsia="Times New Roman" w:cs="Arial"/>
          <w:bCs/>
          <w:szCs w:val="24"/>
          <w:lang w:eastAsia="pl-PL"/>
        </w:rPr>
        <w:t>dB</w:t>
      </w:r>
      <w:proofErr w:type="spellEnd"/>
      <w:r w:rsidRPr="00E02F30">
        <w:rPr>
          <w:rFonts w:eastAsia="Times New Roman" w:cs="Arial"/>
          <w:bCs/>
          <w:szCs w:val="24"/>
          <w:lang w:eastAsia="pl-PL"/>
        </w:rPr>
        <w:t>(A),</w:t>
      </w:r>
    </w:p>
    <w:p w14:paraId="1D44AE21" w14:textId="77777777" w:rsidR="00E02F30" w:rsidRPr="00E02F30" w:rsidRDefault="00E02F30">
      <w:pPr>
        <w:keepNext/>
        <w:numPr>
          <w:ilvl w:val="0"/>
          <w:numId w:val="52"/>
        </w:numPr>
        <w:suppressAutoHyphens/>
        <w:spacing w:before="60" w:after="60" w:line="276" w:lineRule="auto"/>
        <w:contextualSpacing/>
        <w:jc w:val="both"/>
        <w:rPr>
          <w:rFonts w:eastAsia="Times New Roman" w:cs="Arial"/>
          <w:bCs/>
          <w:szCs w:val="24"/>
          <w:lang w:eastAsia="pl-PL"/>
        </w:rPr>
      </w:pPr>
      <w:r w:rsidRPr="00E02F30">
        <w:rPr>
          <w:rFonts w:eastAsia="Times New Roman" w:cs="Arial"/>
          <w:bCs/>
          <w:szCs w:val="24"/>
          <w:lang w:eastAsia="pl-PL"/>
        </w:rPr>
        <w:t xml:space="preserve">w porze nocy (22:00 – 06:00) – 45 </w:t>
      </w:r>
      <w:proofErr w:type="spellStart"/>
      <w:r w:rsidRPr="00E02F30">
        <w:rPr>
          <w:rFonts w:eastAsia="Times New Roman" w:cs="Arial"/>
          <w:bCs/>
          <w:szCs w:val="24"/>
          <w:lang w:eastAsia="pl-PL"/>
        </w:rPr>
        <w:t>dB</w:t>
      </w:r>
      <w:proofErr w:type="spellEnd"/>
      <w:r w:rsidRPr="00E02F30">
        <w:rPr>
          <w:rFonts w:eastAsia="Times New Roman" w:cs="Arial"/>
          <w:bCs/>
          <w:szCs w:val="24"/>
          <w:lang w:eastAsia="pl-PL"/>
        </w:rPr>
        <w:t>(A).</w:t>
      </w:r>
    </w:p>
    <w:p w14:paraId="6ED8F2C4" w14:textId="77777777" w:rsidR="00E02F30" w:rsidRPr="00E02F30" w:rsidRDefault="00E02F30">
      <w:pPr>
        <w:keepNext/>
        <w:numPr>
          <w:ilvl w:val="0"/>
          <w:numId w:val="38"/>
        </w:numPr>
        <w:suppressAutoHyphens/>
        <w:spacing w:before="60" w:after="60" w:line="276" w:lineRule="auto"/>
        <w:contextualSpacing/>
        <w:jc w:val="both"/>
        <w:rPr>
          <w:rFonts w:eastAsia="Times New Roman" w:cs="Arial"/>
          <w:bCs/>
          <w:szCs w:val="24"/>
          <w:lang w:eastAsia="pl-PL"/>
        </w:rPr>
      </w:pPr>
      <w:r w:rsidRPr="00E02F30">
        <w:rPr>
          <w:rFonts w:eastAsia="Times New Roman" w:cs="Arial"/>
          <w:b/>
          <w:bCs/>
          <w:szCs w:val="24"/>
          <w:lang w:eastAsia="pl-PL"/>
        </w:rPr>
        <w:t xml:space="preserve">Tereny rekreacyjno-wypoczynkowe: </w:t>
      </w:r>
    </w:p>
    <w:p w14:paraId="13E62DAF" w14:textId="77777777" w:rsidR="00E02F30" w:rsidRPr="00E02F30" w:rsidRDefault="00E02F30">
      <w:pPr>
        <w:keepNext/>
        <w:numPr>
          <w:ilvl w:val="0"/>
          <w:numId w:val="53"/>
        </w:numPr>
        <w:suppressAutoHyphens/>
        <w:spacing w:before="60" w:after="60" w:line="276" w:lineRule="auto"/>
        <w:contextualSpacing/>
        <w:jc w:val="both"/>
        <w:rPr>
          <w:rFonts w:eastAsia="Times New Roman" w:cs="Arial"/>
          <w:bCs/>
          <w:szCs w:val="24"/>
          <w:lang w:eastAsia="pl-PL"/>
        </w:rPr>
      </w:pPr>
      <w:r w:rsidRPr="00E02F30">
        <w:rPr>
          <w:rFonts w:eastAsia="Times New Roman" w:cs="Arial"/>
          <w:bCs/>
          <w:szCs w:val="24"/>
          <w:lang w:eastAsia="pl-PL"/>
        </w:rPr>
        <w:t xml:space="preserve">w porze dnia (06:00 – 22:00) – 55 </w:t>
      </w:r>
      <w:proofErr w:type="spellStart"/>
      <w:r w:rsidRPr="00E02F30">
        <w:rPr>
          <w:rFonts w:eastAsia="Times New Roman" w:cs="Arial"/>
          <w:bCs/>
          <w:szCs w:val="24"/>
          <w:lang w:eastAsia="pl-PL"/>
        </w:rPr>
        <w:t>dB</w:t>
      </w:r>
      <w:proofErr w:type="spellEnd"/>
      <w:r w:rsidRPr="00E02F30">
        <w:rPr>
          <w:rFonts w:eastAsia="Times New Roman" w:cs="Arial"/>
          <w:bCs/>
          <w:szCs w:val="24"/>
          <w:lang w:eastAsia="pl-PL"/>
        </w:rPr>
        <w:t>(A),</w:t>
      </w:r>
    </w:p>
    <w:p w14:paraId="00735C62" w14:textId="77777777" w:rsidR="00E02F30" w:rsidRPr="00E02F30" w:rsidRDefault="00E02F30">
      <w:pPr>
        <w:keepNext/>
        <w:numPr>
          <w:ilvl w:val="0"/>
          <w:numId w:val="53"/>
        </w:numPr>
        <w:suppressAutoHyphens/>
        <w:spacing w:before="60" w:after="200" w:line="276" w:lineRule="auto"/>
        <w:contextualSpacing/>
        <w:jc w:val="both"/>
        <w:rPr>
          <w:rFonts w:eastAsia="Times New Roman" w:cs="Arial"/>
          <w:bCs/>
          <w:szCs w:val="24"/>
          <w:lang w:eastAsia="pl-PL"/>
        </w:rPr>
      </w:pPr>
      <w:r w:rsidRPr="00E02F30">
        <w:rPr>
          <w:rFonts w:eastAsia="Times New Roman" w:cs="Arial"/>
          <w:bCs/>
          <w:szCs w:val="24"/>
          <w:lang w:eastAsia="pl-PL"/>
        </w:rPr>
        <w:t xml:space="preserve">w porze nocy (22:00 – 06:00) – 45 </w:t>
      </w:r>
      <w:proofErr w:type="spellStart"/>
      <w:r w:rsidRPr="00E02F30">
        <w:rPr>
          <w:rFonts w:eastAsia="Times New Roman" w:cs="Arial"/>
          <w:bCs/>
          <w:szCs w:val="24"/>
          <w:lang w:eastAsia="pl-PL"/>
        </w:rPr>
        <w:t>dB</w:t>
      </w:r>
      <w:proofErr w:type="spellEnd"/>
      <w:r w:rsidRPr="00E02F30">
        <w:rPr>
          <w:rFonts w:eastAsia="Times New Roman" w:cs="Arial"/>
          <w:bCs/>
          <w:szCs w:val="24"/>
          <w:lang w:eastAsia="pl-PL"/>
        </w:rPr>
        <w:t>(A)* - w przypadku niewykorzystywania tych terenów, zgodnie z ich funkcją, w porze nocy, nie obowiązuje na nich dopuszczalny poziom hałasu w porze nocy.</w:t>
      </w:r>
    </w:p>
    <w:p w14:paraId="64ABCBDA" w14:textId="77777777" w:rsidR="00E02F30" w:rsidRPr="00E02F30" w:rsidRDefault="00E02F30" w:rsidP="00E02F30">
      <w:pPr>
        <w:keepNext/>
        <w:widowControl w:val="0"/>
        <w:adjustRightInd w:val="0"/>
        <w:spacing w:after="0" w:line="276" w:lineRule="auto"/>
        <w:jc w:val="both"/>
        <w:textAlignment w:val="baseline"/>
        <w:outlineLvl w:val="1"/>
        <w:rPr>
          <w:rFonts w:eastAsia="Times New Roman" w:cs="Times New Roman"/>
          <w:b/>
          <w:szCs w:val="20"/>
          <w:lang w:val="en-US" w:eastAsia="pl-PL"/>
        </w:rPr>
      </w:pPr>
      <w:r w:rsidRPr="00E02F30">
        <w:rPr>
          <w:rFonts w:eastAsia="Times New Roman" w:cs="Times New Roman"/>
          <w:b/>
          <w:sz w:val="23"/>
          <w:szCs w:val="23"/>
          <w:lang w:val="en-US" w:eastAsia="pl-PL"/>
        </w:rPr>
        <w:t>III</w:t>
      </w:r>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Warunki</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eksploatacyjne</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odbiegające</w:t>
      </w:r>
      <w:proofErr w:type="spellEnd"/>
      <w:r w:rsidRPr="00E02F30">
        <w:rPr>
          <w:rFonts w:eastAsia="Times New Roman" w:cs="Times New Roman"/>
          <w:b/>
          <w:szCs w:val="20"/>
          <w:lang w:val="en-US" w:eastAsia="pl-PL"/>
        </w:rPr>
        <w:t xml:space="preserve"> od </w:t>
      </w:r>
      <w:proofErr w:type="spellStart"/>
      <w:r w:rsidRPr="00E02F30">
        <w:rPr>
          <w:rFonts w:eastAsia="Times New Roman" w:cs="Times New Roman"/>
          <w:b/>
          <w:szCs w:val="20"/>
          <w:lang w:val="en-US" w:eastAsia="pl-PL"/>
        </w:rPr>
        <w:t>normalnych</w:t>
      </w:r>
      <w:proofErr w:type="spellEnd"/>
    </w:p>
    <w:p w14:paraId="2DB86980" w14:textId="77777777" w:rsidR="00E02F30" w:rsidRPr="00E02F30" w:rsidRDefault="00E02F30" w:rsidP="00E02F30">
      <w:pPr>
        <w:keepNext/>
        <w:widowControl w:val="0"/>
        <w:adjustRightInd w:val="0"/>
        <w:spacing w:after="0" w:line="276" w:lineRule="auto"/>
        <w:jc w:val="both"/>
        <w:textAlignment w:val="baseline"/>
        <w:outlineLvl w:val="2"/>
        <w:rPr>
          <w:rFonts w:eastAsia="Times New Roman" w:cs="Times New Roman"/>
          <w:b/>
          <w:szCs w:val="20"/>
          <w:shd w:val="clear" w:color="auto" w:fill="FFFFFF"/>
          <w:lang w:eastAsia="pl-PL"/>
        </w:rPr>
      </w:pPr>
      <w:r w:rsidRPr="00E02F30">
        <w:rPr>
          <w:rFonts w:eastAsia="Times New Roman" w:cs="Times New Roman"/>
          <w:b/>
          <w:szCs w:val="20"/>
          <w:lang w:eastAsia="pl-PL"/>
        </w:rPr>
        <w:t>III.1. Warunki e</w:t>
      </w:r>
      <w:r w:rsidRPr="00E02F30">
        <w:rPr>
          <w:rFonts w:eastAsia="Times New Roman" w:cs="Times New Roman"/>
          <w:b/>
          <w:szCs w:val="20"/>
          <w:shd w:val="clear" w:color="auto" w:fill="FFFFFF"/>
          <w:lang w:eastAsia="pl-PL"/>
        </w:rPr>
        <w:t xml:space="preserve">ksploatacyjne odbiegające od normalnych w tym </w:t>
      </w:r>
      <w:r w:rsidRPr="00E02F30">
        <w:rPr>
          <w:rFonts w:eastAsia="Times New Roman" w:cs="Times New Roman"/>
          <w:b/>
          <w:szCs w:val="20"/>
          <w:lang w:eastAsia="pl-PL"/>
        </w:rPr>
        <w:t>zatrzymania, postoju technologicznego i ponownego uruchomienia instalacji</w:t>
      </w:r>
    </w:p>
    <w:p w14:paraId="16B429BF" w14:textId="77777777" w:rsidR="00E02F30" w:rsidRPr="00E02F30" w:rsidRDefault="00E02F30" w:rsidP="00E02F30">
      <w:pPr>
        <w:suppressLineNumbers/>
        <w:tabs>
          <w:tab w:val="left" w:pos="1276"/>
        </w:tabs>
        <w:autoSpaceDE w:val="0"/>
        <w:autoSpaceDN w:val="0"/>
        <w:adjustRightInd w:val="0"/>
        <w:spacing w:after="0" w:line="276" w:lineRule="auto"/>
        <w:jc w:val="both"/>
        <w:rPr>
          <w:rFonts w:eastAsia="Times New Roman" w:cs="Arial"/>
          <w:szCs w:val="24"/>
          <w:lang w:eastAsia="pl-PL"/>
        </w:rPr>
      </w:pPr>
      <w:r w:rsidRPr="00E02F30">
        <w:rPr>
          <w:rFonts w:eastAsia="Times New Roman" w:cs="Arial"/>
          <w:szCs w:val="24"/>
          <w:lang w:eastAsia="pl-PL"/>
        </w:rPr>
        <w:t xml:space="preserve">W przypadku czasowego wyłączenia dopalacza termicznego Instalacji Nienasyconych Żywic Poliestrowych zanieczyszczenia odprowadzane będą do atmosfery przez układ awaryjny – adsorber wypełniony węglem aktywnym a następnie emitorem E-2/Z. Emisja przez absorber będzie następować przez okres nie dłuższy 180 h/rok. </w:t>
      </w:r>
    </w:p>
    <w:p w14:paraId="18B23A7D" w14:textId="77777777" w:rsidR="00E02F30" w:rsidRPr="00E02F30" w:rsidRDefault="00E02F30" w:rsidP="00E02F30">
      <w:pPr>
        <w:keepNext/>
        <w:widowControl w:val="0"/>
        <w:adjustRightInd w:val="0"/>
        <w:spacing w:after="0" w:line="276" w:lineRule="auto"/>
        <w:textAlignment w:val="baseline"/>
        <w:outlineLvl w:val="2"/>
        <w:rPr>
          <w:rFonts w:eastAsia="Times New Roman" w:cs="Times New Roman"/>
          <w:b/>
          <w:szCs w:val="20"/>
          <w:lang w:eastAsia="pl-PL"/>
        </w:rPr>
      </w:pPr>
      <w:bookmarkStart w:id="8" w:name="_Hlk511730241"/>
      <w:r w:rsidRPr="00E02F30">
        <w:rPr>
          <w:rFonts w:eastAsia="Times New Roman" w:cs="Times New Roman"/>
          <w:b/>
          <w:szCs w:val="20"/>
          <w:lang w:eastAsia="pl-PL"/>
        </w:rPr>
        <w:t>III.2. Kryteria i parametry określające okresy rozruchu i wyłączenia instalacji</w:t>
      </w:r>
    </w:p>
    <w:p w14:paraId="087A866F" w14:textId="77777777" w:rsidR="00E02F30" w:rsidRPr="00E02F30" w:rsidRDefault="00E02F30" w:rsidP="00E02F30">
      <w:pPr>
        <w:keepNext/>
        <w:spacing w:before="60" w:after="60" w:line="276" w:lineRule="auto"/>
        <w:jc w:val="both"/>
        <w:rPr>
          <w:rFonts w:eastAsia="Times New Roman" w:cs="Arial"/>
          <w:szCs w:val="24"/>
          <w:lang w:eastAsia="pl-PL"/>
        </w:rPr>
      </w:pPr>
      <w:r w:rsidRPr="00E02F30">
        <w:rPr>
          <w:rFonts w:eastAsia="Times New Roman" w:cs="Arial"/>
          <w:szCs w:val="24"/>
          <w:lang w:eastAsia="pl-PL"/>
        </w:rPr>
        <w:t xml:space="preserve">Momenty zakończenia rozruchów i momenty rozpoczęcia wyłączenia instalacji IPPC są realizowane zgodnie z zasadami określonymi w instrukcjach ruchowych (technologicznych) i instrukcjach obsługi maszyn i urządzeń przy uruchomionych i sprawnych urządzeniach ochrony środowiska. </w:t>
      </w:r>
    </w:p>
    <w:p w14:paraId="5F840C91"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Zatrzymania i uruchomienia instalacji związane będą z okresowymi przeglądami konserwacyjnymi, remontami lub innymi wymogami technologicznymi.</w:t>
      </w:r>
    </w:p>
    <w:p w14:paraId="67E2F203"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 xml:space="preserve">Remonty i postoje realizowane będą zgodnie z wcześniej planowanym harmonogramem. </w:t>
      </w:r>
      <w:bookmarkEnd w:id="8"/>
    </w:p>
    <w:p w14:paraId="086B470B" w14:textId="77777777" w:rsidR="00E02F30" w:rsidRPr="00E02F30" w:rsidRDefault="00E02F30" w:rsidP="00E02F30">
      <w:pPr>
        <w:keepNext/>
        <w:widowControl w:val="0"/>
        <w:adjustRightInd w:val="0"/>
        <w:spacing w:after="0" w:line="276" w:lineRule="auto"/>
        <w:jc w:val="both"/>
        <w:textAlignment w:val="baseline"/>
        <w:outlineLvl w:val="1"/>
        <w:rPr>
          <w:rFonts w:eastAsia="Calibri" w:cs="Times New Roman"/>
          <w:b/>
          <w:szCs w:val="20"/>
          <w:lang w:val="en-US"/>
        </w:rPr>
      </w:pPr>
      <w:r w:rsidRPr="00E02F30">
        <w:rPr>
          <w:rFonts w:eastAsia="Calibri" w:cs="Times New Roman"/>
          <w:b/>
          <w:szCs w:val="20"/>
          <w:lang w:val="en-US"/>
        </w:rPr>
        <w:t xml:space="preserve">IV. </w:t>
      </w:r>
      <w:proofErr w:type="spellStart"/>
      <w:r w:rsidRPr="00E02F30">
        <w:rPr>
          <w:rFonts w:eastAsia="Calibri" w:cs="Times New Roman"/>
          <w:b/>
          <w:szCs w:val="20"/>
          <w:lang w:val="en-US"/>
        </w:rPr>
        <w:t>Warunki</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wprowadzania</w:t>
      </w:r>
      <w:proofErr w:type="spellEnd"/>
      <w:r w:rsidRPr="00E02F30">
        <w:rPr>
          <w:rFonts w:eastAsia="Calibri" w:cs="Times New Roman"/>
          <w:b/>
          <w:szCs w:val="20"/>
          <w:lang w:val="en-US"/>
        </w:rPr>
        <w:t xml:space="preserve"> do </w:t>
      </w:r>
      <w:proofErr w:type="spellStart"/>
      <w:r w:rsidRPr="00E02F30">
        <w:rPr>
          <w:rFonts w:eastAsia="Calibri" w:cs="Times New Roman"/>
          <w:b/>
          <w:szCs w:val="20"/>
          <w:lang w:val="en-US"/>
        </w:rPr>
        <w:t>środowiska</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substancji</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lub</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energii</w:t>
      </w:r>
      <w:proofErr w:type="spellEnd"/>
      <w:r w:rsidRPr="00E02F30">
        <w:rPr>
          <w:rFonts w:eastAsia="Calibri" w:cs="Times New Roman"/>
          <w:b/>
          <w:szCs w:val="20"/>
          <w:lang w:val="en-US"/>
        </w:rPr>
        <w:t xml:space="preserve"> i </w:t>
      </w:r>
      <w:proofErr w:type="spellStart"/>
      <w:r w:rsidRPr="00E02F30">
        <w:rPr>
          <w:rFonts w:eastAsia="Calibri" w:cs="Times New Roman"/>
          <w:b/>
          <w:szCs w:val="20"/>
          <w:lang w:val="en-US"/>
        </w:rPr>
        <w:t>wymagane</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działania</w:t>
      </w:r>
      <w:proofErr w:type="spellEnd"/>
      <w:r w:rsidRPr="00E02F30">
        <w:rPr>
          <w:rFonts w:eastAsia="Calibri" w:cs="Times New Roman"/>
          <w:b/>
          <w:szCs w:val="20"/>
          <w:lang w:val="en-US"/>
        </w:rPr>
        <w:t xml:space="preserve">, w </w:t>
      </w:r>
      <w:proofErr w:type="spellStart"/>
      <w:r w:rsidRPr="00E02F30">
        <w:rPr>
          <w:rFonts w:eastAsia="Calibri" w:cs="Times New Roman"/>
          <w:b/>
          <w:szCs w:val="20"/>
          <w:lang w:val="en-US"/>
        </w:rPr>
        <w:t>tym</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środki</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techniczne</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mające</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na</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celu</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zapobieganie</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lub</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ograniczanie</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emisji</w:t>
      </w:r>
      <w:proofErr w:type="spellEnd"/>
    </w:p>
    <w:p w14:paraId="16911E55" w14:textId="77777777" w:rsidR="00E02F30" w:rsidRPr="00E02F30" w:rsidRDefault="00E02F30" w:rsidP="00E02F30">
      <w:pPr>
        <w:keepNext/>
        <w:widowControl w:val="0"/>
        <w:adjustRightInd w:val="0"/>
        <w:spacing w:after="0" w:line="240" w:lineRule="auto"/>
        <w:jc w:val="both"/>
        <w:textAlignment w:val="baseline"/>
        <w:outlineLvl w:val="2"/>
        <w:rPr>
          <w:rFonts w:eastAsia="Calibri" w:cs="Times New Roman"/>
          <w:b/>
          <w:szCs w:val="20"/>
          <w:lang w:eastAsia="pl-PL"/>
        </w:rPr>
      </w:pPr>
      <w:r w:rsidRPr="00E02F30">
        <w:rPr>
          <w:rFonts w:eastAsia="Calibri" w:cs="Times New Roman"/>
          <w:b/>
          <w:szCs w:val="20"/>
          <w:lang w:eastAsia="pl-PL"/>
        </w:rPr>
        <w:t xml:space="preserve">IV.1. Warunki wprowadzania gazów i pyłów do powietrza oraz środki </w:t>
      </w:r>
      <w:proofErr w:type="spellStart"/>
      <w:r w:rsidRPr="00E02F30">
        <w:rPr>
          <w:rFonts w:eastAsia="Calibri" w:cs="Times New Roman"/>
          <w:b/>
          <w:szCs w:val="20"/>
          <w:lang w:eastAsia="pl-PL"/>
        </w:rPr>
        <w:t>technicznemające</w:t>
      </w:r>
      <w:proofErr w:type="spellEnd"/>
      <w:r w:rsidRPr="00E02F30">
        <w:rPr>
          <w:rFonts w:eastAsia="Calibri" w:cs="Times New Roman"/>
          <w:b/>
          <w:szCs w:val="20"/>
          <w:lang w:eastAsia="pl-PL"/>
        </w:rPr>
        <w:t xml:space="preserve"> na celu ograniczenie emisji do powietrza</w:t>
      </w:r>
      <w:r w:rsidRPr="00E02F30">
        <w:rPr>
          <w:rFonts w:eastAsia="Calibri" w:cs="Times New Roman"/>
          <w:b/>
          <w:szCs w:val="20"/>
          <w:lang w:eastAsia="pl-PL"/>
        </w:rPr>
        <w:tab/>
      </w:r>
      <w:r w:rsidRPr="00E02F30">
        <w:rPr>
          <w:rFonts w:eastAsia="Calibri" w:cs="Times New Roman"/>
          <w:b/>
          <w:szCs w:val="20"/>
          <w:lang w:eastAsia="pl-PL"/>
        </w:rPr>
        <w:tab/>
      </w:r>
      <w:r w:rsidRPr="00E02F30">
        <w:rPr>
          <w:rFonts w:eastAsia="Calibri" w:cs="Times New Roman"/>
          <w:b/>
          <w:szCs w:val="20"/>
          <w:lang w:eastAsia="pl-PL"/>
        </w:rPr>
        <w:tab/>
      </w:r>
      <w:r w:rsidRPr="00E02F30">
        <w:rPr>
          <w:rFonts w:eastAsia="Times New Roman" w:cs="Times New Roman"/>
          <w:b/>
          <w:szCs w:val="20"/>
          <w:lang w:eastAsia="pl-PL"/>
        </w:rPr>
        <w:t>IV.1.1. Parametry źródeł emisji do powietrza z instalacji:</w:t>
      </w:r>
    </w:p>
    <w:p w14:paraId="5845523C" w14:textId="77777777" w:rsidR="00E02F30" w:rsidRPr="00E02F30" w:rsidRDefault="00E02F30" w:rsidP="00E02F30">
      <w:pPr>
        <w:keepNext/>
        <w:widowControl w:val="0"/>
        <w:adjustRightInd w:val="0"/>
        <w:spacing w:after="0" w:line="276" w:lineRule="auto"/>
        <w:textAlignment w:val="baseline"/>
        <w:outlineLvl w:val="4"/>
        <w:rPr>
          <w:rFonts w:eastAsia="Calibri" w:cs="Times New Roman"/>
          <w:szCs w:val="20"/>
        </w:rPr>
      </w:pPr>
      <w:r w:rsidRPr="00E02F30">
        <w:rPr>
          <w:rFonts w:eastAsia="Times New Roman" w:cs="Times New Roman"/>
          <w:szCs w:val="20"/>
          <w:lang w:eastAsia="pl-PL"/>
        </w:rPr>
        <w:t>Tabela nr 5</w:t>
      </w:r>
    </w:p>
    <w:tbl>
      <w:tblPr>
        <w:tblpPr w:leftFromText="141" w:rightFromText="141" w:vertAnchor="text" w:tblpXSpec="center" w:tblpY="1"/>
        <w:tblOverlap w:val="neve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Description w:val="Przedstawia 9 źródeł emisji oraz parametry emitorów takie jak: wyskokośc, szerokość , temperaturę gazów oraz czas pracy tych emitorów. Jest też wskazane, że emitory te są zadaszone lub podana jest prędkość."/>
      </w:tblPr>
      <w:tblGrid>
        <w:gridCol w:w="567"/>
        <w:gridCol w:w="2406"/>
        <w:gridCol w:w="823"/>
        <w:gridCol w:w="845"/>
        <w:gridCol w:w="984"/>
        <w:gridCol w:w="1129"/>
        <w:gridCol w:w="1125"/>
        <w:gridCol w:w="1285"/>
      </w:tblGrid>
      <w:tr w:rsidR="00E02F30" w:rsidRPr="00E02F30" w14:paraId="1C662F55" w14:textId="77777777" w:rsidTr="00A1631B">
        <w:trPr>
          <w:trHeight w:val="20"/>
          <w:tblHeader/>
        </w:trPr>
        <w:tc>
          <w:tcPr>
            <w:tcW w:w="309" w:type="pct"/>
            <w:vMerge w:val="restar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767099D7" w14:textId="77777777" w:rsidR="00E02F30" w:rsidRPr="00E02F30" w:rsidRDefault="00E02F30" w:rsidP="00E02F30">
            <w:pPr>
              <w:spacing w:after="0" w:line="276" w:lineRule="auto"/>
              <w:ind w:firstLine="142"/>
              <w:contextualSpacing/>
              <w:jc w:val="both"/>
              <w:rPr>
                <w:rFonts w:eastAsia="Times New Roman" w:cs="Arial"/>
                <w:b/>
                <w:sz w:val="20"/>
                <w:szCs w:val="20"/>
                <w:lang w:eastAsia="pl-PL"/>
              </w:rPr>
            </w:pPr>
            <w:r w:rsidRPr="00E02F30">
              <w:rPr>
                <w:rFonts w:eastAsia="Times New Roman" w:cs="Arial"/>
                <w:b/>
                <w:sz w:val="20"/>
                <w:szCs w:val="20"/>
                <w:lang w:eastAsia="pl-PL"/>
              </w:rPr>
              <w:t>Lp.</w:t>
            </w:r>
          </w:p>
        </w:tc>
        <w:tc>
          <w:tcPr>
            <w:tcW w:w="1313"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58CAC956" w14:textId="77777777" w:rsidR="00E02F30" w:rsidRPr="00E02F30" w:rsidRDefault="00E02F30" w:rsidP="00E02F30">
            <w:pPr>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Źródło emisji</w:t>
            </w:r>
          </w:p>
        </w:tc>
        <w:tc>
          <w:tcPr>
            <w:tcW w:w="449"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769AC85F" w14:textId="77777777" w:rsidR="00E02F30" w:rsidRPr="00E02F30" w:rsidRDefault="00E02F30" w:rsidP="00E02F30">
            <w:pPr>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Emitor</w:t>
            </w:r>
          </w:p>
        </w:tc>
        <w:tc>
          <w:tcPr>
            <w:tcW w:w="2929" w:type="pct"/>
            <w:gridSpan w:val="5"/>
            <w:tcBorders>
              <w:top w:val="single" w:sz="8" w:space="0" w:color="auto"/>
              <w:left w:val="single" w:sz="8" w:space="0" w:color="auto"/>
              <w:bottom w:val="single" w:sz="8" w:space="0" w:color="auto"/>
              <w:right w:val="single" w:sz="8" w:space="0" w:color="auto"/>
            </w:tcBorders>
            <w:shd w:val="clear" w:color="auto" w:fill="FFFFFF"/>
            <w:vAlign w:val="center"/>
          </w:tcPr>
          <w:p w14:paraId="2B05E670" w14:textId="77777777" w:rsidR="00E02F30" w:rsidRPr="00E02F30" w:rsidRDefault="00E02F30" w:rsidP="00E02F30">
            <w:pPr>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Parametry emitora</w:t>
            </w:r>
          </w:p>
        </w:tc>
      </w:tr>
      <w:tr w:rsidR="00E02F30" w:rsidRPr="00E02F30" w14:paraId="27FB3876" w14:textId="77777777" w:rsidTr="00A1631B">
        <w:trPr>
          <w:trHeight w:val="20"/>
          <w:tblHeader/>
        </w:trPr>
        <w:tc>
          <w:tcPr>
            <w:tcW w:w="309" w:type="pct"/>
            <w:vMerge/>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17327EC9" w14:textId="77777777" w:rsidR="00E02F30" w:rsidRPr="00E02F30" w:rsidRDefault="00E02F30" w:rsidP="00E02F30">
            <w:pPr>
              <w:suppressAutoHyphens/>
              <w:spacing w:after="0" w:line="276" w:lineRule="auto"/>
              <w:ind w:firstLine="142"/>
              <w:contextualSpacing/>
              <w:jc w:val="both"/>
              <w:rPr>
                <w:rFonts w:eastAsia="Times New Roman" w:cs="Arial"/>
                <w:b/>
                <w:sz w:val="20"/>
                <w:szCs w:val="20"/>
                <w:lang w:eastAsia="pl-PL"/>
              </w:rPr>
            </w:pPr>
          </w:p>
        </w:tc>
        <w:tc>
          <w:tcPr>
            <w:tcW w:w="1313"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0736B3A0" w14:textId="77777777" w:rsidR="00E02F30" w:rsidRPr="00E02F30" w:rsidRDefault="00E02F30" w:rsidP="00E02F30">
            <w:pPr>
              <w:suppressAutoHyphens/>
              <w:spacing w:after="0" w:line="276" w:lineRule="auto"/>
              <w:ind w:firstLine="709"/>
              <w:contextualSpacing/>
              <w:jc w:val="center"/>
              <w:rPr>
                <w:rFonts w:eastAsia="Times New Roman" w:cs="Arial"/>
                <w:b/>
                <w:sz w:val="20"/>
                <w:szCs w:val="20"/>
                <w:lang w:eastAsia="pl-PL"/>
              </w:rPr>
            </w:pPr>
          </w:p>
        </w:tc>
        <w:tc>
          <w:tcPr>
            <w:tcW w:w="449"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5895A2FE" w14:textId="77777777" w:rsidR="00E02F30" w:rsidRPr="00E02F30" w:rsidRDefault="00E02F30" w:rsidP="00E02F30">
            <w:pPr>
              <w:suppressAutoHyphens/>
              <w:spacing w:after="0" w:line="276" w:lineRule="auto"/>
              <w:ind w:firstLine="709"/>
              <w:contextualSpacing/>
              <w:jc w:val="center"/>
              <w:rPr>
                <w:rFonts w:eastAsia="Times New Roman" w:cs="Arial"/>
                <w:b/>
                <w:sz w:val="20"/>
                <w:szCs w:val="20"/>
                <w:lang w:eastAsia="pl-PL"/>
              </w:rPr>
            </w:pPr>
          </w:p>
        </w:tc>
        <w:tc>
          <w:tcPr>
            <w:tcW w:w="461" w:type="pct"/>
            <w:tcBorders>
              <w:top w:val="single" w:sz="8" w:space="0" w:color="auto"/>
              <w:left w:val="single" w:sz="8" w:space="0" w:color="auto"/>
              <w:bottom w:val="single" w:sz="8" w:space="0" w:color="auto"/>
              <w:right w:val="single" w:sz="8" w:space="0" w:color="auto"/>
            </w:tcBorders>
            <w:shd w:val="clear" w:color="auto" w:fill="FFFFFF"/>
            <w:vAlign w:val="center"/>
          </w:tcPr>
          <w:p w14:paraId="7F9AC801" w14:textId="77777777" w:rsidR="00E02F30" w:rsidRPr="00E02F30" w:rsidRDefault="00E02F30" w:rsidP="00E02F30">
            <w:pPr>
              <w:suppressAutoHyphens/>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H</w:t>
            </w:r>
          </w:p>
          <w:p w14:paraId="6FF7D77B" w14:textId="77777777" w:rsidR="00E02F30" w:rsidRPr="00E02F30" w:rsidRDefault="00E02F30" w:rsidP="00E02F30">
            <w:pPr>
              <w:suppressAutoHyphens/>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[m]</w:t>
            </w:r>
          </w:p>
        </w:tc>
        <w:tc>
          <w:tcPr>
            <w:tcW w:w="537" w:type="pct"/>
            <w:tcBorders>
              <w:top w:val="single" w:sz="8" w:space="0" w:color="auto"/>
              <w:left w:val="single" w:sz="8" w:space="0" w:color="auto"/>
              <w:bottom w:val="single" w:sz="8" w:space="0" w:color="auto"/>
              <w:right w:val="single" w:sz="8" w:space="0" w:color="auto"/>
            </w:tcBorders>
            <w:shd w:val="clear" w:color="auto" w:fill="FFFFFF"/>
            <w:vAlign w:val="center"/>
          </w:tcPr>
          <w:p w14:paraId="1212731C" w14:textId="77777777" w:rsidR="00E02F30" w:rsidRPr="00E02F30" w:rsidRDefault="00E02F30" w:rsidP="00E02F30">
            <w:pPr>
              <w:suppressAutoHyphens/>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D</w:t>
            </w:r>
          </w:p>
          <w:p w14:paraId="68D6C286" w14:textId="77777777" w:rsidR="00E02F30" w:rsidRPr="00E02F30" w:rsidRDefault="00E02F30" w:rsidP="00E02F30">
            <w:pPr>
              <w:suppressAutoHyphens/>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[m]</w:t>
            </w:r>
          </w:p>
        </w:tc>
        <w:tc>
          <w:tcPr>
            <w:tcW w:w="616" w:type="pct"/>
            <w:tcBorders>
              <w:top w:val="single" w:sz="8" w:space="0" w:color="auto"/>
              <w:left w:val="single" w:sz="8" w:space="0" w:color="auto"/>
              <w:bottom w:val="single" w:sz="8" w:space="0" w:color="auto"/>
              <w:right w:val="single" w:sz="8" w:space="0" w:color="auto"/>
            </w:tcBorders>
            <w:shd w:val="clear" w:color="auto" w:fill="FFFFFF"/>
            <w:vAlign w:val="center"/>
          </w:tcPr>
          <w:p w14:paraId="11F18837" w14:textId="77777777" w:rsidR="00E02F30" w:rsidRPr="00E02F30" w:rsidRDefault="00E02F30" w:rsidP="00E02F30">
            <w:pPr>
              <w:suppressAutoHyphens/>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V*</w:t>
            </w:r>
          </w:p>
          <w:p w14:paraId="7A037148" w14:textId="77777777" w:rsidR="00E02F30" w:rsidRPr="00E02F30" w:rsidRDefault="00E02F30" w:rsidP="00E02F30">
            <w:pPr>
              <w:suppressAutoHyphens/>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[m/s]</w:t>
            </w:r>
          </w:p>
        </w:tc>
        <w:tc>
          <w:tcPr>
            <w:tcW w:w="614" w:type="pct"/>
            <w:tcBorders>
              <w:top w:val="single" w:sz="8" w:space="0" w:color="auto"/>
              <w:left w:val="single" w:sz="8" w:space="0" w:color="auto"/>
              <w:bottom w:val="single" w:sz="8" w:space="0" w:color="auto"/>
              <w:right w:val="single" w:sz="8" w:space="0" w:color="auto"/>
            </w:tcBorders>
            <w:shd w:val="clear" w:color="auto" w:fill="FFFFFF"/>
            <w:vAlign w:val="center"/>
          </w:tcPr>
          <w:p w14:paraId="711DC60C" w14:textId="77777777" w:rsidR="00E02F30" w:rsidRPr="00E02F30" w:rsidRDefault="00E02F30" w:rsidP="00E02F30">
            <w:pPr>
              <w:suppressAutoHyphens/>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Temp. gazów</w:t>
            </w:r>
          </w:p>
          <w:p w14:paraId="1E43B3F8" w14:textId="77777777" w:rsidR="00E02F30" w:rsidRPr="00E02F30" w:rsidRDefault="00E02F30" w:rsidP="00E02F30">
            <w:pPr>
              <w:suppressAutoHyphens/>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[K]</w:t>
            </w:r>
          </w:p>
        </w:tc>
        <w:tc>
          <w:tcPr>
            <w:tcW w:w="701" w:type="pct"/>
            <w:tcBorders>
              <w:top w:val="single" w:sz="8" w:space="0" w:color="auto"/>
              <w:left w:val="single" w:sz="8" w:space="0" w:color="auto"/>
              <w:bottom w:val="single" w:sz="8" w:space="0" w:color="auto"/>
              <w:right w:val="single" w:sz="8" w:space="0" w:color="auto"/>
            </w:tcBorders>
            <w:shd w:val="clear" w:color="auto" w:fill="FFFFFF"/>
            <w:vAlign w:val="center"/>
          </w:tcPr>
          <w:p w14:paraId="265C0371" w14:textId="77777777" w:rsidR="00E02F30" w:rsidRPr="00E02F30" w:rsidRDefault="00E02F30" w:rsidP="00E02F30">
            <w:pPr>
              <w:suppressAutoHyphens/>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Czas pracy emitora</w:t>
            </w:r>
          </w:p>
          <w:p w14:paraId="32FCD16E" w14:textId="77777777" w:rsidR="00E02F30" w:rsidRPr="00E02F30" w:rsidRDefault="00E02F30" w:rsidP="00E02F30">
            <w:pPr>
              <w:suppressAutoHyphens/>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[h/rok]</w:t>
            </w:r>
          </w:p>
        </w:tc>
      </w:tr>
      <w:tr w:rsidR="00E02F30" w:rsidRPr="00E02F30" w14:paraId="206B43EC" w14:textId="77777777" w:rsidTr="00A1631B">
        <w:trPr>
          <w:trHeight w:val="161"/>
          <w:tblHeader/>
        </w:trPr>
        <w:tc>
          <w:tcPr>
            <w:tcW w:w="5000" w:type="pct"/>
            <w:gridSpan w:val="8"/>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6BB1D5FD" w14:textId="77777777" w:rsidR="00E02F30" w:rsidRPr="00E02F30" w:rsidRDefault="00E02F30" w:rsidP="00E02F30">
            <w:pPr>
              <w:suppressAutoHyphens/>
              <w:spacing w:after="0" w:line="276" w:lineRule="auto"/>
              <w:contextualSpacing/>
              <w:jc w:val="center"/>
              <w:rPr>
                <w:rFonts w:eastAsia="Times New Roman" w:cs="Arial"/>
                <w:b/>
                <w:szCs w:val="24"/>
                <w:lang w:eastAsia="pl-PL"/>
              </w:rPr>
            </w:pPr>
            <w:r w:rsidRPr="00E02F30">
              <w:rPr>
                <w:rFonts w:eastAsia="Times New Roman" w:cs="Arial"/>
                <w:b/>
                <w:szCs w:val="24"/>
                <w:lang w:eastAsia="pl-PL"/>
              </w:rPr>
              <w:t>Instalacja nienasyconych żywic poliestrowych (Z)</w:t>
            </w:r>
          </w:p>
        </w:tc>
      </w:tr>
      <w:tr w:rsidR="00E02F30" w:rsidRPr="00E02F30" w14:paraId="4FB13430" w14:textId="77777777" w:rsidTr="00A1631B">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4E1975B2" w14:textId="77777777" w:rsidR="00E02F30" w:rsidRPr="00E02F30" w:rsidRDefault="00E02F30" w:rsidP="00E02F30">
            <w:pPr>
              <w:suppressAutoHyphens/>
              <w:spacing w:before="60" w:after="0" w:line="276" w:lineRule="auto"/>
              <w:ind w:firstLine="142"/>
              <w:contextualSpacing/>
              <w:jc w:val="center"/>
              <w:rPr>
                <w:rFonts w:eastAsia="Times New Roman" w:cs="Arial"/>
                <w:b/>
                <w:sz w:val="21"/>
                <w:szCs w:val="21"/>
                <w:lang w:eastAsia="pl-PL"/>
              </w:rPr>
            </w:pPr>
            <w:r w:rsidRPr="00E02F30">
              <w:rPr>
                <w:rFonts w:eastAsia="Times New Roman" w:cs="Arial"/>
                <w:b/>
                <w:sz w:val="21"/>
                <w:szCs w:val="21"/>
                <w:lang w:eastAsia="pl-PL"/>
              </w:rPr>
              <w:t>1.</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41C51A03" w14:textId="77777777" w:rsidR="00E02F30" w:rsidRPr="00E02F30" w:rsidRDefault="00E02F30" w:rsidP="00E02F30">
            <w:pPr>
              <w:keepNext/>
              <w:spacing w:after="0" w:line="276" w:lineRule="auto"/>
              <w:rPr>
                <w:rFonts w:eastAsia="Times New Roman" w:cs="Arial"/>
                <w:sz w:val="20"/>
                <w:szCs w:val="20"/>
                <w:lang w:eastAsia="pl-PL"/>
              </w:rPr>
            </w:pPr>
            <w:r w:rsidRPr="00E02F30">
              <w:rPr>
                <w:rFonts w:eastAsia="Times New Roman" w:cs="Arial"/>
                <w:sz w:val="20"/>
                <w:szCs w:val="20"/>
                <w:lang w:eastAsia="pl-PL"/>
              </w:rPr>
              <w:t>Kondensacja, dozowanie surowców sypkich, linia ob. 524 i 524a. Wentylacja mechaniczna z hermetyzacji kwaśnej.</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4183B198" w14:textId="77777777" w:rsidR="00E02F30" w:rsidRPr="00E02F30" w:rsidRDefault="00E02F30" w:rsidP="00E02F30">
            <w:pPr>
              <w:keepNext/>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E-1/Z</w:t>
            </w:r>
          </w:p>
        </w:tc>
        <w:tc>
          <w:tcPr>
            <w:tcW w:w="461" w:type="pct"/>
            <w:tcBorders>
              <w:top w:val="single" w:sz="8" w:space="0" w:color="auto"/>
              <w:left w:val="single" w:sz="8" w:space="0" w:color="auto"/>
              <w:bottom w:val="single" w:sz="8" w:space="0" w:color="auto"/>
              <w:right w:val="single" w:sz="8" w:space="0" w:color="auto"/>
            </w:tcBorders>
            <w:shd w:val="clear" w:color="auto" w:fill="FFFFFF"/>
            <w:vAlign w:val="center"/>
          </w:tcPr>
          <w:p w14:paraId="7440D926"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25,0</w:t>
            </w:r>
          </w:p>
        </w:tc>
        <w:tc>
          <w:tcPr>
            <w:tcW w:w="537" w:type="pct"/>
            <w:tcBorders>
              <w:top w:val="single" w:sz="8" w:space="0" w:color="auto"/>
              <w:left w:val="single" w:sz="8" w:space="0" w:color="auto"/>
              <w:bottom w:val="single" w:sz="8" w:space="0" w:color="auto"/>
              <w:right w:val="single" w:sz="8" w:space="0" w:color="auto"/>
            </w:tcBorders>
            <w:shd w:val="clear" w:color="auto" w:fill="FFFFFF"/>
            <w:vAlign w:val="center"/>
          </w:tcPr>
          <w:p w14:paraId="76D78B33" w14:textId="77777777" w:rsidR="00E02F30" w:rsidRPr="00E02F30" w:rsidRDefault="00E02F30" w:rsidP="00E02F30">
            <w:pPr>
              <w:keepNext/>
              <w:spacing w:after="0" w:line="276" w:lineRule="auto"/>
              <w:ind w:hanging="16"/>
              <w:jc w:val="center"/>
              <w:rPr>
                <w:rFonts w:eastAsia="Times New Roman" w:cs="Arial"/>
                <w:sz w:val="20"/>
                <w:szCs w:val="20"/>
                <w:lang w:eastAsia="pl-PL"/>
              </w:rPr>
            </w:pPr>
            <w:r w:rsidRPr="00E02F30">
              <w:rPr>
                <w:rFonts w:eastAsia="Times New Roman" w:cs="Arial"/>
                <w:sz w:val="20"/>
                <w:szCs w:val="20"/>
                <w:lang w:eastAsia="pl-PL"/>
              </w:rPr>
              <w:t>0,34</w:t>
            </w:r>
          </w:p>
        </w:tc>
        <w:tc>
          <w:tcPr>
            <w:tcW w:w="616" w:type="pct"/>
            <w:tcBorders>
              <w:top w:val="single" w:sz="8" w:space="0" w:color="auto"/>
              <w:left w:val="single" w:sz="8" w:space="0" w:color="auto"/>
              <w:bottom w:val="single" w:sz="8" w:space="0" w:color="auto"/>
              <w:right w:val="single" w:sz="8" w:space="0" w:color="auto"/>
            </w:tcBorders>
            <w:shd w:val="clear" w:color="auto" w:fill="FFFFFF"/>
            <w:vAlign w:val="center"/>
          </w:tcPr>
          <w:p w14:paraId="4604223B" w14:textId="77777777" w:rsidR="00E02F30" w:rsidRPr="00E02F30" w:rsidRDefault="00E02F30" w:rsidP="00E02F30">
            <w:pPr>
              <w:keepNext/>
              <w:spacing w:after="0" w:line="276" w:lineRule="auto"/>
              <w:ind w:hanging="80"/>
              <w:jc w:val="center"/>
              <w:rPr>
                <w:rFonts w:eastAsia="Times New Roman" w:cs="Arial"/>
                <w:sz w:val="20"/>
                <w:szCs w:val="20"/>
                <w:lang w:eastAsia="pl-PL"/>
              </w:rPr>
            </w:pPr>
            <w:r w:rsidRPr="00E02F30">
              <w:rPr>
                <w:rFonts w:eastAsia="Times New Roman" w:cs="Arial"/>
                <w:sz w:val="20"/>
                <w:szCs w:val="20"/>
                <w:lang w:eastAsia="pl-PL"/>
              </w:rPr>
              <w:t>0</w:t>
            </w:r>
          </w:p>
          <w:p w14:paraId="27A21145" w14:textId="77777777" w:rsidR="00E02F30" w:rsidRPr="00E02F30" w:rsidRDefault="00E02F30" w:rsidP="00E02F30">
            <w:pPr>
              <w:keepNext/>
              <w:spacing w:after="0" w:line="276" w:lineRule="auto"/>
              <w:ind w:hanging="80"/>
              <w:jc w:val="center"/>
              <w:rPr>
                <w:rFonts w:eastAsia="Times New Roman" w:cs="Arial"/>
                <w:sz w:val="20"/>
                <w:szCs w:val="20"/>
                <w:lang w:eastAsia="pl-PL"/>
              </w:rPr>
            </w:pPr>
            <w:r w:rsidRPr="00E02F30">
              <w:rPr>
                <w:rFonts w:eastAsia="Times New Roman" w:cs="Arial"/>
                <w:sz w:val="20"/>
                <w:szCs w:val="20"/>
                <w:lang w:eastAsia="pl-PL"/>
              </w:rPr>
              <w:t>zadaszony</w:t>
            </w:r>
          </w:p>
        </w:tc>
        <w:tc>
          <w:tcPr>
            <w:tcW w:w="614" w:type="pct"/>
            <w:tcBorders>
              <w:top w:val="single" w:sz="8" w:space="0" w:color="auto"/>
              <w:left w:val="single" w:sz="8" w:space="0" w:color="auto"/>
              <w:bottom w:val="single" w:sz="8" w:space="0" w:color="auto"/>
              <w:right w:val="single" w:sz="8" w:space="0" w:color="auto"/>
            </w:tcBorders>
            <w:shd w:val="clear" w:color="auto" w:fill="FFFFFF"/>
            <w:vAlign w:val="center"/>
          </w:tcPr>
          <w:p w14:paraId="0F7D43C2" w14:textId="77777777" w:rsidR="00E02F30" w:rsidRPr="00E02F30" w:rsidRDefault="00E02F30" w:rsidP="00E02F30">
            <w:pPr>
              <w:keepNext/>
              <w:spacing w:before="60" w:after="60" w:line="276" w:lineRule="auto"/>
              <w:jc w:val="center"/>
              <w:rPr>
                <w:rFonts w:eastAsia="Times New Roman" w:cs="Arial"/>
                <w:sz w:val="20"/>
                <w:szCs w:val="20"/>
                <w:lang w:eastAsia="pl-PL"/>
              </w:rPr>
            </w:pPr>
            <w:r w:rsidRPr="00E02F30">
              <w:rPr>
                <w:rFonts w:eastAsia="Times New Roman" w:cs="Arial"/>
                <w:sz w:val="20"/>
                <w:szCs w:val="20"/>
                <w:lang w:eastAsia="pl-PL"/>
              </w:rPr>
              <w:t>283÷303</w:t>
            </w:r>
          </w:p>
        </w:tc>
        <w:tc>
          <w:tcPr>
            <w:tcW w:w="701" w:type="pct"/>
            <w:tcBorders>
              <w:top w:val="single" w:sz="8" w:space="0" w:color="auto"/>
              <w:left w:val="single" w:sz="8" w:space="0" w:color="auto"/>
              <w:bottom w:val="single" w:sz="8" w:space="0" w:color="auto"/>
              <w:right w:val="single" w:sz="8" w:space="0" w:color="auto"/>
            </w:tcBorders>
            <w:shd w:val="clear" w:color="auto" w:fill="FFFFFF"/>
            <w:vAlign w:val="center"/>
          </w:tcPr>
          <w:p w14:paraId="539D2C16"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8200</w:t>
            </w:r>
          </w:p>
        </w:tc>
      </w:tr>
      <w:tr w:rsidR="00E02F30" w:rsidRPr="00E02F30" w14:paraId="5EEC9911" w14:textId="77777777" w:rsidTr="00A1631B">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5C2BFA5D" w14:textId="77777777" w:rsidR="00E02F30" w:rsidRPr="00E02F30" w:rsidRDefault="00E02F30" w:rsidP="00E02F30">
            <w:pPr>
              <w:suppressAutoHyphens/>
              <w:spacing w:before="60" w:after="0" w:line="276" w:lineRule="auto"/>
              <w:ind w:firstLine="142"/>
              <w:contextualSpacing/>
              <w:jc w:val="center"/>
              <w:rPr>
                <w:rFonts w:eastAsia="Times New Roman" w:cs="Arial"/>
                <w:b/>
                <w:sz w:val="21"/>
                <w:szCs w:val="21"/>
                <w:lang w:eastAsia="pl-PL"/>
              </w:rPr>
            </w:pPr>
            <w:r w:rsidRPr="00E02F30">
              <w:rPr>
                <w:rFonts w:eastAsia="Times New Roman" w:cs="Arial"/>
                <w:b/>
                <w:sz w:val="21"/>
                <w:szCs w:val="21"/>
                <w:lang w:eastAsia="pl-PL"/>
              </w:rPr>
              <w:t>2.</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1E30B554" w14:textId="77777777" w:rsidR="00E02F30" w:rsidRPr="00E02F30" w:rsidRDefault="00E02F30" w:rsidP="00E02F30">
            <w:pPr>
              <w:keepNext/>
              <w:spacing w:after="0" w:line="276" w:lineRule="auto"/>
              <w:rPr>
                <w:rFonts w:eastAsia="Times New Roman" w:cs="Arial"/>
                <w:sz w:val="20"/>
                <w:szCs w:val="20"/>
                <w:lang w:eastAsia="pl-PL"/>
              </w:rPr>
            </w:pPr>
            <w:r w:rsidRPr="00E02F30">
              <w:rPr>
                <w:rFonts w:eastAsia="Times New Roman" w:cs="Arial"/>
                <w:sz w:val="20"/>
                <w:szCs w:val="20"/>
                <w:lang w:eastAsia="pl-PL"/>
              </w:rPr>
              <w:t>Urządzenia technologiczne (zbiorniki, reaktory i mieszalniki) w linii ob. 501 oraz linii ob. 524 i 524a – dopalacz termiczny komorowy typu regeneracyjnego</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4DA90E70" w14:textId="77777777" w:rsidR="00E02F30" w:rsidRPr="00E02F30" w:rsidRDefault="00E02F30" w:rsidP="00E02F30">
            <w:pPr>
              <w:keepNext/>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E-2/Z</w:t>
            </w:r>
          </w:p>
        </w:tc>
        <w:tc>
          <w:tcPr>
            <w:tcW w:w="461" w:type="pct"/>
            <w:tcBorders>
              <w:top w:val="single" w:sz="8" w:space="0" w:color="auto"/>
              <w:left w:val="single" w:sz="8" w:space="0" w:color="auto"/>
              <w:bottom w:val="single" w:sz="8" w:space="0" w:color="auto"/>
              <w:right w:val="single" w:sz="8" w:space="0" w:color="auto"/>
            </w:tcBorders>
            <w:shd w:val="clear" w:color="auto" w:fill="FFFFFF"/>
            <w:vAlign w:val="center"/>
          </w:tcPr>
          <w:p w14:paraId="699BBDFE"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16,0</w:t>
            </w:r>
          </w:p>
        </w:tc>
        <w:tc>
          <w:tcPr>
            <w:tcW w:w="537" w:type="pct"/>
            <w:tcBorders>
              <w:top w:val="single" w:sz="8" w:space="0" w:color="auto"/>
              <w:left w:val="single" w:sz="8" w:space="0" w:color="auto"/>
              <w:bottom w:val="single" w:sz="8" w:space="0" w:color="auto"/>
              <w:right w:val="single" w:sz="8" w:space="0" w:color="auto"/>
            </w:tcBorders>
            <w:shd w:val="clear" w:color="auto" w:fill="FFFFFF"/>
            <w:vAlign w:val="center"/>
          </w:tcPr>
          <w:p w14:paraId="16D4BB47" w14:textId="77777777" w:rsidR="00E02F30" w:rsidRPr="00E02F30" w:rsidRDefault="00E02F30" w:rsidP="00E02F30">
            <w:pPr>
              <w:keepNext/>
              <w:spacing w:after="0" w:line="276" w:lineRule="auto"/>
              <w:ind w:hanging="16"/>
              <w:jc w:val="center"/>
              <w:rPr>
                <w:rFonts w:eastAsia="Times New Roman" w:cs="Arial"/>
                <w:sz w:val="20"/>
                <w:szCs w:val="20"/>
                <w:lang w:eastAsia="pl-PL"/>
              </w:rPr>
            </w:pPr>
            <w:r w:rsidRPr="00E02F30">
              <w:rPr>
                <w:rFonts w:eastAsia="Times New Roman" w:cs="Arial"/>
                <w:sz w:val="20"/>
                <w:szCs w:val="20"/>
                <w:lang w:eastAsia="pl-PL"/>
              </w:rPr>
              <w:t>0,8</w:t>
            </w:r>
          </w:p>
        </w:tc>
        <w:tc>
          <w:tcPr>
            <w:tcW w:w="616" w:type="pct"/>
            <w:tcBorders>
              <w:top w:val="single" w:sz="8" w:space="0" w:color="auto"/>
              <w:left w:val="single" w:sz="8" w:space="0" w:color="auto"/>
              <w:bottom w:val="single" w:sz="8" w:space="0" w:color="auto"/>
              <w:right w:val="single" w:sz="8" w:space="0" w:color="auto"/>
            </w:tcBorders>
            <w:shd w:val="clear" w:color="auto" w:fill="FFFFFF"/>
            <w:vAlign w:val="center"/>
          </w:tcPr>
          <w:p w14:paraId="7A214BE3" w14:textId="77777777" w:rsidR="00E02F30" w:rsidRPr="00E02F30" w:rsidRDefault="00E02F30" w:rsidP="00E02F30">
            <w:pPr>
              <w:keepNext/>
              <w:spacing w:after="0" w:line="276" w:lineRule="auto"/>
              <w:ind w:hanging="80"/>
              <w:jc w:val="center"/>
              <w:rPr>
                <w:rFonts w:eastAsia="Times New Roman" w:cs="Arial"/>
                <w:sz w:val="20"/>
                <w:szCs w:val="20"/>
                <w:lang w:eastAsia="pl-PL"/>
              </w:rPr>
            </w:pPr>
          </w:p>
          <w:p w14:paraId="6A692D09" w14:textId="77777777" w:rsidR="00E02F30" w:rsidRPr="00E02F30" w:rsidRDefault="00E02F30" w:rsidP="00E02F30">
            <w:pPr>
              <w:keepNext/>
              <w:spacing w:after="0" w:line="276" w:lineRule="auto"/>
              <w:ind w:hanging="80"/>
              <w:jc w:val="center"/>
              <w:rPr>
                <w:rFonts w:eastAsia="Times New Roman" w:cs="Arial"/>
                <w:sz w:val="20"/>
                <w:szCs w:val="20"/>
                <w:lang w:eastAsia="pl-PL"/>
              </w:rPr>
            </w:pPr>
            <w:r w:rsidRPr="00E02F30">
              <w:rPr>
                <w:rFonts w:eastAsia="Times New Roman" w:cs="Arial"/>
                <w:sz w:val="20"/>
                <w:szCs w:val="20"/>
                <w:lang w:eastAsia="pl-PL"/>
              </w:rPr>
              <w:t>11,1</w:t>
            </w:r>
          </w:p>
          <w:p w14:paraId="5FF1AFEC" w14:textId="77777777" w:rsidR="00E02F30" w:rsidRPr="00E02F30" w:rsidRDefault="00E02F30" w:rsidP="00E02F30">
            <w:pPr>
              <w:keepNext/>
              <w:spacing w:after="0" w:line="276" w:lineRule="auto"/>
              <w:ind w:hanging="80"/>
              <w:jc w:val="center"/>
              <w:rPr>
                <w:rFonts w:eastAsia="Times New Roman" w:cs="Arial"/>
                <w:sz w:val="20"/>
                <w:szCs w:val="20"/>
                <w:lang w:eastAsia="pl-PL"/>
              </w:rPr>
            </w:pPr>
          </w:p>
        </w:tc>
        <w:tc>
          <w:tcPr>
            <w:tcW w:w="614" w:type="pct"/>
            <w:tcBorders>
              <w:top w:val="single" w:sz="8" w:space="0" w:color="auto"/>
              <w:left w:val="single" w:sz="8" w:space="0" w:color="auto"/>
              <w:bottom w:val="single" w:sz="8" w:space="0" w:color="auto"/>
              <w:right w:val="single" w:sz="8" w:space="0" w:color="auto"/>
            </w:tcBorders>
            <w:shd w:val="clear" w:color="auto" w:fill="FFFFFF"/>
            <w:vAlign w:val="center"/>
          </w:tcPr>
          <w:p w14:paraId="55F6E206" w14:textId="77777777" w:rsidR="00E02F30" w:rsidRPr="00E02F30" w:rsidRDefault="00E02F30" w:rsidP="00E02F30">
            <w:pPr>
              <w:keepNext/>
              <w:spacing w:before="60" w:after="60" w:line="276" w:lineRule="auto"/>
              <w:jc w:val="center"/>
              <w:rPr>
                <w:rFonts w:eastAsia="Times New Roman" w:cs="Arial"/>
                <w:sz w:val="20"/>
                <w:szCs w:val="20"/>
                <w:lang w:eastAsia="pl-PL"/>
              </w:rPr>
            </w:pPr>
            <w:r w:rsidRPr="00E02F30">
              <w:rPr>
                <w:rFonts w:eastAsia="Times New Roman" w:cs="Arial"/>
                <w:sz w:val="20"/>
                <w:szCs w:val="20"/>
                <w:lang w:eastAsia="pl-PL"/>
              </w:rPr>
              <w:t>313÷373</w:t>
            </w:r>
          </w:p>
        </w:tc>
        <w:tc>
          <w:tcPr>
            <w:tcW w:w="701" w:type="pct"/>
            <w:tcBorders>
              <w:top w:val="single" w:sz="8" w:space="0" w:color="auto"/>
              <w:left w:val="single" w:sz="8" w:space="0" w:color="auto"/>
              <w:bottom w:val="single" w:sz="8" w:space="0" w:color="auto"/>
              <w:right w:val="single" w:sz="8" w:space="0" w:color="auto"/>
            </w:tcBorders>
            <w:shd w:val="clear" w:color="auto" w:fill="FFFFFF"/>
            <w:vAlign w:val="center"/>
          </w:tcPr>
          <w:p w14:paraId="7B49F298"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8640</w:t>
            </w:r>
          </w:p>
        </w:tc>
      </w:tr>
      <w:tr w:rsidR="00E02F30" w:rsidRPr="00E02F30" w14:paraId="0E6A0576" w14:textId="77777777" w:rsidTr="00A1631B">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35B91817" w14:textId="77777777" w:rsidR="00E02F30" w:rsidRPr="00E02F30" w:rsidRDefault="00E02F30" w:rsidP="00E02F30">
            <w:pPr>
              <w:suppressAutoHyphens/>
              <w:spacing w:before="60" w:after="0" w:line="276" w:lineRule="auto"/>
              <w:ind w:firstLine="142"/>
              <w:contextualSpacing/>
              <w:jc w:val="center"/>
              <w:rPr>
                <w:rFonts w:eastAsia="Times New Roman" w:cs="Arial"/>
                <w:b/>
                <w:sz w:val="21"/>
                <w:szCs w:val="21"/>
                <w:lang w:eastAsia="pl-PL"/>
              </w:rPr>
            </w:pPr>
            <w:r w:rsidRPr="00E02F30">
              <w:rPr>
                <w:rFonts w:eastAsia="Times New Roman" w:cs="Arial"/>
                <w:b/>
                <w:sz w:val="21"/>
                <w:szCs w:val="21"/>
                <w:lang w:eastAsia="pl-PL"/>
              </w:rPr>
              <w:t>3.</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18DDE7F3" w14:textId="77777777" w:rsidR="00E02F30" w:rsidRPr="00E02F30" w:rsidRDefault="00E02F30" w:rsidP="00E02F30">
            <w:pPr>
              <w:keepNext/>
              <w:spacing w:after="0" w:line="276" w:lineRule="auto"/>
              <w:rPr>
                <w:rFonts w:eastAsia="Times New Roman" w:cs="Arial"/>
                <w:sz w:val="20"/>
                <w:szCs w:val="20"/>
                <w:lang w:eastAsia="pl-PL"/>
              </w:rPr>
            </w:pPr>
            <w:r w:rsidRPr="00E02F30">
              <w:rPr>
                <w:rFonts w:eastAsia="Times New Roman" w:cs="Arial"/>
                <w:sz w:val="20"/>
                <w:szCs w:val="20"/>
                <w:lang w:eastAsia="pl-PL"/>
              </w:rPr>
              <w:t>Linia ob. 524. Wentylacja mechaniczna z pomieszczeń produkcyjnych (wyciągowa)</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14181498" w14:textId="77777777" w:rsidR="00E02F30" w:rsidRPr="00E02F30" w:rsidRDefault="00E02F30" w:rsidP="00E02F30">
            <w:pPr>
              <w:keepNext/>
              <w:spacing w:after="0" w:line="276" w:lineRule="auto"/>
              <w:ind w:firstLine="73"/>
              <w:jc w:val="center"/>
              <w:rPr>
                <w:rFonts w:eastAsia="Times New Roman" w:cs="Arial"/>
                <w:b/>
                <w:sz w:val="20"/>
                <w:szCs w:val="20"/>
                <w:lang w:eastAsia="pl-PL"/>
              </w:rPr>
            </w:pPr>
            <w:r w:rsidRPr="00E02F30">
              <w:rPr>
                <w:rFonts w:eastAsia="Times New Roman" w:cs="Arial"/>
                <w:b/>
                <w:sz w:val="20"/>
                <w:szCs w:val="20"/>
                <w:lang w:eastAsia="pl-PL"/>
              </w:rPr>
              <w:t>E-3/Z</w:t>
            </w:r>
          </w:p>
        </w:tc>
        <w:tc>
          <w:tcPr>
            <w:tcW w:w="461" w:type="pct"/>
            <w:tcBorders>
              <w:top w:val="single" w:sz="8" w:space="0" w:color="auto"/>
              <w:left w:val="single" w:sz="8" w:space="0" w:color="auto"/>
              <w:bottom w:val="single" w:sz="8" w:space="0" w:color="auto"/>
              <w:right w:val="single" w:sz="8" w:space="0" w:color="auto"/>
            </w:tcBorders>
            <w:shd w:val="clear" w:color="auto" w:fill="FFFFFF"/>
            <w:vAlign w:val="center"/>
          </w:tcPr>
          <w:p w14:paraId="7ADAD159"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25,0</w:t>
            </w:r>
          </w:p>
        </w:tc>
        <w:tc>
          <w:tcPr>
            <w:tcW w:w="537" w:type="pct"/>
            <w:tcBorders>
              <w:top w:val="single" w:sz="8" w:space="0" w:color="auto"/>
              <w:left w:val="single" w:sz="8" w:space="0" w:color="auto"/>
              <w:bottom w:val="single" w:sz="8" w:space="0" w:color="auto"/>
              <w:right w:val="single" w:sz="8" w:space="0" w:color="auto"/>
            </w:tcBorders>
            <w:shd w:val="clear" w:color="auto" w:fill="FFFFFF"/>
            <w:vAlign w:val="center"/>
          </w:tcPr>
          <w:p w14:paraId="379E4422" w14:textId="77777777" w:rsidR="00E02F30" w:rsidRPr="00E02F30" w:rsidRDefault="00E02F30" w:rsidP="00E02F30">
            <w:pPr>
              <w:keepNext/>
              <w:spacing w:after="0" w:line="276" w:lineRule="auto"/>
              <w:ind w:hanging="16"/>
              <w:jc w:val="center"/>
              <w:rPr>
                <w:rFonts w:eastAsia="Times New Roman" w:cs="Arial"/>
                <w:sz w:val="20"/>
                <w:szCs w:val="20"/>
                <w:lang w:eastAsia="pl-PL"/>
              </w:rPr>
            </w:pPr>
            <w:r w:rsidRPr="00E02F30">
              <w:rPr>
                <w:rFonts w:eastAsia="Times New Roman" w:cs="Arial"/>
                <w:sz w:val="20"/>
                <w:szCs w:val="20"/>
                <w:lang w:eastAsia="pl-PL"/>
              </w:rPr>
              <w:t>0,64 x 1,20</w:t>
            </w:r>
          </w:p>
        </w:tc>
        <w:tc>
          <w:tcPr>
            <w:tcW w:w="616" w:type="pct"/>
            <w:tcBorders>
              <w:top w:val="single" w:sz="8" w:space="0" w:color="auto"/>
              <w:left w:val="single" w:sz="8" w:space="0" w:color="auto"/>
              <w:bottom w:val="single" w:sz="8" w:space="0" w:color="auto"/>
              <w:right w:val="single" w:sz="8" w:space="0" w:color="auto"/>
            </w:tcBorders>
            <w:shd w:val="clear" w:color="auto" w:fill="FFFFFF"/>
            <w:vAlign w:val="center"/>
          </w:tcPr>
          <w:p w14:paraId="4DA8AF7B" w14:textId="77777777" w:rsidR="00E02F30" w:rsidRPr="00E02F30" w:rsidRDefault="00E02F30" w:rsidP="00E02F30">
            <w:pPr>
              <w:keepNext/>
              <w:spacing w:after="0" w:line="276" w:lineRule="auto"/>
              <w:ind w:hanging="80"/>
              <w:jc w:val="center"/>
              <w:rPr>
                <w:rFonts w:eastAsia="Times New Roman" w:cs="Arial"/>
                <w:sz w:val="20"/>
                <w:szCs w:val="20"/>
                <w:lang w:eastAsia="pl-PL"/>
              </w:rPr>
            </w:pPr>
          </w:p>
          <w:p w14:paraId="5B60E76F" w14:textId="77777777" w:rsidR="00E02F30" w:rsidRPr="00E02F30" w:rsidRDefault="00E02F30" w:rsidP="00E02F30">
            <w:pPr>
              <w:keepNext/>
              <w:spacing w:after="0" w:line="276" w:lineRule="auto"/>
              <w:ind w:hanging="80"/>
              <w:jc w:val="center"/>
              <w:rPr>
                <w:rFonts w:eastAsia="Times New Roman" w:cs="Arial"/>
                <w:sz w:val="20"/>
                <w:szCs w:val="20"/>
                <w:lang w:eastAsia="pl-PL"/>
              </w:rPr>
            </w:pPr>
            <w:r w:rsidRPr="00E02F30">
              <w:rPr>
                <w:rFonts w:eastAsia="Times New Roman" w:cs="Arial"/>
                <w:sz w:val="20"/>
                <w:szCs w:val="20"/>
                <w:lang w:eastAsia="pl-PL"/>
              </w:rPr>
              <w:t>10,6</w:t>
            </w:r>
          </w:p>
        </w:tc>
        <w:tc>
          <w:tcPr>
            <w:tcW w:w="614" w:type="pct"/>
            <w:tcBorders>
              <w:top w:val="single" w:sz="8" w:space="0" w:color="auto"/>
              <w:left w:val="single" w:sz="8" w:space="0" w:color="auto"/>
              <w:bottom w:val="single" w:sz="8" w:space="0" w:color="auto"/>
              <w:right w:val="single" w:sz="8" w:space="0" w:color="auto"/>
            </w:tcBorders>
            <w:shd w:val="clear" w:color="auto" w:fill="FFFFFF"/>
            <w:vAlign w:val="center"/>
          </w:tcPr>
          <w:p w14:paraId="2F9B80CA" w14:textId="77777777" w:rsidR="00E02F30" w:rsidRPr="00E02F30" w:rsidRDefault="00E02F30" w:rsidP="00E02F30">
            <w:pPr>
              <w:keepNext/>
              <w:spacing w:before="60" w:after="60" w:line="276" w:lineRule="auto"/>
              <w:jc w:val="center"/>
              <w:rPr>
                <w:rFonts w:eastAsia="Times New Roman" w:cs="Arial"/>
                <w:sz w:val="20"/>
                <w:szCs w:val="20"/>
                <w:lang w:eastAsia="pl-PL"/>
              </w:rPr>
            </w:pPr>
            <w:r w:rsidRPr="00E02F30">
              <w:rPr>
                <w:rFonts w:eastAsia="Times New Roman" w:cs="Arial"/>
                <w:sz w:val="20"/>
                <w:szCs w:val="20"/>
                <w:lang w:eastAsia="pl-PL"/>
              </w:rPr>
              <w:t>278÷303</w:t>
            </w:r>
          </w:p>
        </w:tc>
        <w:tc>
          <w:tcPr>
            <w:tcW w:w="701" w:type="pct"/>
            <w:tcBorders>
              <w:top w:val="single" w:sz="8" w:space="0" w:color="auto"/>
              <w:left w:val="single" w:sz="8" w:space="0" w:color="auto"/>
              <w:bottom w:val="single" w:sz="8" w:space="0" w:color="auto"/>
              <w:right w:val="single" w:sz="8" w:space="0" w:color="auto"/>
            </w:tcBorders>
            <w:shd w:val="clear" w:color="auto" w:fill="FFFFFF"/>
            <w:vAlign w:val="center"/>
          </w:tcPr>
          <w:p w14:paraId="7BA89BB2"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8200</w:t>
            </w:r>
          </w:p>
        </w:tc>
      </w:tr>
      <w:tr w:rsidR="00E02F30" w:rsidRPr="00E02F30" w14:paraId="5B87A027" w14:textId="77777777" w:rsidTr="00A1631B">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146034D8" w14:textId="77777777" w:rsidR="00E02F30" w:rsidRPr="00E02F30" w:rsidRDefault="00E02F30" w:rsidP="00E02F30">
            <w:pPr>
              <w:suppressAutoHyphens/>
              <w:spacing w:before="60" w:after="0" w:line="276" w:lineRule="auto"/>
              <w:ind w:firstLine="142"/>
              <w:contextualSpacing/>
              <w:jc w:val="center"/>
              <w:rPr>
                <w:rFonts w:eastAsia="Times New Roman" w:cs="Arial"/>
                <w:b/>
                <w:sz w:val="21"/>
                <w:szCs w:val="21"/>
                <w:lang w:eastAsia="pl-PL"/>
              </w:rPr>
            </w:pPr>
            <w:r w:rsidRPr="00E02F30">
              <w:rPr>
                <w:rFonts w:eastAsia="Times New Roman" w:cs="Arial"/>
                <w:b/>
                <w:sz w:val="21"/>
                <w:szCs w:val="21"/>
                <w:lang w:eastAsia="pl-PL"/>
              </w:rPr>
              <w:t>4.</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49D8060E" w14:textId="77777777" w:rsidR="00E02F30" w:rsidRPr="00E02F30" w:rsidRDefault="00E02F30" w:rsidP="00E02F30">
            <w:pPr>
              <w:keepNext/>
              <w:spacing w:after="0" w:line="276" w:lineRule="auto"/>
              <w:rPr>
                <w:rFonts w:eastAsia="Times New Roman" w:cs="Arial"/>
                <w:sz w:val="20"/>
                <w:szCs w:val="20"/>
                <w:lang w:eastAsia="pl-PL"/>
              </w:rPr>
            </w:pPr>
            <w:r w:rsidRPr="00E02F30">
              <w:rPr>
                <w:rFonts w:eastAsia="Times New Roman" w:cs="Arial"/>
                <w:sz w:val="20"/>
                <w:szCs w:val="20"/>
                <w:lang w:eastAsia="pl-PL"/>
              </w:rPr>
              <w:t>Linia ob. 524. Wentylacja mechaniczna (ogólna).</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7F6D1AC7" w14:textId="77777777" w:rsidR="00E02F30" w:rsidRPr="00E02F30" w:rsidRDefault="00E02F30" w:rsidP="00E02F30">
            <w:pPr>
              <w:keepNext/>
              <w:spacing w:after="0" w:line="276" w:lineRule="auto"/>
              <w:ind w:firstLine="73"/>
              <w:jc w:val="center"/>
              <w:rPr>
                <w:rFonts w:eastAsia="Times New Roman" w:cs="Arial"/>
                <w:b/>
                <w:sz w:val="20"/>
                <w:szCs w:val="20"/>
                <w:lang w:eastAsia="pl-PL"/>
              </w:rPr>
            </w:pPr>
            <w:r w:rsidRPr="00E02F30">
              <w:rPr>
                <w:rFonts w:eastAsia="Times New Roman" w:cs="Arial"/>
                <w:b/>
                <w:sz w:val="20"/>
                <w:szCs w:val="20"/>
                <w:lang w:eastAsia="pl-PL"/>
              </w:rPr>
              <w:t>E-4/Z</w:t>
            </w:r>
          </w:p>
        </w:tc>
        <w:tc>
          <w:tcPr>
            <w:tcW w:w="461" w:type="pct"/>
            <w:tcBorders>
              <w:top w:val="single" w:sz="8" w:space="0" w:color="auto"/>
              <w:left w:val="single" w:sz="8" w:space="0" w:color="auto"/>
              <w:bottom w:val="single" w:sz="8" w:space="0" w:color="auto"/>
              <w:right w:val="single" w:sz="8" w:space="0" w:color="auto"/>
            </w:tcBorders>
            <w:shd w:val="clear" w:color="auto" w:fill="FFFFFF"/>
            <w:vAlign w:val="center"/>
          </w:tcPr>
          <w:p w14:paraId="17A94061"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25,0</w:t>
            </w:r>
          </w:p>
        </w:tc>
        <w:tc>
          <w:tcPr>
            <w:tcW w:w="537" w:type="pct"/>
            <w:tcBorders>
              <w:top w:val="single" w:sz="8" w:space="0" w:color="auto"/>
              <w:left w:val="single" w:sz="8" w:space="0" w:color="auto"/>
              <w:bottom w:val="single" w:sz="8" w:space="0" w:color="auto"/>
              <w:right w:val="single" w:sz="8" w:space="0" w:color="auto"/>
            </w:tcBorders>
            <w:shd w:val="clear" w:color="auto" w:fill="FFFFFF"/>
            <w:vAlign w:val="center"/>
          </w:tcPr>
          <w:p w14:paraId="531774EC" w14:textId="77777777" w:rsidR="00E02F30" w:rsidRPr="00E02F30" w:rsidRDefault="00E02F30" w:rsidP="00E02F30">
            <w:pPr>
              <w:keepNext/>
              <w:spacing w:after="0" w:line="276" w:lineRule="auto"/>
              <w:ind w:hanging="16"/>
              <w:jc w:val="center"/>
              <w:rPr>
                <w:rFonts w:eastAsia="Times New Roman" w:cs="Arial"/>
                <w:sz w:val="20"/>
                <w:szCs w:val="20"/>
                <w:lang w:eastAsia="pl-PL"/>
              </w:rPr>
            </w:pPr>
            <w:r w:rsidRPr="00E02F30">
              <w:rPr>
                <w:rFonts w:eastAsia="Times New Roman" w:cs="Arial"/>
                <w:sz w:val="20"/>
                <w:szCs w:val="20"/>
                <w:lang w:eastAsia="pl-PL"/>
              </w:rPr>
              <w:t>0,60 x 1,20</w:t>
            </w:r>
          </w:p>
        </w:tc>
        <w:tc>
          <w:tcPr>
            <w:tcW w:w="616" w:type="pct"/>
            <w:tcBorders>
              <w:top w:val="single" w:sz="8" w:space="0" w:color="auto"/>
              <w:left w:val="single" w:sz="8" w:space="0" w:color="auto"/>
              <w:bottom w:val="single" w:sz="8" w:space="0" w:color="auto"/>
              <w:right w:val="single" w:sz="8" w:space="0" w:color="auto"/>
            </w:tcBorders>
            <w:shd w:val="clear" w:color="auto" w:fill="FFFFFF"/>
            <w:vAlign w:val="center"/>
          </w:tcPr>
          <w:p w14:paraId="45ED579A" w14:textId="77777777" w:rsidR="00E02F30" w:rsidRPr="00E02F30" w:rsidRDefault="00E02F30" w:rsidP="00E02F30">
            <w:pPr>
              <w:keepNext/>
              <w:spacing w:after="0" w:line="276" w:lineRule="auto"/>
              <w:ind w:hanging="80"/>
              <w:jc w:val="center"/>
              <w:rPr>
                <w:rFonts w:eastAsia="Times New Roman" w:cs="Arial"/>
                <w:sz w:val="20"/>
                <w:szCs w:val="20"/>
                <w:lang w:eastAsia="pl-PL"/>
              </w:rPr>
            </w:pPr>
          </w:p>
          <w:p w14:paraId="3D468EEE" w14:textId="77777777" w:rsidR="00E02F30" w:rsidRPr="00E02F30" w:rsidRDefault="00E02F30" w:rsidP="00E02F30">
            <w:pPr>
              <w:keepNext/>
              <w:spacing w:after="0" w:line="276" w:lineRule="auto"/>
              <w:ind w:hanging="80"/>
              <w:jc w:val="center"/>
              <w:rPr>
                <w:rFonts w:eastAsia="Times New Roman" w:cs="Arial"/>
                <w:sz w:val="20"/>
                <w:szCs w:val="20"/>
                <w:lang w:eastAsia="pl-PL"/>
              </w:rPr>
            </w:pPr>
            <w:r w:rsidRPr="00E02F30">
              <w:rPr>
                <w:rFonts w:eastAsia="Times New Roman" w:cs="Arial"/>
                <w:sz w:val="20"/>
                <w:szCs w:val="20"/>
                <w:lang w:eastAsia="pl-PL"/>
              </w:rPr>
              <w:t>5,7</w:t>
            </w:r>
          </w:p>
        </w:tc>
        <w:tc>
          <w:tcPr>
            <w:tcW w:w="614" w:type="pct"/>
            <w:tcBorders>
              <w:top w:val="single" w:sz="8" w:space="0" w:color="auto"/>
              <w:left w:val="single" w:sz="8" w:space="0" w:color="auto"/>
              <w:bottom w:val="single" w:sz="8" w:space="0" w:color="auto"/>
              <w:right w:val="single" w:sz="8" w:space="0" w:color="auto"/>
            </w:tcBorders>
            <w:shd w:val="clear" w:color="auto" w:fill="FFFFFF"/>
            <w:vAlign w:val="center"/>
          </w:tcPr>
          <w:p w14:paraId="56E60E16" w14:textId="77777777" w:rsidR="00E02F30" w:rsidRPr="00E02F30" w:rsidRDefault="00E02F30" w:rsidP="00E02F30">
            <w:pPr>
              <w:keepNext/>
              <w:spacing w:before="60" w:after="60" w:line="276" w:lineRule="auto"/>
              <w:jc w:val="center"/>
              <w:rPr>
                <w:rFonts w:eastAsia="Times New Roman" w:cs="Arial"/>
                <w:sz w:val="20"/>
                <w:szCs w:val="20"/>
                <w:lang w:eastAsia="pl-PL"/>
              </w:rPr>
            </w:pPr>
            <w:r w:rsidRPr="00E02F30">
              <w:rPr>
                <w:rFonts w:eastAsia="Times New Roman" w:cs="Arial"/>
                <w:sz w:val="20"/>
                <w:szCs w:val="20"/>
                <w:lang w:eastAsia="pl-PL"/>
              </w:rPr>
              <w:t>278÷303</w:t>
            </w:r>
          </w:p>
        </w:tc>
        <w:tc>
          <w:tcPr>
            <w:tcW w:w="701" w:type="pct"/>
            <w:tcBorders>
              <w:top w:val="single" w:sz="8" w:space="0" w:color="auto"/>
              <w:left w:val="single" w:sz="8" w:space="0" w:color="auto"/>
              <w:bottom w:val="single" w:sz="8" w:space="0" w:color="auto"/>
              <w:right w:val="single" w:sz="8" w:space="0" w:color="auto"/>
            </w:tcBorders>
            <w:shd w:val="clear" w:color="auto" w:fill="FFFFFF"/>
            <w:vAlign w:val="center"/>
          </w:tcPr>
          <w:p w14:paraId="52B742B9"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8200</w:t>
            </w:r>
          </w:p>
        </w:tc>
      </w:tr>
      <w:tr w:rsidR="00E02F30" w:rsidRPr="00E02F30" w14:paraId="71643152" w14:textId="77777777" w:rsidTr="00A1631B">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7D17D60D" w14:textId="77777777" w:rsidR="00E02F30" w:rsidRPr="00E02F30" w:rsidRDefault="00E02F30" w:rsidP="00E02F30">
            <w:pPr>
              <w:suppressAutoHyphens/>
              <w:spacing w:before="60" w:after="0" w:line="276" w:lineRule="auto"/>
              <w:ind w:firstLine="142"/>
              <w:contextualSpacing/>
              <w:jc w:val="center"/>
              <w:rPr>
                <w:rFonts w:eastAsia="Times New Roman" w:cs="Arial"/>
                <w:b/>
                <w:sz w:val="21"/>
                <w:szCs w:val="21"/>
                <w:lang w:eastAsia="pl-PL"/>
              </w:rPr>
            </w:pPr>
            <w:r w:rsidRPr="00E02F30">
              <w:rPr>
                <w:rFonts w:eastAsia="Times New Roman" w:cs="Arial"/>
                <w:b/>
                <w:sz w:val="21"/>
                <w:szCs w:val="21"/>
                <w:lang w:eastAsia="pl-PL"/>
              </w:rPr>
              <w:t>5.</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167BA16B" w14:textId="77777777" w:rsidR="00E02F30" w:rsidRPr="00E02F30" w:rsidRDefault="00E02F30" w:rsidP="00E02F30">
            <w:pPr>
              <w:keepNext/>
              <w:spacing w:after="0" w:line="276" w:lineRule="auto"/>
              <w:rPr>
                <w:rFonts w:eastAsia="Times New Roman" w:cs="Arial"/>
                <w:sz w:val="20"/>
                <w:szCs w:val="20"/>
                <w:lang w:eastAsia="pl-PL"/>
              </w:rPr>
            </w:pPr>
            <w:r w:rsidRPr="00E02F30">
              <w:rPr>
                <w:rFonts w:eastAsia="Times New Roman" w:cs="Arial"/>
                <w:sz w:val="20"/>
                <w:szCs w:val="20"/>
                <w:lang w:eastAsia="pl-PL"/>
              </w:rPr>
              <w:t>Linia ob. 524 A. Wentylacja mechaniczna (ogólna)</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1FEC408B" w14:textId="77777777" w:rsidR="00E02F30" w:rsidRPr="00E02F30" w:rsidRDefault="00E02F30" w:rsidP="00E02F30">
            <w:pPr>
              <w:keepNext/>
              <w:spacing w:after="0" w:line="276" w:lineRule="auto"/>
              <w:ind w:firstLine="73"/>
              <w:jc w:val="center"/>
              <w:rPr>
                <w:rFonts w:eastAsia="Times New Roman" w:cs="Arial"/>
                <w:b/>
                <w:sz w:val="20"/>
                <w:szCs w:val="20"/>
                <w:lang w:eastAsia="pl-PL"/>
              </w:rPr>
            </w:pPr>
            <w:r w:rsidRPr="00E02F30">
              <w:rPr>
                <w:rFonts w:eastAsia="Times New Roman" w:cs="Arial"/>
                <w:b/>
                <w:sz w:val="20"/>
                <w:szCs w:val="20"/>
                <w:lang w:eastAsia="pl-PL"/>
              </w:rPr>
              <w:t>E-5/Z</w:t>
            </w:r>
          </w:p>
        </w:tc>
        <w:tc>
          <w:tcPr>
            <w:tcW w:w="461" w:type="pct"/>
            <w:tcBorders>
              <w:top w:val="single" w:sz="8" w:space="0" w:color="auto"/>
              <w:left w:val="single" w:sz="8" w:space="0" w:color="auto"/>
              <w:bottom w:val="single" w:sz="8" w:space="0" w:color="auto"/>
              <w:right w:val="single" w:sz="8" w:space="0" w:color="auto"/>
            </w:tcBorders>
            <w:shd w:val="clear" w:color="auto" w:fill="FFFFFF"/>
            <w:vAlign w:val="center"/>
          </w:tcPr>
          <w:p w14:paraId="4574D097"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25,0</w:t>
            </w:r>
          </w:p>
        </w:tc>
        <w:tc>
          <w:tcPr>
            <w:tcW w:w="537" w:type="pct"/>
            <w:tcBorders>
              <w:top w:val="single" w:sz="8" w:space="0" w:color="auto"/>
              <w:left w:val="single" w:sz="8" w:space="0" w:color="auto"/>
              <w:bottom w:val="single" w:sz="8" w:space="0" w:color="auto"/>
              <w:right w:val="single" w:sz="8" w:space="0" w:color="auto"/>
            </w:tcBorders>
            <w:shd w:val="clear" w:color="auto" w:fill="FFFFFF"/>
            <w:vAlign w:val="center"/>
          </w:tcPr>
          <w:p w14:paraId="2D72FE42" w14:textId="77777777" w:rsidR="00E02F30" w:rsidRPr="00E02F30" w:rsidRDefault="00E02F30" w:rsidP="00E02F30">
            <w:pPr>
              <w:keepNext/>
              <w:spacing w:after="0" w:line="276" w:lineRule="auto"/>
              <w:ind w:hanging="16"/>
              <w:jc w:val="center"/>
              <w:rPr>
                <w:rFonts w:eastAsia="Times New Roman" w:cs="Arial"/>
                <w:sz w:val="20"/>
                <w:szCs w:val="20"/>
                <w:lang w:eastAsia="pl-PL"/>
              </w:rPr>
            </w:pPr>
            <w:r w:rsidRPr="00E02F30">
              <w:rPr>
                <w:rFonts w:eastAsia="Times New Roman" w:cs="Arial"/>
                <w:sz w:val="20"/>
                <w:szCs w:val="20"/>
                <w:lang w:eastAsia="pl-PL"/>
              </w:rPr>
              <w:t>1,60 x 1,25</w:t>
            </w:r>
          </w:p>
        </w:tc>
        <w:tc>
          <w:tcPr>
            <w:tcW w:w="616" w:type="pct"/>
            <w:tcBorders>
              <w:top w:val="single" w:sz="8" w:space="0" w:color="auto"/>
              <w:left w:val="single" w:sz="8" w:space="0" w:color="auto"/>
              <w:bottom w:val="single" w:sz="8" w:space="0" w:color="auto"/>
              <w:right w:val="single" w:sz="8" w:space="0" w:color="auto"/>
            </w:tcBorders>
            <w:shd w:val="clear" w:color="auto" w:fill="FFFFFF"/>
            <w:vAlign w:val="center"/>
          </w:tcPr>
          <w:p w14:paraId="2F90F5CE" w14:textId="77777777" w:rsidR="00E02F30" w:rsidRPr="00E02F30" w:rsidRDefault="00E02F30" w:rsidP="00E02F30">
            <w:pPr>
              <w:keepNext/>
              <w:spacing w:after="0" w:line="276" w:lineRule="auto"/>
              <w:ind w:hanging="80"/>
              <w:jc w:val="center"/>
              <w:rPr>
                <w:rFonts w:eastAsia="Times New Roman" w:cs="Arial"/>
                <w:sz w:val="20"/>
                <w:szCs w:val="20"/>
                <w:lang w:eastAsia="pl-PL"/>
              </w:rPr>
            </w:pPr>
          </w:p>
          <w:p w14:paraId="6732B2C8" w14:textId="77777777" w:rsidR="00E02F30" w:rsidRPr="00E02F30" w:rsidRDefault="00E02F30" w:rsidP="00E02F30">
            <w:pPr>
              <w:keepNext/>
              <w:spacing w:after="0" w:line="276" w:lineRule="auto"/>
              <w:ind w:hanging="80"/>
              <w:jc w:val="center"/>
              <w:rPr>
                <w:rFonts w:eastAsia="Times New Roman" w:cs="Arial"/>
                <w:sz w:val="20"/>
                <w:szCs w:val="20"/>
                <w:lang w:eastAsia="pl-PL"/>
              </w:rPr>
            </w:pPr>
            <w:r w:rsidRPr="00E02F30">
              <w:rPr>
                <w:rFonts w:eastAsia="Times New Roman" w:cs="Arial"/>
                <w:sz w:val="20"/>
                <w:szCs w:val="20"/>
                <w:lang w:eastAsia="pl-PL"/>
              </w:rPr>
              <w:t>3,9</w:t>
            </w:r>
          </w:p>
        </w:tc>
        <w:tc>
          <w:tcPr>
            <w:tcW w:w="614" w:type="pct"/>
            <w:tcBorders>
              <w:top w:val="single" w:sz="8" w:space="0" w:color="auto"/>
              <w:left w:val="single" w:sz="8" w:space="0" w:color="auto"/>
              <w:bottom w:val="single" w:sz="8" w:space="0" w:color="auto"/>
              <w:right w:val="single" w:sz="8" w:space="0" w:color="auto"/>
            </w:tcBorders>
            <w:shd w:val="clear" w:color="auto" w:fill="FFFFFF"/>
            <w:vAlign w:val="center"/>
          </w:tcPr>
          <w:p w14:paraId="1F017F6B" w14:textId="77777777" w:rsidR="00E02F30" w:rsidRPr="00E02F30" w:rsidRDefault="00E02F30" w:rsidP="00E02F30">
            <w:pPr>
              <w:keepNext/>
              <w:spacing w:before="60" w:after="60" w:line="276" w:lineRule="auto"/>
              <w:jc w:val="center"/>
              <w:rPr>
                <w:rFonts w:eastAsia="Times New Roman" w:cs="Arial"/>
                <w:sz w:val="20"/>
                <w:szCs w:val="20"/>
                <w:lang w:eastAsia="pl-PL"/>
              </w:rPr>
            </w:pPr>
            <w:r w:rsidRPr="00E02F30">
              <w:rPr>
                <w:rFonts w:eastAsia="Times New Roman" w:cs="Arial"/>
                <w:sz w:val="20"/>
                <w:szCs w:val="20"/>
                <w:lang w:eastAsia="pl-PL"/>
              </w:rPr>
              <w:t>278÷303</w:t>
            </w:r>
          </w:p>
        </w:tc>
        <w:tc>
          <w:tcPr>
            <w:tcW w:w="701" w:type="pct"/>
            <w:tcBorders>
              <w:top w:val="single" w:sz="8" w:space="0" w:color="auto"/>
              <w:left w:val="single" w:sz="8" w:space="0" w:color="auto"/>
              <w:bottom w:val="single" w:sz="8" w:space="0" w:color="auto"/>
              <w:right w:val="single" w:sz="8" w:space="0" w:color="auto"/>
            </w:tcBorders>
            <w:shd w:val="clear" w:color="auto" w:fill="FFFFFF"/>
            <w:vAlign w:val="center"/>
          </w:tcPr>
          <w:p w14:paraId="178200C5"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8200</w:t>
            </w:r>
          </w:p>
        </w:tc>
      </w:tr>
      <w:tr w:rsidR="00E02F30" w:rsidRPr="00E02F30" w14:paraId="1A461F15" w14:textId="77777777" w:rsidTr="00A1631B">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2BC519FD" w14:textId="77777777" w:rsidR="00E02F30" w:rsidRPr="00E02F30" w:rsidRDefault="00E02F30" w:rsidP="00E02F30">
            <w:pPr>
              <w:suppressAutoHyphens/>
              <w:spacing w:before="60" w:after="0" w:line="276" w:lineRule="auto"/>
              <w:ind w:firstLine="142"/>
              <w:contextualSpacing/>
              <w:jc w:val="center"/>
              <w:rPr>
                <w:rFonts w:eastAsia="Times New Roman" w:cs="Arial"/>
                <w:b/>
                <w:sz w:val="21"/>
                <w:szCs w:val="21"/>
                <w:lang w:eastAsia="pl-PL"/>
              </w:rPr>
            </w:pPr>
            <w:r w:rsidRPr="00E02F30">
              <w:rPr>
                <w:rFonts w:eastAsia="Times New Roman" w:cs="Arial"/>
                <w:b/>
                <w:sz w:val="21"/>
                <w:szCs w:val="21"/>
                <w:lang w:eastAsia="pl-PL"/>
              </w:rPr>
              <w:t>6.</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4382DAD9" w14:textId="77777777" w:rsidR="00E02F30" w:rsidRPr="00E02F30" w:rsidRDefault="00E02F30" w:rsidP="00E02F30">
            <w:pPr>
              <w:keepNext/>
              <w:spacing w:after="0" w:line="276" w:lineRule="auto"/>
              <w:rPr>
                <w:rFonts w:eastAsia="Times New Roman" w:cs="Arial"/>
                <w:sz w:val="20"/>
                <w:szCs w:val="20"/>
                <w:lang w:eastAsia="pl-PL"/>
              </w:rPr>
            </w:pPr>
            <w:r w:rsidRPr="00E02F30">
              <w:rPr>
                <w:rFonts w:eastAsia="Times New Roman" w:cs="Arial"/>
                <w:sz w:val="20"/>
                <w:szCs w:val="20"/>
                <w:lang w:eastAsia="pl-PL"/>
              </w:rPr>
              <w:t>Linia ob. 501. Wentylacja mechaniczna (ogólna) od strony północnej.</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0E128BCE" w14:textId="77777777" w:rsidR="00E02F30" w:rsidRPr="00E02F30" w:rsidRDefault="00E02F30" w:rsidP="00E02F30">
            <w:pPr>
              <w:keepNext/>
              <w:spacing w:after="0" w:line="276" w:lineRule="auto"/>
              <w:ind w:firstLine="73"/>
              <w:jc w:val="center"/>
              <w:rPr>
                <w:rFonts w:eastAsia="Times New Roman" w:cs="Arial"/>
                <w:b/>
                <w:sz w:val="20"/>
                <w:szCs w:val="20"/>
                <w:lang w:eastAsia="pl-PL"/>
              </w:rPr>
            </w:pPr>
            <w:r w:rsidRPr="00E02F30">
              <w:rPr>
                <w:rFonts w:eastAsia="Times New Roman" w:cs="Arial"/>
                <w:b/>
                <w:sz w:val="20"/>
                <w:szCs w:val="20"/>
                <w:lang w:eastAsia="pl-PL"/>
              </w:rPr>
              <w:t>E-6/Z</w:t>
            </w:r>
          </w:p>
        </w:tc>
        <w:tc>
          <w:tcPr>
            <w:tcW w:w="461" w:type="pct"/>
            <w:tcBorders>
              <w:top w:val="single" w:sz="8" w:space="0" w:color="auto"/>
              <w:left w:val="single" w:sz="8" w:space="0" w:color="auto"/>
              <w:bottom w:val="single" w:sz="8" w:space="0" w:color="auto"/>
              <w:right w:val="single" w:sz="8" w:space="0" w:color="auto"/>
            </w:tcBorders>
            <w:shd w:val="clear" w:color="auto" w:fill="FFFFFF"/>
            <w:vAlign w:val="center"/>
          </w:tcPr>
          <w:p w14:paraId="788A108F"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9,0</w:t>
            </w:r>
          </w:p>
        </w:tc>
        <w:tc>
          <w:tcPr>
            <w:tcW w:w="537" w:type="pct"/>
            <w:tcBorders>
              <w:top w:val="single" w:sz="8" w:space="0" w:color="auto"/>
              <w:left w:val="single" w:sz="8" w:space="0" w:color="auto"/>
              <w:bottom w:val="single" w:sz="8" w:space="0" w:color="auto"/>
              <w:right w:val="single" w:sz="8" w:space="0" w:color="auto"/>
            </w:tcBorders>
            <w:shd w:val="clear" w:color="auto" w:fill="FFFFFF"/>
            <w:vAlign w:val="center"/>
          </w:tcPr>
          <w:p w14:paraId="63AA3D07" w14:textId="77777777" w:rsidR="00E02F30" w:rsidRPr="00E02F30" w:rsidRDefault="00E02F30" w:rsidP="00E02F30">
            <w:pPr>
              <w:keepNext/>
              <w:spacing w:after="0" w:line="276" w:lineRule="auto"/>
              <w:ind w:hanging="16"/>
              <w:jc w:val="center"/>
              <w:rPr>
                <w:rFonts w:eastAsia="Times New Roman" w:cs="Arial"/>
                <w:sz w:val="20"/>
                <w:szCs w:val="20"/>
                <w:lang w:eastAsia="pl-PL"/>
              </w:rPr>
            </w:pPr>
            <w:r w:rsidRPr="00E02F30">
              <w:rPr>
                <w:rFonts w:eastAsia="Times New Roman" w:cs="Arial"/>
                <w:sz w:val="20"/>
                <w:szCs w:val="20"/>
                <w:lang w:eastAsia="pl-PL"/>
              </w:rPr>
              <w:t>0,95</w:t>
            </w:r>
          </w:p>
        </w:tc>
        <w:tc>
          <w:tcPr>
            <w:tcW w:w="616" w:type="pct"/>
            <w:tcBorders>
              <w:top w:val="single" w:sz="8" w:space="0" w:color="auto"/>
              <w:left w:val="single" w:sz="8" w:space="0" w:color="auto"/>
              <w:bottom w:val="single" w:sz="8" w:space="0" w:color="auto"/>
              <w:right w:val="single" w:sz="8" w:space="0" w:color="auto"/>
            </w:tcBorders>
            <w:shd w:val="clear" w:color="auto" w:fill="FFFFFF"/>
            <w:vAlign w:val="center"/>
          </w:tcPr>
          <w:p w14:paraId="14F411C8"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4,4</w:t>
            </w:r>
          </w:p>
        </w:tc>
        <w:tc>
          <w:tcPr>
            <w:tcW w:w="614" w:type="pct"/>
            <w:tcBorders>
              <w:top w:val="single" w:sz="8" w:space="0" w:color="auto"/>
              <w:left w:val="single" w:sz="8" w:space="0" w:color="auto"/>
              <w:bottom w:val="single" w:sz="8" w:space="0" w:color="auto"/>
              <w:right w:val="single" w:sz="8" w:space="0" w:color="auto"/>
            </w:tcBorders>
            <w:shd w:val="clear" w:color="auto" w:fill="FFFFFF"/>
            <w:vAlign w:val="center"/>
          </w:tcPr>
          <w:p w14:paraId="725AF022" w14:textId="77777777" w:rsidR="00E02F30" w:rsidRPr="00E02F30" w:rsidRDefault="00E02F30" w:rsidP="00E02F30">
            <w:pPr>
              <w:keepNext/>
              <w:spacing w:before="60" w:after="60" w:line="276" w:lineRule="auto"/>
              <w:jc w:val="center"/>
              <w:rPr>
                <w:rFonts w:eastAsia="Times New Roman" w:cs="Arial"/>
                <w:sz w:val="20"/>
                <w:szCs w:val="20"/>
                <w:lang w:eastAsia="pl-PL"/>
              </w:rPr>
            </w:pPr>
            <w:r w:rsidRPr="00E02F30">
              <w:rPr>
                <w:rFonts w:eastAsia="Times New Roman" w:cs="Arial"/>
                <w:sz w:val="20"/>
                <w:szCs w:val="20"/>
                <w:lang w:eastAsia="pl-PL"/>
              </w:rPr>
              <w:t>278÷303</w:t>
            </w:r>
          </w:p>
        </w:tc>
        <w:tc>
          <w:tcPr>
            <w:tcW w:w="701" w:type="pct"/>
            <w:tcBorders>
              <w:top w:val="single" w:sz="8" w:space="0" w:color="auto"/>
              <w:left w:val="single" w:sz="8" w:space="0" w:color="auto"/>
              <w:bottom w:val="single" w:sz="8" w:space="0" w:color="auto"/>
              <w:right w:val="single" w:sz="8" w:space="0" w:color="auto"/>
            </w:tcBorders>
            <w:shd w:val="clear" w:color="auto" w:fill="FFFFFF"/>
            <w:vAlign w:val="center"/>
          </w:tcPr>
          <w:p w14:paraId="25BB3753"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7600</w:t>
            </w:r>
          </w:p>
        </w:tc>
      </w:tr>
      <w:tr w:rsidR="00E02F30" w:rsidRPr="00E02F30" w14:paraId="2CB0C68F" w14:textId="77777777" w:rsidTr="00A1631B">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0F231763" w14:textId="77777777" w:rsidR="00E02F30" w:rsidRPr="00E02F30" w:rsidRDefault="00E02F30" w:rsidP="00E02F30">
            <w:pPr>
              <w:suppressAutoHyphens/>
              <w:spacing w:before="60" w:after="0" w:line="276" w:lineRule="auto"/>
              <w:ind w:firstLine="142"/>
              <w:contextualSpacing/>
              <w:jc w:val="center"/>
              <w:rPr>
                <w:rFonts w:eastAsia="Times New Roman" w:cs="Arial"/>
                <w:b/>
                <w:sz w:val="21"/>
                <w:szCs w:val="21"/>
                <w:lang w:eastAsia="pl-PL"/>
              </w:rPr>
            </w:pPr>
            <w:r w:rsidRPr="00E02F30">
              <w:rPr>
                <w:rFonts w:eastAsia="Times New Roman" w:cs="Arial"/>
                <w:b/>
                <w:sz w:val="21"/>
                <w:szCs w:val="21"/>
                <w:lang w:eastAsia="pl-PL"/>
              </w:rPr>
              <w:t>7.</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5044F1A1" w14:textId="77777777" w:rsidR="00E02F30" w:rsidRPr="00E02F30" w:rsidRDefault="00E02F30" w:rsidP="00E02F30">
            <w:pPr>
              <w:keepNext/>
              <w:spacing w:after="0" w:line="276" w:lineRule="auto"/>
              <w:ind w:hanging="91"/>
              <w:rPr>
                <w:rFonts w:eastAsia="Times New Roman" w:cs="Arial"/>
                <w:sz w:val="20"/>
                <w:szCs w:val="20"/>
                <w:lang w:eastAsia="pl-PL"/>
              </w:rPr>
            </w:pPr>
            <w:r w:rsidRPr="00E02F30">
              <w:rPr>
                <w:rFonts w:eastAsia="Times New Roman" w:cs="Arial"/>
                <w:sz w:val="20"/>
                <w:szCs w:val="20"/>
                <w:lang w:eastAsia="pl-PL"/>
              </w:rPr>
              <w:t>Linia ob. 501. Wentylacja mechaniczna z dozowania surowców.</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7FF67DF5" w14:textId="77777777" w:rsidR="00E02F30" w:rsidRPr="00E02F30" w:rsidRDefault="00E02F30" w:rsidP="00E02F30">
            <w:pPr>
              <w:keepNext/>
              <w:spacing w:after="0" w:line="276" w:lineRule="auto"/>
              <w:ind w:firstLine="73"/>
              <w:jc w:val="center"/>
              <w:rPr>
                <w:rFonts w:eastAsia="Times New Roman" w:cs="Arial"/>
                <w:b/>
                <w:sz w:val="20"/>
                <w:szCs w:val="20"/>
                <w:lang w:eastAsia="pl-PL"/>
              </w:rPr>
            </w:pPr>
            <w:r w:rsidRPr="00E02F30">
              <w:rPr>
                <w:rFonts w:eastAsia="Times New Roman" w:cs="Arial"/>
                <w:b/>
                <w:sz w:val="20"/>
                <w:szCs w:val="20"/>
                <w:lang w:eastAsia="pl-PL"/>
              </w:rPr>
              <w:t>E-7/Z</w:t>
            </w:r>
          </w:p>
        </w:tc>
        <w:tc>
          <w:tcPr>
            <w:tcW w:w="461" w:type="pct"/>
            <w:tcBorders>
              <w:top w:val="single" w:sz="8" w:space="0" w:color="auto"/>
              <w:left w:val="single" w:sz="8" w:space="0" w:color="auto"/>
              <w:bottom w:val="single" w:sz="8" w:space="0" w:color="auto"/>
              <w:right w:val="single" w:sz="8" w:space="0" w:color="auto"/>
            </w:tcBorders>
            <w:shd w:val="clear" w:color="auto" w:fill="FFFFFF"/>
            <w:vAlign w:val="center"/>
          </w:tcPr>
          <w:p w14:paraId="2E4B235B"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9,0</w:t>
            </w:r>
          </w:p>
        </w:tc>
        <w:tc>
          <w:tcPr>
            <w:tcW w:w="537" w:type="pct"/>
            <w:tcBorders>
              <w:top w:val="single" w:sz="8" w:space="0" w:color="auto"/>
              <w:left w:val="single" w:sz="8" w:space="0" w:color="auto"/>
              <w:bottom w:val="single" w:sz="8" w:space="0" w:color="auto"/>
              <w:right w:val="single" w:sz="8" w:space="0" w:color="auto"/>
            </w:tcBorders>
            <w:shd w:val="clear" w:color="auto" w:fill="FFFFFF"/>
            <w:vAlign w:val="center"/>
          </w:tcPr>
          <w:p w14:paraId="13981D92" w14:textId="77777777" w:rsidR="00E02F30" w:rsidRPr="00E02F30" w:rsidRDefault="00E02F30" w:rsidP="00E02F30">
            <w:pPr>
              <w:keepNext/>
              <w:spacing w:after="0" w:line="276" w:lineRule="auto"/>
              <w:ind w:hanging="16"/>
              <w:jc w:val="center"/>
              <w:rPr>
                <w:rFonts w:eastAsia="Times New Roman" w:cs="Arial"/>
                <w:sz w:val="20"/>
                <w:szCs w:val="20"/>
                <w:lang w:eastAsia="pl-PL"/>
              </w:rPr>
            </w:pPr>
            <w:r w:rsidRPr="00E02F30">
              <w:rPr>
                <w:rFonts w:eastAsia="Times New Roman" w:cs="Arial"/>
                <w:sz w:val="20"/>
                <w:szCs w:val="20"/>
                <w:lang w:eastAsia="pl-PL"/>
              </w:rPr>
              <w:t>0,21</w:t>
            </w:r>
          </w:p>
        </w:tc>
        <w:tc>
          <w:tcPr>
            <w:tcW w:w="616" w:type="pct"/>
            <w:tcBorders>
              <w:top w:val="single" w:sz="8" w:space="0" w:color="auto"/>
              <w:left w:val="single" w:sz="8" w:space="0" w:color="auto"/>
              <w:bottom w:val="single" w:sz="8" w:space="0" w:color="auto"/>
              <w:right w:val="single" w:sz="8" w:space="0" w:color="auto"/>
            </w:tcBorders>
            <w:shd w:val="clear" w:color="auto" w:fill="FFFFFF"/>
            <w:vAlign w:val="center"/>
          </w:tcPr>
          <w:p w14:paraId="4DB336C4" w14:textId="77777777" w:rsidR="00E02F30" w:rsidRPr="00E02F30" w:rsidRDefault="00E02F30" w:rsidP="00E02F30">
            <w:pPr>
              <w:keepNext/>
              <w:spacing w:after="0" w:line="276" w:lineRule="auto"/>
              <w:ind w:hanging="80"/>
              <w:jc w:val="center"/>
              <w:rPr>
                <w:rFonts w:eastAsia="Times New Roman" w:cs="Arial"/>
                <w:sz w:val="20"/>
                <w:szCs w:val="20"/>
                <w:lang w:eastAsia="pl-PL"/>
              </w:rPr>
            </w:pPr>
            <w:r w:rsidRPr="00E02F30">
              <w:rPr>
                <w:rFonts w:eastAsia="Times New Roman" w:cs="Arial"/>
                <w:sz w:val="20"/>
                <w:szCs w:val="20"/>
                <w:lang w:eastAsia="pl-PL"/>
              </w:rPr>
              <w:t>0</w:t>
            </w:r>
          </w:p>
          <w:p w14:paraId="6F48D70A" w14:textId="77777777" w:rsidR="00E02F30" w:rsidRPr="00E02F30" w:rsidRDefault="00E02F30" w:rsidP="00E02F30">
            <w:pPr>
              <w:keepNext/>
              <w:spacing w:after="0" w:line="276" w:lineRule="auto"/>
              <w:ind w:hanging="80"/>
              <w:jc w:val="center"/>
              <w:rPr>
                <w:rFonts w:eastAsia="Times New Roman" w:cs="Arial"/>
                <w:sz w:val="20"/>
                <w:szCs w:val="20"/>
                <w:lang w:eastAsia="pl-PL"/>
              </w:rPr>
            </w:pPr>
            <w:r w:rsidRPr="00E02F30">
              <w:rPr>
                <w:rFonts w:eastAsia="Times New Roman" w:cs="Arial"/>
                <w:sz w:val="20"/>
                <w:szCs w:val="20"/>
                <w:lang w:eastAsia="pl-PL"/>
              </w:rPr>
              <w:t>zadaszony</w:t>
            </w:r>
          </w:p>
        </w:tc>
        <w:tc>
          <w:tcPr>
            <w:tcW w:w="614" w:type="pct"/>
            <w:tcBorders>
              <w:top w:val="single" w:sz="8" w:space="0" w:color="auto"/>
              <w:left w:val="single" w:sz="8" w:space="0" w:color="auto"/>
              <w:bottom w:val="single" w:sz="8" w:space="0" w:color="auto"/>
              <w:right w:val="single" w:sz="8" w:space="0" w:color="auto"/>
            </w:tcBorders>
            <w:shd w:val="clear" w:color="auto" w:fill="FFFFFF"/>
            <w:vAlign w:val="center"/>
          </w:tcPr>
          <w:p w14:paraId="586E92AB" w14:textId="77777777" w:rsidR="00E02F30" w:rsidRPr="00E02F30" w:rsidRDefault="00E02F30" w:rsidP="00E02F30">
            <w:pPr>
              <w:keepNext/>
              <w:spacing w:before="60" w:after="60" w:line="276" w:lineRule="auto"/>
              <w:jc w:val="center"/>
              <w:rPr>
                <w:rFonts w:eastAsia="Times New Roman" w:cs="Arial"/>
                <w:sz w:val="20"/>
                <w:szCs w:val="20"/>
                <w:lang w:eastAsia="pl-PL"/>
              </w:rPr>
            </w:pPr>
            <w:r w:rsidRPr="00E02F30">
              <w:rPr>
                <w:rFonts w:eastAsia="Times New Roman" w:cs="Arial"/>
                <w:sz w:val="20"/>
                <w:szCs w:val="20"/>
                <w:lang w:eastAsia="pl-PL"/>
              </w:rPr>
              <w:t>278÷303</w:t>
            </w:r>
          </w:p>
        </w:tc>
        <w:tc>
          <w:tcPr>
            <w:tcW w:w="701" w:type="pct"/>
            <w:tcBorders>
              <w:top w:val="single" w:sz="8" w:space="0" w:color="auto"/>
              <w:left w:val="single" w:sz="8" w:space="0" w:color="auto"/>
              <w:bottom w:val="single" w:sz="8" w:space="0" w:color="auto"/>
              <w:right w:val="single" w:sz="8" w:space="0" w:color="auto"/>
            </w:tcBorders>
            <w:shd w:val="clear" w:color="auto" w:fill="FFFFFF"/>
            <w:vAlign w:val="center"/>
          </w:tcPr>
          <w:p w14:paraId="24FD83AA"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7600</w:t>
            </w:r>
          </w:p>
        </w:tc>
      </w:tr>
      <w:tr w:rsidR="00E02F30" w:rsidRPr="00E02F30" w14:paraId="442388B6" w14:textId="77777777" w:rsidTr="00A1631B">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14BE1F76" w14:textId="77777777" w:rsidR="00E02F30" w:rsidRPr="00E02F30" w:rsidRDefault="00E02F30" w:rsidP="00E02F30">
            <w:pPr>
              <w:suppressAutoHyphens/>
              <w:spacing w:before="60" w:after="0" w:line="276" w:lineRule="auto"/>
              <w:ind w:firstLine="142"/>
              <w:contextualSpacing/>
              <w:jc w:val="center"/>
              <w:rPr>
                <w:rFonts w:eastAsia="Times New Roman" w:cs="Arial"/>
                <w:b/>
                <w:sz w:val="21"/>
                <w:szCs w:val="21"/>
                <w:lang w:eastAsia="pl-PL"/>
              </w:rPr>
            </w:pPr>
            <w:r w:rsidRPr="00E02F30">
              <w:rPr>
                <w:rFonts w:eastAsia="Times New Roman" w:cs="Arial"/>
                <w:b/>
                <w:sz w:val="21"/>
                <w:szCs w:val="21"/>
                <w:lang w:eastAsia="pl-PL"/>
              </w:rPr>
              <w:t>8.</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5CC9BE98" w14:textId="77777777" w:rsidR="00E02F30" w:rsidRPr="00E02F30" w:rsidRDefault="00E02F30" w:rsidP="00E02F30">
            <w:pPr>
              <w:keepNext/>
              <w:tabs>
                <w:tab w:val="left" w:pos="193"/>
              </w:tabs>
              <w:spacing w:after="0" w:line="276" w:lineRule="auto"/>
              <w:ind w:hanging="91"/>
              <w:rPr>
                <w:rFonts w:eastAsia="Times New Roman" w:cs="Arial"/>
                <w:sz w:val="20"/>
                <w:szCs w:val="20"/>
                <w:lang w:eastAsia="pl-PL"/>
              </w:rPr>
            </w:pPr>
            <w:r w:rsidRPr="00E02F30">
              <w:rPr>
                <w:rFonts w:eastAsia="Times New Roman" w:cs="Arial"/>
                <w:sz w:val="20"/>
                <w:szCs w:val="20"/>
                <w:lang w:eastAsia="pl-PL"/>
              </w:rPr>
              <w:t xml:space="preserve">Linia ob. 501. Wentylacja mechaniczna znad </w:t>
            </w:r>
            <w:proofErr w:type="spellStart"/>
            <w:r w:rsidRPr="00E02F30">
              <w:rPr>
                <w:rFonts w:eastAsia="Times New Roman" w:cs="Arial"/>
                <w:sz w:val="20"/>
                <w:szCs w:val="20"/>
                <w:lang w:eastAsia="pl-PL"/>
              </w:rPr>
              <w:t>łuskownika</w:t>
            </w:r>
            <w:proofErr w:type="spellEnd"/>
            <w:r w:rsidRPr="00E02F30">
              <w:rPr>
                <w:rFonts w:eastAsia="Times New Roman" w:cs="Arial"/>
                <w:sz w:val="20"/>
                <w:szCs w:val="20"/>
                <w:lang w:eastAsia="pl-PL"/>
              </w:rPr>
              <w:t xml:space="preserve"> Żywic KN i Mieszalnika 2.</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42A1A70F" w14:textId="77777777" w:rsidR="00E02F30" w:rsidRPr="00E02F30" w:rsidRDefault="00E02F30" w:rsidP="00E02F30">
            <w:pPr>
              <w:keepNext/>
              <w:spacing w:after="0" w:line="276" w:lineRule="auto"/>
              <w:ind w:firstLine="73"/>
              <w:jc w:val="center"/>
              <w:rPr>
                <w:rFonts w:eastAsia="Times New Roman" w:cs="Arial"/>
                <w:b/>
                <w:sz w:val="20"/>
                <w:szCs w:val="20"/>
                <w:lang w:eastAsia="pl-PL"/>
              </w:rPr>
            </w:pPr>
            <w:r w:rsidRPr="00E02F30">
              <w:rPr>
                <w:rFonts w:eastAsia="Times New Roman" w:cs="Arial"/>
                <w:b/>
                <w:sz w:val="20"/>
                <w:szCs w:val="20"/>
                <w:lang w:eastAsia="pl-PL"/>
              </w:rPr>
              <w:t>E-8/Z</w:t>
            </w:r>
          </w:p>
        </w:tc>
        <w:tc>
          <w:tcPr>
            <w:tcW w:w="461" w:type="pct"/>
            <w:tcBorders>
              <w:top w:val="single" w:sz="8" w:space="0" w:color="auto"/>
              <w:left w:val="single" w:sz="8" w:space="0" w:color="auto"/>
              <w:bottom w:val="single" w:sz="8" w:space="0" w:color="auto"/>
              <w:right w:val="single" w:sz="8" w:space="0" w:color="auto"/>
            </w:tcBorders>
            <w:shd w:val="clear" w:color="auto" w:fill="FFFFFF"/>
            <w:vAlign w:val="center"/>
          </w:tcPr>
          <w:p w14:paraId="4E92BC1F"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11,0</w:t>
            </w:r>
          </w:p>
        </w:tc>
        <w:tc>
          <w:tcPr>
            <w:tcW w:w="537" w:type="pct"/>
            <w:tcBorders>
              <w:top w:val="single" w:sz="8" w:space="0" w:color="auto"/>
              <w:left w:val="single" w:sz="8" w:space="0" w:color="auto"/>
              <w:bottom w:val="single" w:sz="8" w:space="0" w:color="auto"/>
              <w:right w:val="single" w:sz="8" w:space="0" w:color="auto"/>
            </w:tcBorders>
            <w:shd w:val="clear" w:color="auto" w:fill="FFFFFF"/>
            <w:vAlign w:val="center"/>
          </w:tcPr>
          <w:p w14:paraId="6E47CAA6" w14:textId="77777777" w:rsidR="00E02F30" w:rsidRPr="00E02F30" w:rsidRDefault="00E02F30" w:rsidP="00E02F30">
            <w:pPr>
              <w:keepNext/>
              <w:spacing w:after="0" w:line="276" w:lineRule="auto"/>
              <w:ind w:hanging="16"/>
              <w:jc w:val="center"/>
              <w:rPr>
                <w:rFonts w:eastAsia="Times New Roman" w:cs="Arial"/>
                <w:sz w:val="20"/>
                <w:szCs w:val="20"/>
                <w:lang w:eastAsia="pl-PL"/>
              </w:rPr>
            </w:pPr>
            <w:r w:rsidRPr="00E02F30">
              <w:rPr>
                <w:rFonts w:eastAsia="Times New Roman" w:cs="Arial"/>
                <w:sz w:val="20"/>
                <w:szCs w:val="20"/>
                <w:lang w:eastAsia="pl-PL"/>
              </w:rPr>
              <w:t>0,50</w:t>
            </w:r>
          </w:p>
        </w:tc>
        <w:tc>
          <w:tcPr>
            <w:tcW w:w="616" w:type="pct"/>
            <w:tcBorders>
              <w:top w:val="single" w:sz="8" w:space="0" w:color="auto"/>
              <w:left w:val="single" w:sz="8" w:space="0" w:color="auto"/>
              <w:bottom w:val="single" w:sz="8" w:space="0" w:color="auto"/>
              <w:right w:val="single" w:sz="8" w:space="0" w:color="auto"/>
            </w:tcBorders>
            <w:shd w:val="clear" w:color="auto" w:fill="FFFFFF"/>
            <w:vAlign w:val="center"/>
          </w:tcPr>
          <w:p w14:paraId="533636E4"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8,3</w:t>
            </w:r>
          </w:p>
        </w:tc>
        <w:tc>
          <w:tcPr>
            <w:tcW w:w="614" w:type="pct"/>
            <w:tcBorders>
              <w:top w:val="single" w:sz="8" w:space="0" w:color="auto"/>
              <w:left w:val="single" w:sz="8" w:space="0" w:color="auto"/>
              <w:bottom w:val="single" w:sz="8" w:space="0" w:color="auto"/>
              <w:right w:val="single" w:sz="8" w:space="0" w:color="auto"/>
            </w:tcBorders>
            <w:shd w:val="clear" w:color="auto" w:fill="FFFFFF"/>
            <w:vAlign w:val="center"/>
          </w:tcPr>
          <w:p w14:paraId="61E4BAF1" w14:textId="77777777" w:rsidR="00E02F30" w:rsidRPr="00E02F30" w:rsidRDefault="00E02F30" w:rsidP="00E02F30">
            <w:pPr>
              <w:keepNext/>
              <w:spacing w:before="60" w:after="60" w:line="276" w:lineRule="auto"/>
              <w:jc w:val="center"/>
              <w:rPr>
                <w:rFonts w:eastAsia="Times New Roman" w:cs="Arial"/>
                <w:sz w:val="20"/>
                <w:szCs w:val="20"/>
                <w:lang w:eastAsia="pl-PL"/>
              </w:rPr>
            </w:pPr>
            <w:r w:rsidRPr="00E02F30">
              <w:rPr>
                <w:rFonts w:eastAsia="Times New Roman" w:cs="Arial"/>
                <w:sz w:val="20"/>
                <w:szCs w:val="20"/>
                <w:lang w:eastAsia="pl-PL"/>
              </w:rPr>
              <w:t>278÷303</w:t>
            </w:r>
          </w:p>
        </w:tc>
        <w:tc>
          <w:tcPr>
            <w:tcW w:w="701" w:type="pct"/>
            <w:tcBorders>
              <w:top w:val="single" w:sz="8" w:space="0" w:color="auto"/>
              <w:left w:val="single" w:sz="8" w:space="0" w:color="auto"/>
              <w:bottom w:val="single" w:sz="8" w:space="0" w:color="auto"/>
              <w:right w:val="single" w:sz="8" w:space="0" w:color="auto"/>
            </w:tcBorders>
            <w:shd w:val="clear" w:color="auto" w:fill="FFFFFF"/>
            <w:vAlign w:val="center"/>
          </w:tcPr>
          <w:p w14:paraId="1EE4A1E5"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7600</w:t>
            </w:r>
          </w:p>
        </w:tc>
      </w:tr>
      <w:tr w:rsidR="00E02F30" w:rsidRPr="00E02F30" w14:paraId="4AA3C1B5" w14:textId="77777777" w:rsidTr="00A1631B">
        <w:trPr>
          <w:trHeight w:val="639"/>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224082A3" w14:textId="77777777" w:rsidR="00E02F30" w:rsidRPr="00E02F30" w:rsidRDefault="00E02F30" w:rsidP="00E02F30">
            <w:pPr>
              <w:suppressAutoHyphens/>
              <w:spacing w:before="60" w:after="0" w:line="276" w:lineRule="auto"/>
              <w:ind w:firstLine="142"/>
              <w:contextualSpacing/>
              <w:jc w:val="center"/>
              <w:rPr>
                <w:rFonts w:eastAsia="Times New Roman" w:cs="Arial"/>
                <w:b/>
                <w:sz w:val="21"/>
                <w:szCs w:val="21"/>
                <w:lang w:eastAsia="pl-PL"/>
              </w:rPr>
            </w:pPr>
            <w:r w:rsidRPr="00E02F30">
              <w:rPr>
                <w:rFonts w:eastAsia="Times New Roman" w:cs="Arial"/>
                <w:b/>
                <w:sz w:val="21"/>
                <w:szCs w:val="21"/>
                <w:lang w:eastAsia="pl-PL"/>
              </w:rPr>
              <w:t>9.</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1FE07CDC" w14:textId="77777777" w:rsidR="00E02F30" w:rsidRPr="00E02F30" w:rsidRDefault="00E02F30" w:rsidP="00E02F30">
            <w:pPr>
              <w:keepNext/>
              <w:spacing w:after="0" w:line="276" w:lineRule="auto"/>
              <w:ind w:hanging="91"/>
              <w:rPr>
                <w:rFonts w:eastAsia="Times New Roman" w:cs="Arial"/>
                <w:sz w:val="20"/>
                <w:szCs w:val="20"/>
                <w:lang w:eastAsia="pl-PL"/>
              </w:rPr>
            </w:pPr>
            <w:r w:rsidRPr="00E02F30">
              <w:rPr>
                <w:rFonts w:eastAsia="Times New Roman" w:cs="Arial"/>
                <w:sz w:val="20"/>
                <w:szCs w:val="20"/>
                <w:lang w:eastAsia="pl-PL"/>
              </w:rPr>
              <w:t>Linia ob. 501. Wentylacja mechaniczna (ogólna) od strony południowej.</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0222CF01" w14:textId="77777777" w:rsidR="00E02F30" w:rsidRPr="00E02F30" w:rsidRDefault="00E02F30" w:rsidP="00E02F30">
            <w:pPr>
              <w:keepNext/>
              <w:spacing w:after="0" w:line="276" w:lineRule="auto"/>
              <w:ind w:firstLine="73"/>
              <w:jc w:val="center"/>
              <w:rPr>
                <w:rFonts w:eastAsia="Times New Roman" w:cs="Arial"/>
                <w:b/>
                <w:sz w:val="20"/>
                <w:szCs w:val="20"/>
                <w:lang w:eastAsia="pl-PL"/>
              </w:rPr>
            </w:pPr>
            <w:r w:rsidRPr="00E02F30">
              <w:rPr>
                <w:rFonts w:eastAsia="Times New Roman" w:cs="Arial"/>
                <w:b/>
                <w:sz w:val="20"/>
                <w:szCs w:val="20"/>
                <w:lang w:eastAsia="pl-PL"/>
              </w:rPr>
              <w:t>E-9/Z</w:t>
            </w:r>
          </w:p>
        </w:tc>
        <w:tc>
          <w:tcPr>
            <w:tcW w:w="461" w:type="pct"/>
            <w:tcBorders>
              <w:top w:val="single" w:sz="8" w:space="0" w:color="auto"/>
              <w:left w:val="single" w:sz="8" w:space="0" w:color="auto"/>
              <w:bottom w:val="single" w:sz="8" w:space="0" w:color="auto"/>
              <w:right w:val="single" w:sz="8" w:space="0" w:color="auto"/>
            </w:tcBorders>
            <w:shd w:val="clear" w:color="auto" w:fill="FFFFFF"/>
            <w:vAlign w:val="center"/>
          </w:tcPr>
          <w:p w14:paraId="0C6C0CFE"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11,0</w:t>
            </w:r>
          </w:p>
        </w:tc>
        <w:tc>
          <w:tcPr>
            <w:tcW w:w="537" w:type="pct"/>
            <w:tcBorders>
              <w:top w:val="single" w:sz="8" w:space="0" w:color="auto"/>
              <w:left w:val="single" w:sz="8" w:space="0" w:color="auto"/>
              <w:bottom w:val="single" w:sz="8" w:space="0" w:color="auto"/>
              <w:right w:val="single" w:sz="8" w:space="0" w:color="auto"/>
            </w:tcBorders>
            <w:shd w:val="clear" w:color="auto" w:fill="FFFFFF"/>
            <w:vAlign w:val="center"/>
          </w:tcPr>
          <w:p w14:paraId="283B2586" w14:textId="77777777" w:rsidR="00E02F30" w:rsidRPr="00E02F30" w:rsidRDefault="00E02F30" w:rsidP="00E02F30">
            <w:pPr>
              <w:keepNext/>
              <w:spacing w:after="0" w:line="276" w:lineRule="auto"/>
              <w:ind w:hanging="16"/>
              <w:jc w:val="center"/>
              <w:rPr>
                <w:rFonts w:eastAsia="Times New Roman" w:cs="Arial"/>
                <w:sz w:val="20"/>
                <w:szCs w:val="20"/>
                <w:lang w:eastAsia="pl-PL"/>
              </w:rPr>
            </w:pPr>
            <w:r w:rsidRPr="00E02F30">
              <w:rPr>
                <w:rFonts w:eastAsia="Times New Roman" w:cs="Arial"/>
                <w:sz w:val="20"/>
                <w:szCs w:val="20"/>
                <w:lang w:eastAsia="pl-PL"/>
              </w:rPr>
              <w:t>0,70</w:t>
            </w:r>
          </w:p>
        </w:tc>
        <w:tc>
          <w:tcPr>
            <w:tcW w:w="616" w:type="pct"/>
            <w:tcBorders>
              <w:top w:val="single" w:sz="8" w:space="0" w:color="auto"/>
              <w:left w:val="single" w:sz="8" w:space="0" w:color="auto"/>
              <w:bottom w:val="single" w:sz="8" w:space="0" w:color="auto"/>
              <w:right w:val="single" w:sz="8" w:space="0" w:color="auto"/>
            </w:tcBorders>
            <w:shd w:val="clear" w:color="auto" w:fill="FFFFFF"/>
            <w:vAlign w:val="center"/>
          </w:tcPr>
          <w:p w14:paraId="001B4776"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4,9</w:t>
            </w:r>
          </w:p>
        </w:tc>
        <w:tc>
          <w:tcPr>
            <w:tcW w:w="614" w:type="pct"/>
            <w:tcBorders>
              <w:top w:val="single" w:sz="8" w:space="0" w:color="auto"/>
              <w:left w:val="single" w:sz="8" w:space="0" w:color="auto"/>
              <w:bottom w:val="single" w:sz="8" w:space="0" w:color="auto"/>
              <w:right w:val="single" w:sz="8" w:space="0" w:color="auto"/>
            </w:tcBorders>
            <w:shd w:val="clear" w:color="auto" w:fill="FFFFFF"/>
            <w:vAlign w:val="center"/>
          </w:tcPr>
          <w:p w14:paraId="31913087" w14:textId="77777777" w:rsidR="00E02F30" w:rsidRPr="00E02F30" w:rsidRDefault="00E02F30" w:rsidP="00E02F30">
            <w:pPr>
              <w:keepNext/>
              <w:spacing w:before="60" w:after="60" w:line="276" w:lineRule="auto"/>
              <w:jc w:val="center"/>
              <w:rPr>
                <w:rFonts w:eastAsia="Times New Roman" w:cs="Arial"/>
                <w:sz w:val="20"/>
                <w:szCs w:val="20"/>
                <w:lang w:eastAsia="pl-PL"/>
              </w:rPr>
            </w:pPr>
            <w:r w:rsidRPr="00E02F30">
              <w:rPr>
                <w:rFonts w:eastAsia="Times New Roman" w:cs="Arial"/>
                <w:sz w:val="20"/>
                <w:szCs w:val="20"/>
                <w:lang w:eastAsia="pl-PL"/>
              </w:rPr>
              <w:t>278÷303</w:t>
            </w:r>
          </w:p>
        </w:tc>
        <w:tc>
          <w:tcPr>
            <w:tcW w:w="701" w:type="pct"/>
            <w:tcBorders>
              <w:top w:val="single" w:sz="8" w:space="0" w:color="auto"/>
              <w:left w:val="single" w:sz="8" w:space="0" w:color="auto"/>
              <w:bottom w:val="single" w:sz="8" w:space="0" w:color="auto"/>
              <w:right w:val="single" w:sz="8" w:space="0" w:color="auto"/>
            </w:tcBorders>
            <w:shd w:val="clear" w:color="auto" w:fill="FFFFFF"/>
            <w:vAlign w:val="center"/>
          </w:tcPr>
          <w:p w14:paraId="29FF8526" w14:textId="77777777" w:rsidR="00E02F30" w:rsidRPr="00E02F30" w:rsidRDefault="00E02F30" w:rsidP="00E02F30">
            <w:pPr>
              <w:keepNext/>
              <w:spacing w:after="0" w:line="276" w:lineRule="auto"/>
              <w:jc w:val="center"/>
              <w:rPr>
                <w:rFonts w:eastAsia="Times New Roman" w:cs="Arial"/>
                <w:sz w:val="20"/>
                <w:szCs w:val="20"/>
                <w:lang w:eastAsia="pl-PL"/>
              </w:rPr>
            </w:pPr>
            <w:r w:rsidRPr="00E02F30">
              <w:rPr>
                <w:rFonts w:eastAsia="Times New Roman" w:cs="Arial"/>
                <w:sz w:val="20"/>
                <w:szCs w:val="20"/>
                <w:lang w:eastAsia="pl-PL"/>
              </w:rPr>
              <w:t>7600</w:t>
            </w:r>
          </w:p>
        </w:tc>
      </w:tr>
    </w:tbl>
    <w:p w14:paraId="074B161C" w14:textId="77777777" w:rsidR="00E02F30" w:rsidRPr="00E02F30" w:rsidRDefault="00E02F30" w:rsidP="00E02F30">
      <w:pPr>
        <w:keepNext/>
        <w:spacing w:before="60" w:after="120" w:line="276" w:lineRule="auto"/>
        <w:jc w:val="both"/>
        <w:rPr>
          <w:rFonts w:eastAsia="Times New Roman" w:cs="Arial"/>
          <w:sz w:val="20"/>
          <w:szCs w:val="24"/>
          <w:lang w:val="x-none" w:eastAsia="pl-PL"/>
        </w:rPr>
      </w:pPr>
      <w:r w:rsidRPr="00E02F30">
        <w:rPr>
          <w:rFonts w:eastAsia="Times New Roman" w:cs="Arial"/>
          <w:sz w:val="20"/>
          <w:szCs w:val="24"/>
          <w:lang w:val="x-none" w:eastAsia="pl-PL"/>
        </w:rPr>
        <w:t>*parametr informacyjny uwzględniony przy obliczeniach rozprzestrzeniania się zanieczyszczeń</w:t>
      </w:r>
    </w:p>
    <w:p w14:paraId="669BE7C4" w14:textId="77777777" w:rsidR="00E02F30" w:rsidRPr="00E02F30" w:rsidRDefault="00E02F30" w:rsidP="00E02F30">
      <w:pPr>
        <w:keepNext/>
        <w:widowControl w:val="0"/>
        <w:adjustRightInd w:val="0"/>
        <w:spacing w:after="0" w:line="276" w:lineRule="auto"/>
        <w:ind w:left="864" w:hanging="864"/>
        <w:textAlignment w:val="baseline"/>
        <w:outlineLvl w:val="3"/>
        <w:rPr>
          <w:rFonts w:eastAsia="Times New Roman" w:cs="Times New Roman"/>
          <w:b/>
          <w:szCs w:val="20"/>
          <w:lang w:eastAsia="pl-PL"/>
        </w:rPr>
      </w:pPr>
      <w:r w:rsidRPr="00E02F30">
        <w:rPr>
          <w:rFonts w:eastAsia="Times New Roman" w:cs="Times New Roman"/>
          <w:b/>
          <w:szCs w:val="20"/>
          <w:lang w:eastAsia="pl-PL"/>
        </w:rPr>
        <w:t>IV.1.2. Charakterystyka techniczna stosowanych urządzeń ochrony powietrza</w:t>
      </w:r>
    </w:p>
    <w:p w14:paraId="061741DE" w14:textId="77777777" w:rsidR="00E02F30" w:rsidRPr="00E02F30" w:rsidRDefault="00E02F30" w:rsidP="00E02F30">
      <w:pPr>
        <w:widowControl w:val="0"/>
        <w:spacing w:after="0" w:line="276" w:lineRule="auto"/>
        <w:ind w:left="14"/>
        <w:contextualSpacing/>
        <w:jc w:val="both"/>
        <w:rPr>
          <w:rFonts w:eastAsia="Times New Roman" w:cs="Times New Roman"/>
          <w:szCs w:val="24"/>
          <w:lang w:eastAsia="pl-PL"/>
        </w:rPr>
      </w:pPr>
      <w:r w:rsidRPr="00E02F30">
        <w:rPr>
          <w:rFonts w:eastAsia="Times New Roman" w:cs="Times New Roman"/>
          <w:b/>
          <w:szCs w:val="24"/>
          <w:lang w:val="x-none" w:eastAsia="pl-PL"/>
        </w:rPr>
        <w:t>IV.1.</w:t>
      </w:r>
      <w:r w:rsidRPr="00E02F30">
        <w:rPr>
          <w:rFonts w:eastAsia="Times New Roman" w:cs="Times New Roman"/>
          <w:b/>
          <w:szCs w:val="24"/>
          <w:lang w:eastAsia="pl-PL"/>
        </w:rPr>
        <w:t>2</w:t>
      </w:r>
      <w:r w:rsidRPr="00E02F30">
        <w:rPr>
          <w:rFonts w:eastAsia="Times New Roman" w:cs="Times New Roman"/>
          <w:b/>
          <w:szCs w:val="24"/>
          <w:lang w:val="x-none" w:eastAsia="pl-PL"/>
        </w:rPr>
        <w:t xml:space="preserve">.1. </w:t>
      </w:r>
      <w:r w:rsidRPr="00E02F30">
        <w:rPr>
          <w:rFonts w:eastAsia="Times New Roman" w:cs="Times New Roman"/>
          <w:szCs w:val="24"/>
          <w:lang w:val="x-none" w:eastAsia="pl-PL"/>
        </w:rPr>
        <w:t>Środki techniczne ograniczające emisję substancji zanieczyszczających do powietrza</w:t>
      </w:r>
      <w:r w:rsidRPr="00E02F30">
        <w:rPr>
          <w:rFonts w:eastAsia="Times New Roman" w:cs="Times New Roman"/>
          <w:szCs w:val="24"/>
          <w:lang w:eastAsia="pl-PL"/>
        </w:rPr>
        <w:t xml:space="preserve"> </w:t>
      </w:r>
    </w:p>
    <w:p w14:paraId="45469832" w14:textId="77777777" w:rsidR="00E02F30" w:rsidRPr="00E02F30" w:rsidRDefault="00E02F30" w:rsidP="00E02F30">
      <w:pPr>
        <w:keepNext/>
        <w:widowControl w:val="0"/>
        <w:adjustRightInd w:val="0"/>
        <w:spacing w:after="0" w:line="276" w:lineRule="auto"/>
        <w:textAlignment w:val="baseline"/>
        <w:outlineLvl w:val="4"/>
        <w:rPr>
          <w:rFonts w:eastAsia="Times New Roman" w:cs="Times New Roman"/>
          <w:szCs w:val="20"/>
          <w:lang w:eastAsia="pl-PL"/>
        </w:rPr>
      </w:pPr>
      <w:r w:rsidRPr="00E02F30">
        <w:rPr>
          <w:rFonts w:eastAsia="Times New Roman" w:cs="Times New Roman"/>
          <w:szCs w:val="20"/>
          <w:lang w:eastAsia="pl-PL"/>
        </w:rPr>
        <w:t>Tabela nr 6</w:t>
      </w: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1E0" w:firstRow="1" w:lastRow="1" w:firstColumn="1" w:lastColumn="1" w:noHBand="0" w:noVBand="0"/>
        <w:tblDescription w:val="W tabeli wskazane jest 3 emitory, podane jest źródło emisji oraz środki techniczne urządzenia oczyszczajacego. Podana jest także redukcja w procentach, która wynosi 98-99,9 procent."/>
      </w:tblPr>
      <w:tblGrid>
        <w:gridCol w:w="675"/>
        <w:gridCol w:w="1016"/>
        <w:gridCol w:w="3095"/>
        <w:gridCol w:w="3544"/>
        <w:gridCol w:w="1016"/>
      </w:tblGrid>
      <w:tr w:rsidR="00E02F30" w:rsidRPr="00E02F30" w14:paraId="0641FAE2" w14:textId="77777777" w:rsidTr="00A1631B">
        <w:trPr>
          <w:trHeight w:val="283"/>
        </w:trPr>
        <w:tc>
          <w:tcPr>
            <w:tcW w:w="675" w:type="dxa"/>
            <w:shd w:val="clear" w:color="auto" w:fill="FFFFFF"/>
          </w:tcPr>
          <w:p w14:paraId="404998FF"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Lp.</w:t>
            </w:r>
          </w:p>
        </w:tc>
        <w:tc>
          <w:tcPr>
            <w:tcW w:w="1016" w:type="dxa"/>
            <w:shd w:val="clear" w:color="auto" w:fill="FFFFFF"/>
            <w:vAlign w:val="center"/>
          </w:tcPr>
          <w:p w14:paraId="627F3884"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Emitor</w:t>
            </w:r>
          </w:p>
        </w:tc>
        <w:tc>
          <w:tcPr>
            <w:tcW w:w="3095" w:type="dxa"/>
            <w:shd w:val="clear" w:color="auto" w:fill="FFFFFF"/>
            <w:vAlign w:val="center"/>
          </w:tcPr>
          <w:p w14:paraId="45A7FD8A" w14:textId="77777777" w:rsidR="00E02F30" w:rsidRPr="00E02F30" w:rsidRDefault="00E02F30" w:rsidP="00E02F30">
            <w:pPr>
              <w:spacing w:after="0" w:line="276" w:lineRule="auto"/>
              <w:ind w:hanging="193"/>
              <w:jc w:val="center"/>
              <w:rPr>
                <w:rFonts w:eastAsia="Times New Roman" w:cs="Arial"/>
                <w:b/>
                <w:sz w:val="20"/>
                <w:szCs w:val="20"/>
                <w:lang w:eastAsia="pl-PL"/>
              </w:rPr>
            </w:pPr>
            <w:r w:rsidRPr="00E02F30">
              <w:rPr>
                <w:rFonts w:eastAsia="Times New Roman" w:cs="Arial"/>
                <w:b/>
                <w:sz w:val="20"/>
                <w:szCs w:val="20"/>
                <w:lang w:eastAsia="pl-PL"/>
              </w:rPr>
              <w:t>Źródło emisji</w:t>
            </w:r>
          </w:p>
        </w:tc>
        <w:tc>
          <w:tcPr>
            <w:tcW w:w="3544" w:type="dxa"/>
            <w:shd w:val="clear" w:color="auto" w:fill="FFFFFF"/>
            <w:vAlign w:val="center"/>
          </w:tcPr>
          <w:p w14:paraId="58B66BF3"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Środki techniczne – urządzenia oczyszczające</w:t>
            </w:r>
          </w:p>
        </w:tc>
        <w:tc>
          <w:tcPr>
            <w:tcW w:w="1016" w:type="dxa"/>
            <w:shd w:val="clear" w:color="auto" w:fill="FFFFFF"/>
          </w:tcPr>
          <w:p w14:paraId="69583ACB"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Redukcja</w:t>
            </w:r>
          </w:p>
          <w:p w14:paraId="78D45EB3"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sz w:val="20"/>
                <w:szCs w:val="20"/>
                <w:lang w:eastAsia="pl-PL"/>
              </w:rPr>
              <w:t>[</w:t>
            </w:r>
            <w:r w:rsidRPr="00E02F30">
              <w:rPr>
                <w:rFonts w:eastAsia="Times New Roman" w:cs="Arial"/>
                <w:b/>
                <w:sz w:val="20"/>
                <w:szCs w:val="20"/>
                <w:lang w:eastAsia="pl-PL"/>
              </w:rPr>
              <w:t>%</w:t>
            </w:r>
            <w:r w:rsidRPr="00E02F30">
              <w:rPr>
                <w:rFonts w:eastAsia="Times New Roman" w:cs="Arial"/>
                <w:sz w:val="20"/>
                <w:szCs w:val="20"/>
                <w:lang w:eastAsia="pl-PL"/>
              </w:rPr>
              <w:t>]</w:t>
            </w:r>
          </w:p>
        </w:tc>
      </w:tr>
      <w:tr w:rsidR="00E02F30" w:rsidRPr="00E02F30" w14:paraId="08B6C4AB" w14:textId="77777777" w:rsidTr="00A1631B">
        <w:trPr>
          <w:trHeight w:val="283"/>
        </w:trPr>
        <w:tc>
          <w:tcPr>
            <w:tcW w:w="9346" w:type="dxa"/>
            <w:gridSpan w:val="5"/>
            <w:shd w:val="clear" w:color="auto" w:fill="FFFFFF"/>
          </w:tcPr>
          <w:p w14:paraId="2C425B56" w14:textId="77777777" w:rsidR="00E02F30" w:rsidRPr="00E02F30" w:rsidRDefault="00E02F30" w:rsidP="00E02F30">
            <w:pPr>
              <w:spacing w:before="120" w:after="120" w:line="276" w:lineRule="auto"/>
              <w:ind w:firstLine="709"/>
              <w:jc w:val="center"/>
              <w:rPr>
                <w:rFonts w:eastAsia="Times New Roman" w:cs="Arial"/>
                <w:b/>
                <w:sz w:val="20"/>
                <w:szCs w:val="20"/>
                <w:lang w:eastAsia="pl-PL"/>
              </w:rPr>
            </w:pPr>
            <w:r w:rsidRPr="00E02F30">
              <w:rPr>
                <w:rFonts w:eastAsia="Times New Roman" w:cs="Arial"/>
                <w:b/>
                <w:sz w:val="20"/>
                <w:szCs w:val="20"/>
                <w:lang w:eastAsia="pl-PL"/>
              </w:rPr>
              <w:t>Instalacja nienasyconych żywic poliestrowych (Z)</w:t>
            </w:r>
          </w:p>
        </w:tc>
      </w:tr>
      <w:tr w:rsidR="00E02F30" w:rsidRPr="00E02F30" w14:paraId="3792F7A6" w14:textId="77777777" w:rsidTr="00A1631B">
        <w:trPr>
          <w:trHeight w:val="283"/>
        </w:trPr>
        <w:tc>
          <w:tcPr>
            <w:tcW w:w="675" w:type="dxa"/>
            <w:shd w:val="clear" w:color="auto" w:fill="FFFFFF"/>
          </w:tcPr>
          <w:p w14:paraId="66A3801A"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1.</w:t>
            </w:r>
          </w:p>
        </w:tc>
        <w:tc>
          <w:tcPr>
            <w:tcW w:w="1016" w:type="dxa"/>
            <w:shd w:val="clear" w:color="auto" w:fill="FFFFFF"/>
            <w:vAlign w:val="center"/>
          </w:tcPr>
          <w:p w14:paraId="29765730" w14:textId="77777777" w:rsidR="00E02F30" w:rsidRPr="00E02F30" w:rsidRDefault="00E02F30" w:rsidP="00E02F30">
            <w:pPr>
              <w:spacing w:after="0" w:line="276" w:lineRule="auto"/>
              <w:ind w:firstLine="709"/>
              <w:jc w:val="both"/>
              <w:rPr>
                <w:rFonts w:eastAsia="Times New Roman" w:cs="Arial"/>
                <w:sz w:val="20"/>
                <w:szCs w:val="20"/>
                <w:lang w:eastAsia="pl-PL"/>
              </w:rPr>
            </w:pPr>
          </w:p>
          <w:p w14:paraId="3BFB9BF0" w14:textId="77777777" w:rsidR="00E02F30" w:rsidRPr="00E02F30" w:rsidRDefault="00E02F30" w:rsidP="00E02F30">
            <w:pPr>
              <w:spacing w:after="0" w:line="276" w:lineRule="auto"/>
              <w:ind w:firstLine="709"/>
              <w:jc w:val="both"/>
              <w:rPr>
                <w:rFonts w:eastAsia="Times New Roman" w:cs="Arial"/>
                <w:sz w:val="20"/>
                <w:szCs w:val="20"/>
                <w:lang w:eastAsia="pl-PL"/>
              </w:rPr>
            </w:pPr>
          </w:p>
          <w:p w14:paraId="3E9A1550"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E-1/Z</w:t>
            </w:r>
          </w:p>
        </w:tc>
        <w:tc>
          <w:tcPr>
            <w:tcW w:w="3095" w:type="dxa"/>
            <w:shd w:val="clear" w:color="auto" w:fill="FFFFFF"/>
            <w:vAlign w:val="center"/>
          </w:tcPr>
          <w:p w14:paraId="383070B6"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Kondensacja, dozowanie surowców sypkich, linia ob. 524 i 524a. Wentylacja mechaniczna z hermetyzacji kwaśnej.</w:t>
            </w:r>
          </w:p>
        </w:tc>
        <w:tc>
          <w:tcPr>
            <w:tcW w:w="3544" w:type="dxa"/>
            <w:shd w:val="clear" w:color="auto" w:fill="FFFFFF"/>
            <w:vAlign w:val="center"/>
          </w:tcPr>
          <w:p w14:paraId="3560B702"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 xml:space="preserve">Oddzielanie substancji pylistych w cyklonie i/lub na filtrach workowych. Absorpcja resztek substancji pylistych </w:t>
            </w:r>
            <w:r w:rsidRPr="00E02F30">
              <w:rPr>
                <w:rFonts w:eastAsia="Times New Roman" w:cs="Arial"/>
                <w:sz w:val="20"/>
                <w:szCs w:val="20"/>
                <w:lang w:eastAsia="pl-PL"/>
              </w:rPr>
              <w:br/>
              <w:t>i innych w hydrocyklonie</w:t>
            </w:r>
          </w:p>
        </w:tc>
        <w:tc>
          <w:tcPr>
            <w:tcW w:w="1016" w:type="dxa"/>
            <w:shd w:val="clear" w:color="auto" w:fill="FFFFFF"/>
            <w:vAlign w:val="center"/>
          </w:tcPr>
          <w:p w14:paraId="5A5986BD"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98</w:t>
            </w:r>
          </w:p>
        </w:tc>
      </w:tr>
      <w:tr w:rsidR="00E02F30" w:rsidRPr="00E02F30" w14:paraId="4C0C35A6" w14:textId="77777777" w:rsidTr="00A1631B">
        <w:trPr>
          <w:trHeight w:val="283"/>
        </w:trPr>
        <w:tc>
          <w:tcPr>
            <w:tcW w:w="675" w:type="dxa"/>
            <w:shd w:val="clear" w:color="auto" w:fill="FFFFFF"/>
          </w:tcPr>
          <w:p w14:paraId="1C335FDE"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2.</w:t>
            </w:r>
          </w:p>
        </w:tc>
        <w:tc>
          <w:tcPr>
            <w:tcW w:w="1016" w:type="dxa"/>
            <w:shd w:val="clear" w:color="auto" w:fill="FFFFFF"/>
            <w:vAlign w:val="center"/>
          </w:tcPr>
          <w:p w14:paraId="79F182D7" w14:textId="77777777" w:rsidR="00E02F30" w:rsidRPr="00E02F30" w:rsidRDefault="00E02F30" w:rsidP="00E02F30">
            <w:pPr>
              <w:spacing w:after="0" w:line="276" w:lineRule="auto"/>
              <w:jc w:val="both"/>
              <w:rPr>
                <w:rFonts w:eastAsia="Times New Roman" w:cs="Arial"/>
                <w:b/>
                <w:sz w:val="20"/>
                <w:szCs w:val="20"/>
                <w:lang w:eastAsia="pl-PL"/>
              </w:rPr>
            </w:pPr>
          </w:p>
          <w:p w14:paraId="41355EFA" w14:textId="77777777" w:rsidR="00E02F30" w:rsidRPr="00E02F30" w:rsidRDefault="00E02F30" w:rsidP="00E02F30">
            <w:pPr>
              <w:spacing w:after="0" w:line="276" w:lineRule="auto"/>
              <w:jc w:val="both"/>
              <w:rPr>
                <w:rFonts w:eastAsia="Times New Roman" w:cs="Arial"/>
                <w:b/>
                <w:sz w:val="20"/>
                <w:szCs w:val="20"/>
                <w:lang w:eastAsia="pl-PL"/>
              </w:rPr>
            </w:pPr>
          </w:p>
          <w:p w14:paraId="378973D0" w14:textId="77777777" w:rsidR="00E02F30" w:rsidRPr="00E02F30" w:rsidRDefault="00E02F30" w:rsidP="00E02F30">
            <w:pPr>
              <w:spacing w:after="0" w:line="276" w:lineRule="auto"/>
              <w:jc w:val="both"/>
              <w:rPr>
                <w:rFonts w:eastAsia="Times New Roman" w:cs="Arial"/>
                <w:b/>
                <w:sz w:val="20"/>
                <w:szCs w:val="20"/>
                <w:highlight w:val="red"/>
                <w:lang w:eastAsia="pl-PL"/>
              </w:rPr>
            </w:pPr>
            <w:r w:rsidRPr="00E02F30">
              <w:rPr>
                <w:rFonts w:eastAsia="Times New Roman" w:cs="Arial"/>
                <w:b/>
                <w:sz w:val="20"/>
                <w:szCs w:val="20"/>
                <w:lang w:eastAsia="pl-PL"/>
              </w:rPr>
              <w:t>E-2/Z</w:t>
            </w:r>
          </w:p>
        </w:tc>
        <w:tc>
          <w:tcPr>
            <w:tcW w:w="3095" w:type="dxa"/>
            <w:shd w:val="clear" w:color="auto" w:fill="FFFFFF"/>
            <w:vAlign w:val="center"/>
          </w:tcPr>
          <w:p w14:paraId="2F2CC7FB" w14:textId="77777777" w:rsidR="00E02F30" w:rsidRPr="00E02F30" w:rsidRDefault="00E02F30" w:rsidP="00E02F30">
            <w:pPr>
              <w:spacing w:after="0" w:line="276" w:lineRule="auto"/>
              <w:jc w:val="both"/>
              <w:rPr>
                <w:rFonts w:eastAsia="Times New Roman" w:cs="Arial"/>
                <w:sz w:val="20"/>
                <w:szCs w:val="20"/>
                <w:highlight w:val="red"/>
                <w:lang w:eastAsia="pl-PL"/>
              </w:rPr>
            </w:pPr>
            <w:r w:rsidRPr="00E02F30">
              <w:rPr>
                <w:rFonts w:eastAsia="Times New Roman" w:cs="Arial"/>
                <w:sz w:val="20"/>
                <w:szCs w:val="20"/>
                <w:lang w:eastAsia="pl-PL"/>
              </w:rPr>
              <w:t>Urządzenia technologiczne (zbiorniki, reaktory i mieszalniki) w linii ob. 501 oraz linii ob. 524 i 524a – dopalacz termiczny komorowy typu regeneracyjnego.</w:t>
            </w:r>
          </w:p>
        </w:tc>
        <w:tc>
          <w:tcPr>
            <w:tcW w:w="3544" w:type="dxa"/>
            <w:shd w:val="clear" w:color="auto" w:fill="FFFFFF"/>
            <w:vAlign w:val="center"/>
          </w:tcPr>
          <w:p w14:paraId="6400C4B8"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 xml:space="preserve">Dopalacz termiczny komorowy typu regeneracyjnego - spalanie związków org. </w:t>
            </w:r>
            <w:r w:rsidRPr="00E02F30">
              <w:rPr>
                <w:rFonts w:eastAsia="Times New Roman" w:cs="Arial"/>
                <w:sz w:val="20"/>
                <w:szCs w:val="20"/>
                <w:lang w:eastAsia="pl-PL"/>
              </w:rPr>
              <w:br/>
              <w:t xml:space="preserve">w zanieczyszczonym powietrzu pochodzącym </w:t>
            </w:r>
            <w:r w:rsidRPr="00E02F30">
              <w:rPr>
                <w:rFonts w:eastAsia="Times New Roman" w:cs="Arial"/>
                <w:sz w:val="20"/>
                <w:szCs w:val="20"/>
                <w:lang w:eastAsia="pl-PL"/>
              </w:rPr>
              <w:br/>
              <w:t>z urządzeń technologicznych. W przypadku czasowego wyłączenia dopalacza zanieczyszczenia odprowadzane będą do atmosfery przez układ awaryjny – adsorber wypełniony węglem aktywnym.</w:t>
            </w:r>
          </w:p>
        </w:tc>
        <w:tc>
          <w:tcPr>
            <w:tcW w:w="1016" w:type="dxa"/>
            <w:shd w:val="clear" w:color="auto" w:fill="FFFFFF"/>
            <w:vAlign w:val="center"/>
          </w:tcPr>
          <w:p w14:paraId="0C87AD33"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98</w:t>
            </w:r>
          </w:p>
        </w:tc>
      </w:tr>
      <w:tr w:rsidR="00E02F30" w:rsidRPr="00E02F30" w14:paraId="11602AEC" w14:textId="77777777" w:rsidTr="00A1631B">
        <w:trPr>
          <w:trHeight w:val="283"/>
        </w:trPr>
        <w:tc>
          <w:tcPr>
            <w:tcW w:w="675" w:type="dxa"/>
            <w:shd w:val="clear" w:color="auto" w:fill="FFFFFF"/>
          </w:tcPr>
          <w:p w14:paraId="0B72FD05"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3.</w:t>
            </w:r>
          </w:p>
        </w:tc>
        <w:tc>
          <w:tcPr>
            <w:tcW w:w="1016" w:type="dxa"/>
            <w:shd w:val="clear" w:color="auto" w:fill="FFFFFF"/>
            <w:vAlign w:val="center"/>
          </w:tcPr>
          <w:p w14:paraId="556168E1"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sz w:val="20"/>
                <w:szCs w:val="20"/>
                <w:lang w:eastAsia="pl-PL"/>
              </w:rPr>
              <w:t>E-7/Z</w:t>
            </w:r>
          </w:p>
        </w:tc>
        <w:tc>
          <w:tcPr>
            <w:tcW w:w="3095" w:type="dxa"/>
            <w:shd w:val="clear" w:color="auto" w:fill="FFFFFF"/>
            <w:vAlign w:val="center"/>
          </w:tcPr>
          <w:p w14:paraId="15016532"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Linia ob. 501. Wentylacja mechaniczna z dozowania surowców.</w:t>
            </w:r>
          </w:p>
        </w:tc>
        <w:tc>
          <w:tcPr>
            <w:tcW w:w="3544" w:type="dxa"/>
            <w:shd w:val="clear" w:color="auto" w:fill="FFFFFF"/>
            <w:vAlign w:val="center"/>
          </w:tcPr>
          <w:p w14:paraId="7193E064"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 xml:space="preserve">Filtr pyłowym DFO-3-3  </w:t>
            </w:r>
          </w:p>
        </w:tc>
        <w:tc>
          <w:tcPr>
            <w:tcW w:w="1016" w:type="dxa"/>
            <w:shd w:val="clear" w:color="auto" w:fill="FFFFFF"/>
            <w:vAlign w:val="center"/>
          </w:tcPr>
          <w:p w14:paraId="51144321"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99,9</w:t>
            </w:r>
          </w:p>
        </w:tc>
      </w:tr>
    </w:tbl>
    <w:p w14:paraId="315B62B9" w14:textId="77777777" w:rsidR="00E02F30" w:rsidRPr="00E02F30" w:rsidRDefault="00E02F30" w:rsidP="00E02F30">
      <w:pPr>
        <w:keepNext/>
        <w:widowControl w:val="0"/>
        <w:adjustRightInd w:val="0"/>
        <w:spacing w:after="0" w:line="276" w:lineRule="auto"/>
        <w:textAlignment w:val="baseline"/>
        <w:outlineLvl w:val="2"/>
        <w:rPr>
          <w:rFonts w:eastAsia="Calibri" w:cs="Times New Roman"/>
          <w:b/>
          <w:szCs w:val="20"/>
        </w:rPr>
      </w:pPr>
      <w:r w:rsidRPr="00E02F30">
        <w:rPr>
          <w:rFonts w:eastAsia="Calibri" w:cs="Times New Roman"/>
          <w:b/>
          <w:szCs w:val="20"/>
        </w:rPr>
        <w:t>IV.2. Warunki poboru wód i emisji ścieków przemysłowych z instalacji</w:t>
      </w:r>
    </w:p>
    <w:p w14:paraId="19E71585" w14:textId="77777777" w:rsidR="00E02F30" w:rsidRPr="00E02F30" w:rsidRDefault="00E02F30" w:rsidP="00E02F30">
      <w:pPr>
        <w:keepNext/>
        <w:widowControl w:val="0"/>
        <w:adjustRightInd w:val="0"/>
        <w:spacing w:after="0" w:line="276" w:lineRule="auto"/>
        <w:jc w:val="both"/>
        <w:textAlignment w:val="baseline"/>
        <w:outlineLvl w:val="3"/>
        <w:rPr>
          <w:rFonts w:eastAsia="Times New Roman" w:cs="Times New Roman"/>
          <w:b/>
          <w:szCs w:val="20"/>
          <w:lang w:eastAsia="pl-PL"/>
        </w:rPr>
      </w:pPr>
      <w:r w:rsidRPr="00E02F30">
        <w:rPr>
          <w:rFonts w:eastAsia="Times New Roman" w:cs="Times New Roman"/>
          <w:b/>
          <w:szCs w:val="20"/>
          <w:lang w:eastAsia="pl-PL"/>
        </w:rPr>
        <w:t>IV.2.1. Woda dla potrzeb technologicznych, chłodniczych i bytowych instalacji będzie pobierana z zakładowej sieci wodociągowej w ilości maksymalnie:</w:t>
      </w:r>
    </w:p>
    <w:p w14:paraId="51315FA4" w14:textId="77777777" w:rsidR="00E02F30" w:rsidRPr="00E02F30" w:rsidRDefault="00E02F30" w:rsidP="00E02F30">
      <w:pPr>
        <w:keepNext/>
        <w:widowControl w:val="0"/>
        <w:adjustRightInd w:val="0"/>
        <w:spacing w:after="0" w:line="276" w:lineRule="auto"/>
        <w:textAlignment w:val="baseline"/>
        <w:outlineLvl w:val="4"/>
        <w:rPr>
          <w:rFonts w:eastAsia="Times New Roman" w:cs="Times New Roman"/>
          <w:szCs w:val="20"/>
          <w:lang w:eastAsia="pl-PL"/>
        </w:rPr>
      </w:pPr>
      <w:r w:rsidRPr="00E02F30">
        <w:rPr>
          <w:rFonts w:eastAsia="Times New Roman" w:cs="Times New Roman"/>
          <w:szCs w:val="20"/>
          <w:lang w:eastAsia="pl-PL"/>
        </w:rPr>
        <w:t>Tabela nr 7</w:t>
      </w: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Description w:val="Przedstawia ilość pobieranej wody do celów technologicznych, do celów chłodniczych oraz bytowych."/>
      </w:tblPr>
      <w:tblGrid>
        <w:gridCol w:w="2374"/>
        <w:gridCol w:w="1133"/>
        <w:gridCol w:w="1647"/>
        <w:gridCol w:w="1499"/>
        <w:gridCol w:w="1417"/>
        <w:gridCol w:w="1276"/>
      </w:tblGrid>
      <w:tr w:rsidR="00E02F30" w:rsidRPr="00E02F30" w14:paraId="645551D9" w14:textId="77777777" w:rsidTr="00A1631B">
        <w:tc>
          <w:tcPr>
            <w:tcW w:w="2374" w:type="dxa"/>
            <w:vMerge w:val="restart"/>
            <w:shd w:val="clear" w:color="auto" w:fill="auto"/>
            <w:vAlign w:val="center"/>
          </w:tcPr>
          <w:p w14:paraId="6E2EE5A0" w14:textId="77777777" w:rsidR="00E02F30" w:rsidRPr="00E02F30" w:rsidRDefault="00E02F30" w:rsidP="00E02F30">
            <w:pPr>
              <w:spacing w:after="0" w:line="276" w:lineRule="auto"/>
              <w:contextualSpacing/>
              <w:jc w:val="both"/>
              <w:rPr>
                <w:rFonts w:eastAsia="Times New Roman" w:cs="Arial"/>
                <w:sz w:val="20"/>
                <w:szCs w:val="20"/>
                <w:lang w:eastAsia="pl-PL"/>
              </w:rPr>
            </w:pPr>
            <w:r w:rsidRPr="00E02F30">
              <w:rPr>
                <w:rFonts w:eastAsia="Times New Roman" w:cs="Arial"/>
                <w:b/>
                <w:sz w:val="20"/>
                <w:szCs w:val="20"/>
                <w:lang w:eastAsia="pl-PL"/>
              </w:rPr>
              <w:t>Instalacja</w:t>
            </w:r>
          </w:p>
        </w:tc>
        <w:tc>
          <w:tcPr>
            <w:tcW w:w="2780" w:type="dxa"/>
            <w:gridSpan w:val="2"/>
            <w:shd w:val="clear" w:color="auto" w:fill="auto"/>
            <w:vAlign w:val="center"/>
          </w:tcPr>
          <w:p w14:paraId="182C1D2B" w14:textId="77777777" w:rsidR="00E02F30" w:rsidRPr="00E02F30" w:rsidRDefault="00E02F30" w:rsidP="00E02F30">
            <w:pPr>
              <w:spacing w:after="0" w:line="276" w:lineRule="auto"/>
              <w:rPr>
                <w:rFonts w:eastAsia="Times New Roman" w:cs="Arial"/>
                <w:sz w:val="20"/>
                <w:szCs w:val="20"/>
                <w:lang w:eastAsia="pl-PL"/>
              </w:rPr>
            </w:pPr>
            <w:r w:rsidRPr="00E02F30">
              <w:rPr>
                <w:rFonts w:eastAsia="Times New Roman" w:cs="Arial"/>
                <w:b/>
                <w:sz w:val="20"/>
                <w:szCs w:val="20"/>
                <w:lang w:eastAsia="pl-PL"/>
              </w:rPr>
              <w:t>do celów technologicznych</w:t>
            </w:r>
          </w:p>
        </w:tc>
        <w:tc>
          <w:tcPr>
            <w:tcW w:w="1499" w:type="dxa"/>
            <w:shd w:val="clear" w:color="auto" w:fill="auto"/>
            <w:vAlign w:val="center"/>
          </w:tcPr>
          <w:p w14:paraId="6F67BFC7" w14:textId="77777777" w:rsidR="00E02F30" w:rsidRPr="00E02F30" w:rsidRDefault="00E02F30" w:rsidP="00E02F30">
            <w:pPr>
              <w:spacing w:after="0" w:line="276" w:lineRule="auto"/>
              <w:contextualSpacing/>
              <w:rPr>
                <w:rFonts w:eastAsia="Times New Roman" w:cs="Arial"/>
                <w:sz w:val="20"/>
                <w:szCs w:val="20"/>
                <w:lang w:eastAsia="pl-PL"/>
              </w:rPr>
            </w:pPr>
            <w:r w:rsidRPr="00E02F30">
              <w:rPr>
                <w:rFonts w:eastAsia="Times New Roman" w:cs="Arial"/>
                <w:b/>
                <w:sz w:val="20"/>
                <w:szCs w:val="20"/>
                <w:lang w:eastAsia="pl-PL"/>
              </w:rPr>
              <w:t>do celów chłodniczych</w:t>
            </w:r>
          </w:p>
        </w:tc>
        <w:tc>
          <w:tcPr>
            <w:tcW w:w="2693" w:type="dxa"/>
            <w:gridSpan w:val="2"/>
          </w:tcPr>
          <w:p w14:paraId="7A35283B" w14:textId="77777777" w:rsidR="00E02F30" w:rsidRPr="00E02F30" w:rsidRDefault="00E02F30" w:rsidP="00E02F30">
            <w:pPr>
              <w:spacing w:after="0" w:line="276" w:lineRule="auto"/>
              <w:contextualSpacing/>
              <w:jc w:val="both"/>
              <w:rPr>
                <w:rFonts w:eastAsia="Times New Roman" w:cs="Arial"/>
                <w:b/>
                <w:sz w:val="20"/>
                <w:szCs w:val="20"/>
                <w:lang w:eastAsia="pl-PL"/>
              </w:rPr>
            </w:pPr>
            <w:r w:rsidRPr="00E02F30">
              <w:rPr>
                <w:rFonts w:eastAsia="Times New Roman" w:cs="Arial"/>
                <w:b/>
                <w:sz w:val="20"/>
                <w:szCs w:val="20"/>
                <w:lang w:eastAsia="pl-PL"/>
              </w:rPr>
              <w:t>do celów bytowych</w:t>
            </w:r>
          </w:p>
        </w:tc>
      </w:tr>
      <w:tr w:rsidR="00E02F30" w:rsidRPr="00E02F30" w14:paraId="4D3FD131" w14:textId="77777777" w:rsidTr="00A1631B">
        <w:tc>
          <w:tcPr>
            <w:tcW w:w="2374" w:type="dxa"/>
            <w:vMerge/>
            <w:shd w:val="clear" w:color="auto" w:fill="auto"/>
            <w:vAlign w:val="center"/>
          </w:tcPr>
          <w:p w14:paraId="3831D9C2" w14:textId="77777777" w:rsidR="00E02F30" w:rsidRPr="00E02F30" w:rsidRDefault="00E02F30" w:rsidP="00E02F30">
            <w:pPr>
              <w:spacing w:after="0" w:line="276" w:lineRule="auto"/>
              <w:contextualSpacing/>
              <w:jc w:val="both"/>
              <w:rPr>
                <w:rFonts w:eastAsia="Times New Roman" w:cs="Arial"/>
                <w:sz w:val="20"/>
                <w:szCs w:val="20"/>
                <w:lang w:eastAsia="pl-PL"/>
              </w:rPr>
            </w:pPr>
          </w:p>
        </w:tc>
        <w:tc>
          <w:tcPr>
            <w:tcW w:w="1133" w:type="dxa"/>
            <w:shd w:val="clear" w:color="auto" w:fill="auto"/>
            <w:vAlign w:val="center"/>
          </w:tcPr>
          <w:p w14:paraId="6B7BBED7" w14:textId="77777777" w:rsidR="00E02F30" w:rsidRPr="00E02F30" w:rsidRDefault="00E02F30" w:rsidP="00E02F30">
            <w:pPr>
              <w:spacing w:after="0" w:line="276" w:lineRule="auto"/>
              <w:jc w:val="both"/>
              <w:rPr>
                <w:rFonts w:eastAsia="Times New Roman" w:cs="Arial"/>
                <w:b/>
                <w:sz w:val="20"/>
                <w:szCs w:val="20"/>
                <w:vertAlign w:val="subscript"/>
                <w:lang w:eastAsia="pl-PL"/>
              </w:rPr>
            </w:pPr>
            <w:proofErr w:type="spellStart"/>
            <w:r w:rsidRPr="00E02F30">
              <w:rPr>
                <w:rFonts w:eastAsia="Times New Roman" w:cs="Arial"/>
                <w:b/>
                <w:sz w:val="20"/>
                <w:szCs w:val="20"/>
                <w:lang w:eastAsia="pl-PL"/>
              </w:rPr>
              <w:t>Q</w:t>
            </w:r>
            <w:r w:rsidRPr="00E02F30">
              <w:rPr>
                <w:rFonts w:eastAsia="Times New Roman" w:cs="Arial"/>
                <w:b/>
                <w:sz w:val="20"/>
                <w:szCs w:val="20"/>
                <w:vertAlign w:val="subscript"/>
                <w:lang w:eastAsia="pl-PL"/>
              </w:rPr>
              <w:t>śrd</w:t>
            </w:r>
            <w:proofErr w:type="spellEnd"/>
          </w:p>
          <w:p w14:paraId="0555365F"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b/>
                <w:sz w:val="20"/>
                <w:szCs w:val="20"/>
                <w:lang w:eastAsia="pl-PL"/>
              </w:rPr>
              <w:t>[m</w:t>
            </w:r>
            <w:r w:rsidRPr="00E02F30">
              <w:rPr>
                <w:rFonts w:eastAsia="Times New Roman" w:cs="Arial"/>
                <w:b/>
                <w:sz w:val="20"/>
                <w:szCs w:val="20"/>
                <w:vertAlign w:val="superscript"/>
                <w:lang w:eastAsia="pl-PL"/>
              </w:rPr>
              <w:t>3</w:t>
            </w:r>
            <w:r w:rsidRPr="00E02F30">
              <w:rPr>
                <w:rFonts w:eastAsia="Times New Roman" w:cs="Arial"/>
                <w:b/>
                <w:sz w:val="20"/>
                <w:szCs w:val="20"/>
                <w:lang w:eastAsia="pl-PL"/>
              </w:rPr>
              <w:t>/dobę]</w:t>
            </w:r>
          </w:p>
        </w:tc>
        <w:tc>
          <w:tcPr>
            <w:tcW w:w="1647" w:type="dxa"/>
            <w:shd w:val="clear" w:color="auto" w:fill="auto"/>
            <w:vAlign w:val="center"/>
          </w:tcPr>
          <w:p w14:paraId="31137C28" w14:textId="77777777" w:rsidR="00E02F30" w:rsidRPr="00E02F30" w:rsidRDefault="00E02F30" w:rsidP="00E02F30">
            <w:pPr>
              <w:spacing w:after="0" w:line="276" w:lineRule="auto"/>
              <w:jc w:val="both"/>
              <w:rPr>
                <w:rFonts w:eastAsia="Times New Roman" w:cs="Arial"/>
                <w:b/>
                <w:sz w:val="20"/>
                <w:szCs w:val="20"/>
                <w:vertAlign w:val="subscript"/>
                <w:lang w:eastAsia="pl-PL"/>
              </w:rPr>
            </w:pPr>
            <w:proofErr w:type="spellStart"/>
            <w:r w:rsidRPr="00E02F30">
              <w:rPr>
                <w:rFonts w:eastAsia="Times New Roman" w:cs="Arial"/>
                <w:b/>
                <w:sz w:val="20"/>
                <w:szCs w:val="20"/>
                <w:lang w:eastAsia="pl-PL"/>
              </w:rPr>
              <w:t>Q</w:t>
            </w:r>
            <w:r w:rsidRPr="00E02F30">
              <w:rPr>
                <w:rFonts w:eastAsia="Times New Roman" w:cs="Arial"/>
                <w:b/>
                <w:sz w:val="20"/>
                <w:szCs w:val="20"/>
                <w:vertAlign w:val="subscript"/>
                <w:lang w:eastAsia="pl-PL"/>
              </w:rPr>
              <w:t>maxroczne</w:t>
            </w:r>
            <w:proofErr w:type="spellEnd"/>
          </w:p>
          <w:p w14:paraId="538ED35C"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b/>
                <w:sz w:val="20"/>
                <w:szCs w:val="20"/>
                <w:lang w:eastAsia="pl-PL"/>
              </w:rPr>
              <w:t>[m</w:t>
            </w:r>
            <w:r w:rsidRPr="00E02F30">
              <w:rPr>
                <w:rFonts w:eastAsia="Times New Roman" w:cs="Arial"/>
                <w:b/>
                <w:sz w:val="20"/>
                <w:szCs w:val="20"/>
                <w:vertAlign w:val="superscript"/>
                <w:lang w:eastAsia="pl-PL"/>
              </w:rPr>
              <w:t xml:space="preserve">3 </w:t>
            </w:r>
            <w:r w:rsidRPr="00E02F30">
              <w:rPr>
                <w:rFonts w:eastAsia="Times New Roman" w:cs="Arial"/>
                <w:b/>
                <w:sz w:val="20"/>
                <w:szCs w:val="20"/>
                <w:lang w:eastAsia="pl-PL"/>
              </w:rPr>
              <w:t>/rok]</w:t>
            </w:r>
          </w:p>
        </w:tc>
        <w:tc>
          <w:tcPr>
            <w:tcW w:w="1499" w:type="dxa"/>
            <w:shd w:val="clear" w:color="auto" w:fill="auto"/>
            <w:vAlign w:val="center"/>
          </w:tcPr>
          <w:p w14:paraId="294F5F8B" w14:textId="77777777" w:rsidR="00E02F30" w:rsidRPr="00E02F30" w:rsidRDefault="00E02F30" w:rsidP="00E02F30">
            <w:pPr>
              <w:spacing w:after="0" w:line="276" w:lineRule="auto"/>
              <w:contextualSpacing/>
              <w:jc w:val="both"/>
              <w:rPr>
                <w:rFonts w:eastAsia="Times New Roman" w:cs="Arial"/>
                <w:sz w:val="20"/>
                <w:szCs w:val="20"/>
                <w:lang w:eastAsia="pl-PL"/>
              </w:rPr>
            </w:pPr>
            <w:r w:rsidRPr="00E02F30">
              <w:rPr>
                <w:rFonts w:eastAsia="Times New Roman" w:cs="Arial"/>
                <w:b/>
                <w:sz w:val="20"/>
                <w:szCs w:val="20"/>
                <w:lang w:eastAsia="pl-PL"/>
              </w:rPr>
              <w:t>[m</w:t>
            </w:r>
            <w:r w:rsidRPr="00E02F30">
              <w:rPr>
                <w:rFonts w:eastAsia="Times New Roman" w:cs="Arial"/>
                <w:b/>
                <w:sz w:val="20"/>
                <w:szCs w:val="20"/>
                <w:vertAlign w:val="superscript"/>
                <w:lang w:eastAsia="pl-PL"/>
              </w:rPr>
              <w:t xml:space="preserve">3 </w:t>
            </w:r>
            <w:r w:rsidRPr="00E02F30">
              <w:rPr>
                <w:rFonts w:eastAsia="Times New Roman" w:cs="Arial"/>
                <w:b/>
                <w:sz w:val="20"/>
                <w:szCs w:val="20"/>
                <w:lang w:eastAsia="pl-PL"/>
              </w:rPr>
              <w:t>/rok]</w:t>
            </w:r>
          </w:p>
        </w:tc>
        <w:tc>
          <w:tcPr>
            <w:tcW w:w="1417" w:type="dxa"/>
            <w:shd w:val="clear" w:color="auto" w:fill="auto"/>
            <w:vAlign w:val="center"/>
          </w:tcPr>
          <w:p w14:paraId="65111948" w14:textId="77777777" w:rsidR="00E02F30" w:rsidRPr="00E02F30" w:rsidRDefault="00E02F30" w:rsidP="00E02F30">
            <w:pPr>
              <w:spacing w:after="0" w:line="276" w:lineRule="auto"/>
              <w:contextualSpacing/>
              <w:jc w:val="both"/>
              <w:rPr>
                <w:rFonts w:eastAsia="Times New Roman" w:cs="Arial"/>
                <w:b/>
                <w:sz w:val="20"/>
                <w:szCs w:val="20"/>
                <w:vertAlign w:val="subscript"/>
                <w:lang w:eastAsia="pl-PL"/>
              </w:rPr>
            </w:pPr>
            <w:proofErr w:type="spellStart"/>
            <w:r w:rsidRPr="00E02F30">
              <w:rPr>
                <w:rFonts w:eastAsia="Times New Roman" w:cs="Arial"/>
                <w:b/>
                <w:sz w:val="20"/>
                <w:szCs w:val="20"/>
                <w:lang w:eastAsia="pl-PL"/>
              </w:rPr>
              <w:t>Q</w:t>
            </w:r>
            <w:r w:rsidRPr="00E02F30">
              <w:rPr>
                <w:rFonts w:eastAsia="Times New Roman" w:cs="Arial"/>
                <w:b/>
                <w:sz w:val="20"/>
                <w:szCs w:val="20"/>
                <w:vertAlign w:val="subscript"/>
                <w:lang w:eastAsia="pl-PL"/>
              </w:rPr>
              <w:t>śrd</w:t>
            </w:r>
            <w:proofErr w:type="spellEnd"/>
            <w:r w:rsidRPr="00E02F30">
              <w:rPr>
                <w:rFonts w:eastAsia="Times New Roman" w:cs="Arial"/>
                <w:b/>
                <w:sz w:val="20"/>
                <w:szCs w:val="20"/>
                <w:vertAlign w:val="subscript"/>
                <w:lang w:eastAsia="pl-PL"/>
              </w:rPr>
              <w:t xml:space="preserve">  </w:t>
            </w:r>
          </w:p>
          <w:p w14:paraId="5C03CB6D" w14:textId="77777777" w:rsidR="00E02F30" w:rsidRPr="00E02F30" w:rsidRDefault="00E02F30" w:rsidP="00E02F30">
            <w:pPr>
              <w:spacing w:after="0" w:line="276" w:lineRule="auto"/>
              <w:contextualSpacing/>
              <w:jc w:val="both"/>
              <w:rPr>
                <w:rFonts w:eastAsia="Times New Roman" w:cs="Arial"/>
                <w:b/>
                <w:sz w:val="20"/>
                <w:szCs w:val="20"/>
                <w:lang w:eastAsia="pl-PL"/>
              </w:rPr>
            </w:pPr>
            <w:r w:rsidRPr="00E02F30">
              <w:rPr>
                <w:rFonts w:eastAsia="Times New Roman" w:cs="Arial"/>
                <w:b/>
                <w:sz w:val="20"/>
                <w:szCs w:val="20"/>
                <w:lang w:eastAsia="pl-PL"/>
              </w:rPr>
              <w:t>[m</w:t>
            </w:r>
            <w:r w:rsidRPr="00E02F30">
              <w:rPr>
                <w:rFonts w:eastAsia="Times New Roman" w:cs="Arial"/>
                <w:b/>
                <w:sz w:val="20"/>
                <w:szCs w:val="20"/>
                <w:vertAlign w:val="superscript"/>
                <w:lang w:eastAsia="pl-PL"/>
              </w:rPr>
              <w:t xml:space="preserve">3 </w:t>
            </w:r>
            <w:r w:rsidRPr="00E02F30">
              <w:rPr>
                <w:rFonts w:eastAsia="Times New Roman" w:cs="Arial"/>
                <w:b/>
                <w:sz w:val="20"/>
                <w:szCs w:val="20"/>
                <w:lang w:eastAsia="pl-PL"/>
              </w:rPr>
              <w:t>/dobę]</w:t>
            </w:r>
          </w:p>
        </w:tc>
        <w:tc>
          <w:tcPr>
            <w:tcW w:w="1276" w:type="dxa"/>
            <w:shd w:val="clear" w:color="auto" w:fill="auto"/>
            <w:vAlign w:val="center"/>
          </w:tcPr>
          <w:p w14:paraId="18A0007F" w14:textId="77777777" w:rsidR="00E02F30" w:rsidRPr="00E02F30" w:rsidRDefault="00E02F30" w:rsidP="00E02F30">
            <w:pPr>
              <w:spacing w:after="0" w:line="276" w:lineRule="auto"/>
              <w:contextualSpacing/>
              <w:jc w:val="both"/>
              <w:rPr>
                <w:rFonts w:eastAsia="Times New Roman" w:cs="Arial"/>
                <w:b/>
                <w:sz w:val="20"/>
                <w:szCs w:val="20"/>
                <w:lang w:eastAsia="pl-PL"/>
              </w:rPr>
            </w:pPr>
            <w:proofErr w:type="spellStart"/>
            <w:r w:rsidRPr="00E02F30">
              <w:rPr>
                <w:rFonts w:eastAsia="Times New Roman" w:cs="Arial"/>
                <w:b/>
                <w:sz w:val="20"/>
                <w:szCs w:val="20"/>
                <w:lang w:eastAsia="pl-PL"/>
              </w:rPr>
              <w:t>Q</w:t>
            </w:r>
            <w:r w:rsidRPr="00E02F30">
              <w:rPr>
                <w:rFonts w:eastAsia="Times New Roman" w:cs="Arial"/>
                <w:b/>
                <w:sz w:val="20"/>
                <w:szCs w:val="20"/>
                <w:vertAlign w:val="subscript"/>
                <w:lang w:eastAsia="pl-PL"/>
              </w:rPr>
              <w:t>maxroczne</w:t>
            </w:r>
            <w:proofErr w:type="spellEnd"/>
            <w:r w:rsidRPr="00E02F30">
              <w:rPr>
                <w:rFonts w:eastAsia="Times New Roman" w:cs="Arial"/>
                <w:b/>
                <w:sz w:val="20"/>
                <w:szCs w:val="20"/>
                <w:vertAlign w:val="subscript"/>
                <w:lang w:eastAsia="pl-PL"/>
              </w:rPr>
              <w:t xml:space="preserve">  [</w:t>
            </w:r>
            <w:r w:rsidRPr="00E02F30">
              <w:rPr>
                <w:rFonts w:eastAsia="Times New Roman" w:cs="Arial"/>
                <w:b/>
                <w:sz w:val="20"/>
                <w:szCs w:val="20"/>
                <w:lang w:eastAsia="pl-PL"/>
              </w:rPr>
              <w:t>m</w:t>
            </w:r>
            <w:r w:rsidRPr="00E02F30">
              <w:rPr>
                <w:rFonts w:eastAsia="Times New Roman" w:cs="Arial"/>
                <w:b/>
                <w:sz w:val="20"/>
                <w:szCs w:val="20"/>
                <w:vertAlign w:val="superscript"/>
                <w:lang w:eastAsia="pl-PL"/>
              </w:rPr>
              <w:t xml:space="preserve">3 </w:t>
            </w:r>
            <w:r w:rsidRPr="00E02F30">
              <w:rPr>
                <w:rFonts w:eastAsia="Times New Roman" w:cs="Arial"/>
                <w:b/>
                <w:sz w:val="20"/>
                <w:szCs w:val="20"/>
                <w:lang w:eastAsia="pl-PL"/>
              </w:rPr>
              <w:t>/rok]</w:t>
            </w:r>
          </w:p>
        </w:tc>
      </w:tr>
      <w:tr w:rsidR="00E02F30" w:rsidRPr="00E02F30" w14:paraId="40328E24" w14:textId="77777777" w:rsidTr="00A1631B">
        <w:tc>
          <w:tcPr>
            <w:tcW w:w="2374" w:type="dxa"/>
            <w:shd w:val="clear" w:color="auto" w:fill="auto"/>
            <w:vAlign w:val="center"/>
          </w:tcPr>
          <w:p w14:paraId="24492277" w14:textId="77777777" w:rsidR="00E02F30" w:rsidRPr="00E02F30" w:rsidRDefault="00E02F30" w:rsidP="00E02F30">
            <w:pPr>
              <w:spacing w:after="0" w:line="276" w:lineRule="auto"/>
              <w:contextualSpacing/>
              <w:jc w:val="both"/>
              <w:rPr>
                <w:rFonts w:eastAsia="Times New Roman" w:cs="Arial"/>
                <w:sz w:val="20"/>
                <w:szCs w:val="20"/>
                <w:lang w:eastAsia="pl-PL"/>
              </w:rPr>
            </w:pPr>
            <w:r w:rsidRPr="00E02F30">
              <w:rPr>
                <w:rFonts w:eastAsia="Times New Roman" w:cs="Arial"/>
                <w:sz w:val="20"/>
                <w:szCs w:val="20"/>
                <w:lang w:eastAsia="pl-PL"/>
              </w:rPr>
              <w:t>Instalacja nienasyconych żywic poliestrowych (Z)</w:t>
            </w:r>
          </w:p>
        </w:tc>
        <w:tc>
          <w:tcPr>
            <w:tcW w:w="1133" w:type="dxa"/>
            <w:shd w:val="clear" w:color="auto" w:fill="auto"/>
            <w:vAlign w:val="center"/>
          </w:tcPr>
          <w:p w14:paraId="24BBE4A8"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60</w:t>
            </w:r>
          </w:p>
        </w:tc>
        <w:tc>
          <w:tcPr>
            <w:tcW w:w="1647" w:type="dxa"/>
            <w:shd w:val="clear" w:color="auto" w:fill="auto"/>
            <w:vAlign w:val="center"/>
          </w:tcPr>
          <w:p w14:paraId="573FC810"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20 000</w:t>
            </w:r>
          </w:p>
        </w:tc>
        <w:tc>
          <w:tcPr>
            <w:tcW w:w="1499" w:type="dxa"/>
            <w:shd w:val="clear" w:color="auto" w:fill="auto"/>
            <w:vAlign w:val="center"/>
          </w:tcPr>
          <w:p w14:paraId="44EAEF25"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900 000</w:t>
            </w:r>
          </w:p>
        </w:tc>
        <w:tc>
          <w:tcPr>
            <w:tcW w:w="1417" w:type="dxa"/>
            <w:vAlign w:val="center"/>
          </w:tcPr>
          <w:p w14:paraId="03E53669"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9</w:t>
            </w:r>
          </w:p>
        </w:tc>
        <w:tc>
          <w:tcPr>
            <w:tcW w:w="1276" w:type="dxa"/>
            <w:vAlign w:val="center"/>
          </w:tcPr>
          <w:p w14:paraId="0B651711"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4 000</w:t>
            </w:r>
          </w:p>
        </w:tc>
      </w:tr>
    </w:tbl>
    <w:p w14:paraId="6E83BFEF" w14:textId="77777777" w:rsidR="00E02F30" w:rsidRPr="00E02F30" w:rsidRDefault="00E02F30" w:rsidP="00E02F30">
      <w:pPr>
        <w:keepNext/>
        <w:widowControl w:val="0"/>
        <w:adjustRightInd w:val="0"/>
        <w:spacing w:after="0" w:line="276" w:lineRule="auto"/>
        <w:textAlignment w:val="baseline"/>
        <w:outlineLvl w:val="3"/>
        <w:rPr>
          <w:rFonts w:eastAsia="Times New Roman" w:cs="Times New Roman"/>
          <w:b/>
          <w:szCs w:val="20"/>
          <w:lang w:eastAsia="pl-PL"/>
        </w:rPr>
      </w:pPr>
      <w:r w:rsidRPr="00E02F30">
        <w:rPr>
          <w:rFonts w:eastAsia="Times New Roman" w:cs="Times New Roman"/>
          <w:b/>
          <w:szCs w:val="20"/>
          <w:lang w:eastAsia="pl-PL"/>
        </w:rPr>
        <w:t>IV.2.2. Źródła powstawania ścieków przemysłowych</w:t>
      </w:r>
    </w:p>
    <w:p w14:paraId="4F673141"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 xml:space="preserve">IV.2.2.1. </w:t>
      </w:r>
      <w:r w:rsidRPr="00E02F30">
        <w:rPr>
          <w:rFonts w:eastAsia="Times New Roman" w:cs="Arial"/>
          <w:szCs w:val="24"/>
          <w:lang w:eastAsia="pl-PL"/>
        </w:rPr>
        <w:t>W</w:t>
      </w:r>
      <w:r w:rsidRPr="00E02F30">
        <w:rPr>
          <w:rFonts w:eastAsia="Times New Roman" w:cs="Arial"/>
          <w:b/>
          <w:szCs w:val="24"/>
          <w:lang w:eastAsia="pl-PL"/>
        </w:rPr>
        <w:t xml:space="preserve"> </w:t>
      </w:r>
      <w:r w:rsidRPr="00E02F30">
        <w:rPr>
          <w:rFonts w:eastAsia="Times New Roman" w:cs="Arial"/>
          <w:szCs w:val="24"/>
          <w:lang w:eastAsia="pl-PL"/>
        </w:rPr>
        <w:t xml:space="preserve">Instalacji </w:t>
      </w:r>
      <w:r w:rsidRPr="00E02F30">
        <w:rPr>
          <w:rFonts w:eastAsia="Times New Roman" w:cs="Arial"/>
          <w:b/>
          <w:szCs w:val="24"/>
          <w:lang w:eastAsia="pl-PL"/>
        </w:rPr>
        <w:t>Nienasyconych Żywic Poliestrowych</w:t>
      </w:r>
      <w:r w:rsidRPr="00E02F30">
        <w:rPr>
          <w:rFonts w:eastAsia="Times New Roman" w:cs="Arial"/>
          <w:szCs w:val="24"/>
          <w:lang w:eastAsia="pl-PL"/>
        </w:rPr>
        <w:t xml:space="preserve"> ściek stanowić będzie woda poreakcyjna, kondensacyjna powstała w wyniku reakcji bezwodników kwasów karboksylowych i glikoli. Strumienie ścieków z prowadzonego procesu polikondensacji stanowić będą:</w:t>
      </w:r>
    </w:p>
    <w:p w14:paraId="44D96726"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a) w Obiekcie 524</w:t>
      </w:r>
    </w:p>
    <w:p w14:paraId="63570328"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 ścieki z łapacza komorowego szlamów, ścieki z pomp próżniowych i hermetyzacji kwaśnej,</w:t>
      </w:r>
    </w:p>
    <w:p w14:paraId="1C20F405" w14:textId="77777777" w:rsidR="00E02F30" w:rsidRPr="00E02F30" w:rsidRDefault="00E02F30" w:rsidP="00E02F30">
      <w:pPr>
        <w:spacing w:after="0" w:line="276" w:lineRule="auto"/>
        <w:contextualSpacing/>
        <w:jc w:val="both"/>
        <w:rPr>
          <w:rFonts w:eastAsia="Times New Roman" w:cs="Arial"/>
          <w:szCs w:val="24"/>
          <w:lang w:val="x-none" w:eastAsia="pl-PL"/>
        </w:rPr>
      </w:pPr>
      <w:r w:rsidRPr="00E02F30">
        <w:rPr>
          <w:rFonts w:eastAsia="Times New Roman" w:cs="Arial"/>
          <w:szCs w:val="24"/>
          <w:lang w:eastAsia="pl-PL"/>
        </w:rPr>
        <w:t>- ś</w:t>
      </w:r>
      <w:r w:rsidRPr="00E02F30">
        <w:rPr>
          <w:rFonts w:eastAsia="Times New Roman" w:cs="Arial"/>
          <w:szCs w:val="24"/>
          <w:lang w:val="x-none" w:eastAsia="pl-PL"/>
        </w:rPr>
        <w:t>cieki  z mis zbiorników magazynowych i pomp,</w:t>
      </w:r>
    </w:p>
    <w:p w14:paraId="373E192B"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b) w Obiekcie 501</w:t>
      </w:r>
    </w:p>
    <w:p w14:paraId="645846AF" w14:textId="77777777" w:rsidR="00E02F30" w:rsidRPr="00E02F30" w:rsidRDefault="00E02F30" w:rsidP="00E02F30">
      <w:pPr>
        <w:spacing w:after="0" w:line="276" w:lineRule="auto"/>
        <w:contextualSpacing/>
        <w:jc w:val="both"/>
        <w:rPr>
          <w:rFonts w:eastAsia="Times New Roman" w:cs="Arial"/>
          <w:bCs/>
          <w:szCs w:val="24"/>
          <w:lang w:val="x-none" w:eastAsia="pl-PL"/>
        </w:rPr>
      </w:pPr>
      <w:r w:rsidRPr="00E02F30">
        <w:rPr>
          <w:rFonts w:eastAsia="Times New Roman" w:cs="Arial"/>
          <w:b/>
          <w:szCs w:val="24"/>
          <w:lang w:eastAsia="pl-PL"/>
        </w:rPr>
        <w:t>-</w:t>
      </w:r>
      <w:r w:rsidRPr="00E02F30">
        <w:rPr>
          <w:rFonts w:eastAsia="Times New Roman" w:cs="Arial"/>
          <w:bCs/>
          <w:szCs w:val="24"/>
          <w:lang w:eastAsia="pl-PL"/>
        </w:rPr>
        <w:t>ścieki -</w:t>
      </w:r>
      <w:r w:rsidRPr="00E02F30">
        <w:rPr>
          <w:rFonts w:eastAsia="Times New Roman" w:cs="Arial"/>
          <w:bCs/>
          <w:szCs w:val="24"/>
          <w:lang w:val="x-none" w:eastAsia="pl-PL"/>
        </w:rPr>
        <w:t>woda poreakcyjna: z etapu kondensacji żywic (</w:t>
      </w:r>
      <w:proofErr w:type="spellStart"/>
      <w:r w:rsidRPr="00E02F30">
        <w:rPr>
          <w:rFonts w:eastAsia="Times New Roman" w:cs="Arial"/>
          <w:bCs/>
          <w:szCs w:val="24"/>
          <w:lang w:val="x-none" w:eastAsia="pl-PL"/>
        </w:rPr>
        <w:t>alkidów</w:t>
      </w:r>
      <w:proofErr w:type="spellEnd"/>
      <w:r w:rsidRPr="00E02F30">
        <w:rPr>
          <w:rFonts w:eastAsia="Times New Roman" w:cs="Arial"/>
          <w:bCs/>
          <w:szCs w:val="24"/>
          <w:lang w:val="x-none" w:eastAsia="pl-PL"/>
        </w:rPr>
        <w:t>), z produkcji poliestrów nasyconych, z produkcji żywic KN,</w:t>
      </w:r>
    </w:p>
    <w:p w14:paraId="299C8D07" w14:textId="77777777" w:rsidR="00E02F30" w:rsidRPr="00E02F30" w:rsidRDefault="00E02F30" w:rsidP="00E02F30">
      <w:pPr>
        <w:spacing w:after="0" w:line="276" w:lineRule="auto"/>
        <w:contextualSpacing/>
        <w:jc w:val="both"/>
        <w:rPr>
          <w:rFonts w:eastAsia="Times New Roman" w:cs="Arial"/>
          <w:bCs/>
          <w:szCs w:val="24"/>
          <w:lang w:val="x-none" w:eastAsia="pl-PL"/>
        </w:rPr>
      </w:pPr>
      <w:r w:rsidRPr="00E02F30">
        <w:rPr>
          <w:rFonts w:eastAsia="Times New Roman" w:cs="Arial"/>
          <w:bCs/>
          <w:szCs w:val="24"/>
          <w:lang w:eastAsia="pl-PL"/>
        </w:rPr>
        <w:t>-ścieki -</w:t>
      </w:r>
      <w:r w:rsidRPr="00E02F30">
        <w:rPr>
          <w:rFonts w:eastAsia="Times New Roman" w:cs="Arial"/>
          <w:bCs/>
          <w:szCs w:val="24"/>
          <w:lang w:val="x-none" w:eastAsia="pl-PL"/>
        </w:rPr>
        <w:t>woda poreakcyjna z produkcji żywic na bazie DCPD,</w:t>
      </w:r>
    </w:p>
    <w:p w14:paraId="75DB1D22"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 xml:space="preserve">W instalacji powstawać będzie również ściek poreakcyjny z procesu kondesacji żywicy </w:t>
      </w:r>
      <w:proofErr w:type="spellStart"/>
      <w:r w:rsidRPr="00E02F30">
        <w:rPr>
          <w:rFonts w:eastAsia="Times New Roman" w:cs="Arial"/>
          <w:szCs w:val="24"/>
          <w:lang w:eastAsia="pl-PL"/>
        </w:rPr>
        <w:t>aminofenolowej</w:t>
      </w:r>
      <w:proofErr w:type="spellEnd"/>
      <w:r w:rsidRPr="00E02F30">
        <w:rPr>
          <w:rFonts w:eastAsia="Times New Roman" w:cs="Arial"/>
          <w:szCs w:val="24"/>
          <w:lang w:eastAsia="pl-PL"/>
        </w:rPr>
        <w:t xml:space="preserve"> (amoniak powstały w wyniku reakcji związków z grupy </w:t>
      </w:r>
      <w:proofErr w:type="spellStart"/>
      <w:r w:rsidRPr="00E02F30">
        <w:rPr>
          <w:rFonts w:eastAsia="Times New Roman" w:cs="Arial"/>
          <w:szCs w:val="24"/>
          <w:lang w:eastAsia="pl-PL"/>
        </w:rPr>
        <w:t>alkilofenoli</w:t>
      </w:r>
      <w:proofErr w:type="spellEnd"/>
      <w:r w:rsidRPr="00E02F30">
        <w:rPr>
          <w:rFonts w:eastAsia="Times New Roman" w:cs="Arial"/>
          <w:szCs w:val="24"/>
          <w:lang w:eastAsia="pl-PL"/>
        </w:rPr>
        <w:t xml:space="preserve"> z wielopierścieniową </w:t>
      </w:r>
      <w:proofErr w:type="spellStart"/>
      <w:r w:rsidRPr="00E02F30">
        <w:rPr>
          <w:rFonts w:eastAsia="Times New Roman" w:cs="Arial"/>
          <w:szCs w:val="24"/>
          <w:lang w:eastAsia="pl-PL"/>
        </w:rPr>
        <w:t>aminą</w:t>
      </w:r>
      <w:proofErr w:type="spellEnd"/>
      <w:r w:rsidRPr="00E02F30">
        <w:rPr>
          <w:rFonts w:eastAsia="Times New Roman" w:cs="Arial"/>
          <w:szCs w:val="24"/>
          <w:lang w:eastAsia="pl-PL"/>
        </w:rPr>
        <w:t xml:space="preserve"> trzeciorzędową), amoniak rozpuszczamy </w:t>
      </w:r>
      <w:r w:rsidRPr="00E02F30">
        <w:rPr>
          <w:rFonts w:eastAsia="Times New Roman" w:cs="Arial"/>
          <w:szCs w:val="24"/>
          <w:lang w:eastAsia="pl-PL"/>
        </w:rPr>
        <w:br/>
        <w:t>w wodzie tworzyć będzie wodę amoniakalną).</w:t>
      </w:r>
    </w:p>
    <w:p w14:paraId="71F98827" w14:textId="77777777" w:rsidR="00E02F30" w:rsidRPr="00E02F30" w:rsidRDefault="00E02F30" w:rsidP="00E02F30">
      <w:pPr>
        <w:keepNext/>
        <w:widowControl w:val="0"/>
        <w:adjustRightInd w:val="0"/>
        <w:spacing w:after="0" w:line="276" w:lineRule="auto"/>
        <w:jc w:val="both"/>
        <w:textAlignment w:val="baseline"/>
        <w:outlineLvl w:val="3"/>
        <w:rPr>
          <w:rFonts w:eastAsia="Times New Roman" w:cs="Times New Roman"/>
          <w:bCs/>
          <w:szCs w:val="20"/>
          <w:lang w:eastAsia="pl-PL"/>
        </w:rPr>
      </w:pPr>
      <w:r w:rsidRPr="00E02F30">
        <w:rPr>
          <w:rFonts w:eastAsia="Times New Roman" w:cs="Times New Roman"/>
          <w:b/>
          <w:szCs w:val="20"/>
          <w:lang w:eastAsia="pl-PL"/>
        </w:rPr>
        <w:t xml:space="preserve">IV.2.3. </w:t>
      </w:r>
      <w:r w:rsidRPr="00E02F30">
        <w:rPr>
          <w:rFonts w:eastAsia="Times New Roman" w:cs="Times New Roman"/>
          <w:bCs/>
          <w:szCs w:val="20"/>
          <w:lang w:eastAsia="pl-PL"/>
        </w:rPr>
        <w:t xml:space="preserve">W związku z eksploatacją instalacji nie będzie następować wprowadzanie ścieków do wód lub do ziemi. </w:t>
      </w:r>
    </w:p>
    <w:p w14:paraId="0CE9221A" w14:textId="77777777" w:rsidR="00E02F30" w:rsidRPr="00E02F30" w:rsidRDefault="00E02F30" w:rsidP="00E02F30">
      <w:pPr>
        <w:keepNext/>
        <w:widowControl w:val="0"/>
        <w:adjustRightInd w:val="0"/>
        <w:spacing w:after="0" w:line="276" w:lineRule="auto"/>
        <w:jc w:val="both"/>
        <w:textAlignment w:val="baseline"/>
        <w:outlineLvl w:val="3"/>
        <w:rPr>
          <w:rFonts w:eastAsia="Times New Roman" w:cs="Times New Roman"/>
          <w:bCs/>
          <w:szCs w:val="20"/>
          <w:lang w:eastAsia="pl-PL"/>
        </w:rPr>
      </w:pPr>
      <w:r w:rsidRPr="00E02F30">
        <w:rPr>
          <w:rFonts w:eastAsia="Times New Roman" w:cs="Times New Roman"/>
          <w:b/>
          <w:szCs w:val="20"/>
          <w:lang w:eastAsia="pl-PL"/>
        </w:rPr>
        <w:t>IV.2.4</w:t>
      </w:r>
      <w:r w:rsidRPr="00E02F30">
        <w:rPr>
          <w:rFonts w:eastAsia="Times New Roman" w:cs="Times New Roman"/>
          <w:bCs/>
          <w:szCs w:val="20"/>
          <w:lang w:eastAsia="pl-PL"/>
        </w:rPr>
        <w:t>. Ścieki przemysłowe z instalacji stanowiące mieszaninę ścieków bytowych, wód opadowych i roztopowych, ścieków technologicznych odprowadzane będą wspólnym kolektorem do urządzeń kanalizacyjnych podmiotu zewnętrznego.</w:t>
      </w:r>
    </w:p>
    <w:p w14:paraId="66CE0281" w14:textId="77777777" w:rsidR="00E02F30" w:rsidRPr="00E02F30" w:rsidRDefault="00E02F30" w:rsidP="00E02F30">
      <w:pPr>
        <w:keepNext/>
        <w:widowControl w:val="0"/>
        <w:adjustRightInd w:val="0"/>
        <w:spacing w:after="0" w:line="276" w:lineRule="auto"/>
        <w:jc w:val="both"/>
        <w:textAlignment w:val="baseline"/>
        <w:outlineLvl w:val="3"/>
        <w:rPr>
          <w:rFonts w:eastAsia="Times New Roman" w:cs="Times New Roman"/>
          <w:b/>
          <w:szCs w:val="20"/>
          <w:lang w:eastAsia="pl-PL"/>
        </w:rPr>
      </w:pPr>
      <w:r w:rsidRPr="00E02F30">
        <w:rPr>
          <w:rFonts w:eastAsia="Times New Roman" w:cs="Times New Roman"/>
          <w:b/>
          <w:szCs w:val="20"/>
          <w:lang w:eastAsia="pl-PL"/>
        </w:rPr>
        <w:t>IV.2.5.</w:t>
      </w:r>
      <w:r w:rsidRPr="00E02F30">
        <w:rPr>
          <w:rFonts w:eastAsia="Times New Roman" w:cs="Times New Roman"/>
          <w:bCs/>
          <w:sz w:val="23"/>
          <w:szCs w:val="23"/>
          <w:lang w:eastAsia="pl-PL"/>
        </w:rPr>
        <w:t xml:space="preserve"> </w:t>
      </w:r>
      <w:r w:rsidRPr="00E02F30">
        <w:rPr>
          <w:rFonts w:eastAsia="Times New Roman" w:cs="Times New Roman"/>
          <w:bCs/>
          <w:szCs w:val="20"/>
          <w:lang w:eastAsia="pl-PL"/>
        </w:rPr>
        <w:t xml:space="preserve">Strumienie ścieków technologicznych z instalacji produkcyjnych i obiektów pomocniczych, po ich mechanicznym, fizykochemicznym i chemicznym podczyszczeniu, odprowadzane będą do sieci kanalizacyjnych </w:t>
      </w:r>
      <w:proofErr w:type="spellStart"/>
      <w:r w:rsidRPr="00E02F30">
        <w:rPr>
          <w:rFonts w:eastAsia="Times New Roman" w:cs="Times New Roman"/>
          <w:bCs/>
          <w:szCs w:val="20"/>
          <w:lang w:eastAsia="pl-PL"/>
        </w:rPr>
        <w:t>wewnątrzwydziałowych</w:t>
      </w:r>
      <w:proofErr w:type="spellEnd"/>
      <w:r w:rsidRPr="00E02F30">
        <w:rPr>
          <w:rFonts w:eastAsia="Times New Roman" w:cs="Times New Roman"/>
          <w:bCs/>
          <w:szCs w:val="20"/>
          <w:lang w:eastAsia="pl-PL"/>
        </w:rPr>
        <w:t xml:space="preserve">, a następnie wspólnym kolektorem kanalizacyjnym ścieków przemysłowych kierowane będą do podczyszczalni – </w:t>
      </w:r>
      <w:proofErr w:type="spellStart"/>
      <w:r w:rsidRPr="00E02F30">
        <w:rPr>
          <w:rFonts w:eastAsia="Times New Roman" w:cs="Times New Roman"/>
          <w:bCs/>
          <w:szCs w:val="20"/>
          <w:lang w:eastAsia="pl-PL"/>
        </w:rPr>
        <w:t>odkwaszalni</w:t>
      </w:r>
      <w:proofErr w:type="spellEnd"/>
      <w:r w:rsidRPr="00E02F30">
        <w:rPr>
          <w:rFonts w:eastAsia="Times New Roman" w:cs="Times New Roman"/>
          <w:bCs/>
          <w:szCs w:val="20"/>
          <w:lang w:eastAsia="pl-PL"/>
        </w:rPr>
        <w:t xml:space="preserve"> ze zbiornikiem uśredniająco-neutralizującym, którego zadaniem jest korekta </w:t>
      </w:r>
      <w:proofErr w:type="spellStart"/>
      <w:r w:rsidRPr="00E02F30">
        <w:rPr>
          <w:rFonts w:eastAsia="Times New Roman" w:cs="Times New Roman"/>
          <w:bCs/>
          <w:szCs w:val="20"/>
          <w:lang w:eastAsia="pl-PL"/>
        </w:rPr>
        <w:t>pH</w:t>
      </w:r>
      <w:proofErr w:type="spellEnd"/>
      <w:r w:rsidRPr="00E02F30">
        <w:rPr>
          <w:rFonts w:eastAsia="Times New Roman" w:cs="Times New Roman"/>
          <w:bCs/>
          <w:szCs w:val="20"/>
          <w:lang w:eastAsia="pl-PL"/>
        </w:rPr>
        <w:t xml:space="preserve"> i uśrednienie składu jakościowego dopływających ścieków. Ścieki przemysłowe neutralizowane będą mleczkiem wapiennym lub kwasami (azotowym, solnym) w zależności od ich właściwości (</w:t>
      </w:r>
      <w:proofErr w:type="spellStart"/>
      <w:r w:rsidRPr="00E02F30">
        <w:rPr>
          <w:rFonts w:eastAsia="Times New Roman" w:cs="Times New Roman"/>
          <w:bCs/>
          <w:szCs w:val="20"/>
          <w:lang w:eastAsia="pl-PL"/>
        </w:rPr>
        <w:t>pH</w:t>
      </w:r>
      <w:proofErr w:type="spellEnd"/>
      <w:r w:rsidRPr="00E02F30">
        <w:rPr>
          <w:rFonts w:eastAsia="Times New Roman" w:cs="Times New Roman"/>
          <w:bCs/>
          <w:szCs w:val="20"/>
          <w:lang w:eastAsia="pl-PL"/>
        </w:rPr>
        <w:t>). Kwasy doprowadzane będą odrębnymi pojedynczymi rurociągami od zbiorników dozujących</w:t>
      </w:r>
      <w:r w:rsidRPr="00E02F30">
        <w:rPr>
          <w:rFonts w:eastAsia="Times New Roman" w:cs="Times New Roman"/>
          <w:b/>
          <w:szCs w:val="20"/>
          <w:lang w:eastAsia="pl-PL"/>
        </w:rPr>
        <w:t>.</w:t>
      </w:r>
    </w:p>
    <w:p w14:paraId="0842FE83" w14:textId="77777777" w:rsidR="00E02F30" w:rsidRPr="00E02F30" w:rsidRDefault="00E02F30" w:rsidP="00E02F30">
      <w:pPr>
        <w:spacing w:after="0" w:line="276" w:lineRule="auto"/>
        <w:jc w:val="both"/>
        <w:rPr>
          <w:rFonts w:eastAsia="Times New Roman" w:cs="Arial"/>
          <w:sz w:val="23"/>
          <w:szCs w:val="23"/>
          <w:lang w:eastAsia="pl-PL"/>
        </w:rPr>
      </w:pPr>
      <w:r w:rsidRPr="00E02F30">
        <w:rPr>
          <w:rFonts w:eastAsia="Times New Roman" w:cs="Arial"/>
          <w:szCs w:val="24"/>
          <w:lang w:eastAsia="pl-PL"/>
        </w:rPr>
        <w:t xml:space="preserve">Po uśrednieniu i zneutralizowaniu ścieki przemysłowe przepływać będą do kolektora głównego ścieków, do którego włączone będą ścieki bytowe. Do kolektora głównego przed zbiornikiem uśredniającym, jak również za tym zbiornikiem włączone będą  przyłącza kanalizacyjne </w:t>
      </w:r>
      <w:proofErr w:type="spellStart"/>
      <w:r w:rsidRPr="00E02F30">
        <w:rPr>
          <w:rFonts w:eastAsia="Times New Roman" w:cs="Arial"/>
          <w:szCs w:val="24"/>
          <w:lang w:eastAsia="pl-PL"/>
        </w:rPr>
        <w:t>szczerpywanych</w:t>
      </w:r>
      <w:proofErr w:type="spellEnd"/>
      <w:r w:rsidRPr="00E02F30">
        <w:rPr>
          <w:rFonts w:eastAsia="Times New Roman" w:cs="Arial"/>
          <w:szCs w:val="24"/>
          <w:lang w:eastAsia="pl-PL"/>
        </w:rPr>
        <w:t xml:space="preserve"> wód podziemnych z otworów sozologicznych. Kolektorem kanalizacji przemysłowej spływać będą również wody opadowe i roztopowe z terenu Spółki. Cały strumień ścieków odprowadzany jest do Komunalnej Biologicznej Oczyszczalni Ścieków.</w:t>
      </w:r>
    </w:p>
    <w:p w14:paraId="0D2A8D6F" w14:textId="77777777" w:rsidR="00E02F30" w:rsidRPr="00E02F30" w:rsidRDefault="00E02F30" w:rsidP="00E02F30">
      <w:pPr>
        <w:keepNext/>
        <w:widowControl w:val="0"/>
        <w:adjustRightInd w:val="0"/>
        <w:spacing w:after="0" w:line="276" w:lineRule="auto"/>
        <w:jc w:val="both"/>
        <w:textAlignment w:val="baseline"/>
        <w:outlineLvl w:val="3"/>
        <w:rPr>
          <w:rFonts w:eastAsia="Times New Roman" w:cs="Times New Roman"/>
          <w:bCs/>
          <w:szCs w:val="20"/>
          <w:lang w:eastAsia="pl-PL"/>
        </w:rPr>
      </w:pPr>
      <w:r w:rsidRPr="00E02F30">
        <w:rPr>
          <w:rFonts w:eastAsia="Times New Roman" w:cs="Times New Roman"/>
          <w:b/>
          <w:sz w:val="23"/>
          <w:szCs w:val="23"/>
          <w:lang w:eastAsia="pl-PL"/>
        </w:rPr>
        <w:t>IV.</w:t>
      </w:r>
      <w:r w:rsidRPr="00E02F30">
        <w:rPr>
          <w:rFonts w:eastAsia="Times New Roman" w:cs="Times New Roman"/>
          <w:b/>
          <w:szCs w:val="20"/>
          <w:lang w:eastAsia="pl-PL"/>
        </w:rPr>
        <w:t xml:space="preserve">2.6. </w:t>
      </w:r>
      <w:r w:rsidRPr="00E02F30">
        <w:rPr>
          <w:rFonts w:eastAsia="Times New Roman" w:cs="Times New Roman"/>
          <w:bCs/>
          <w:szCs w:val="20"/>
          <w:lang w:eastAsia="pl-PL"/>
        </w:rPr>
        <w:t xml:space="preserve">Wody chłodnicze krążyć będą w obiegu zamkniętym. W przypadku awarii </w:t>
      </w:r>
      <w:r w:rsidRPr="00E02F30">
        <w:rPr>
          <w:rFonts w:eastAsia="Times New Roman" w:cs="Times New Roman"/>
          <w:bCs/>
          <w:szCs w:val="20"/>
          <w:lang w:eastAsia="pl-PL"/>
        </w:rPr>
        <w:br/>
        <w:t xml:space="preserve">i wzrostu stężeń wskaźników woda z układu zamkniętego odprowadzana będzie </w:t>
      </w:r>
      <w:proofErr w:type="spellStart"/>
      <w:r w:rsidRPr="00E02F30">
        <w:rPr>
          <w:rFonts w:eastAsia="Times New Roman" w:cs="Times New Roman"/>
          <w:bCs/>
          <w:szCs w:val="20"/>
          <w:lang w:eastAsia="pl-PL"/>
        </w:rPr>
        <w:t>dokanalizacji</w:t>
      </w:r>
      <w:proofErr w:type="spellEnd"/>
      <w:r w:rsidRPr="00E02F30">
        <w:rPr>
          <w:rFonts w:eastAsia="Times New Roman" w:cs="Times New Roman"/>
          <w:bCs/>
          <w:szCs w:val="20"/>
          <w:lang w:eastAsia="pl-PL"/>
        </w:rPr>
        <w:t xml:space="preserve"> ścieków przemysłowych, a układ uzupełniany będzie świeżą wodą. Na terenie zakładu eksploatowane będą dwa obiegi zamknięte wody chłodzącej: centralny obieg zakładowy (ZOW) o wydajność max 900 m</w:t>
      </w:r>
      <w:r w:rsidRPr="00E02F30">
        <w:rPr>
          <w:rFonts w:eastAsia="Times New Roman" w:cs="Times New Roman"/>
          <w:bCs/>
          <w:szCs w:val="20"/>
          <w:vertAlign w:val="superscript"/>
          <w:lang w:eastAsia="pl-PL"/>
        </w:rPr>
        <w:t>3</w:t>
      </w:r>
      <w:r w:rsidRPr="00E02F30">
        <w:rPr>
          <w:rFonts w:eastAsia="Times New Roman" w:cs="Times New Roman"/>
          <w:bCs/>
          <w:szCs w:val="20"/>
          <w:lang w:eastAsia="pl-PL"/>
        </w:rPr>
        <w:t>/h i obieg wewnętrzny (ZOWE) w ramach Instalacji Żywi c Epoksydowych o wydajności max 575 m</w:t>
      </w:r>
      <w:r w:rsidRPr="00E02F30">
        <w:rPr>
          <w:rFonts w:eastAsia="Times New Roman" w:cs="Times New Roman"/>
          <w:bCs/>
          <w:szCs w:val="20"/>
          <w:vertAlign w:val="superscript"/>
          <w:lang w:eastAsia="pl-PL"/>
        </w:rPr>
        <w:t>3</w:t>
      </w:r>
      <w:r w:rsidRPr="00E02F30">
        <w:rPr>
          <w:rFonts w:eastAsia="Times New Roman" w:cs="Times New Roman"/>
          <w:bCs/>
          <w:szCs w:val="20"/>
          <w:lang w:eastAsia="pl-PL"/>
        </w:rPr>
        <w:t>/h. Do bezpośredniego chłodzenia instalacji produkcyjnych wymagających czynnika chłodniczego o temperaturze poniżej 10</w:t>
      </w:r>
      <w:r w:rsidRPr="00E02F30">
        <w:rPr>
          <w:rFonts w:eastAsia="Times New Roman" w:cs="Times New Roman"/>
          <w:bCs/>
          <w:szCs w:val="20"/>
          <w:vertAlign w:val="superscript"/>
          <w:lang w:eastAsia="pl-PL"/>
        </w:rPr>
        <w:t>o</w:t>
      </w:r>
      <w:r w:rsidRPr="00E02F30">
        <w:rPr>
          <w:rFonts w:eastAsia="Times New Roman" w:cs="Times New Roman"/>
          <w:bCs/>
          <w:szCs w:val="20"/>
          <w:lang w:eastAsia="pl-PL"/>
        </w:rPr>
        <w:t xml:space="preserve">C wykorzystywana będzie woda podziemna. </w:t>
      </w:r>
    </w:p>
    <w:p w14:paraId="34808463" w14:textId="77777777" w:rsidR="00E02F30" w:rsidRPr="00E02F30" w:rsidRDefault="00E02F30" w:rsidP="00E02F30">
      <w:pPr>
        <w:keepNext/>
        <w:widowControl w:val="0"/>
        <w:adjustRightInd w:val="0"/>
        <w:spacing w:after="0" w:line="276" w:lineRule="auto"/>
        <w:textAlignment w:val="baseline"/>
        <w:outlineLvl w:val="2"/>
        <w:rPr>
          <w:rFonts w:eastAsia="Calibri" w:cs="Times New Roman"/>
          <w:b/>
          <w:szCs w:val="20"/>
        </w:rPr>
      </w:pPr>
      <w:r w:rsidRPr="00E02F30">
        <w:rPr>
          <w:rFonts w:eastAsia="Calibri" w:cs="Times New Roman"/>
          <w:b/>
          <w:szCs w:val="20"/>
        </w:rPr>
        <w:t>IV.3. Warunki gospodarowania wytwarzanymi odpadami</w:t>
      </w:r>
    </w:p>
    <w:p w14:paraId="4163921F" w14:textId="77777777" w:rsidR="00E02F30" w:rsidRPr="00E02F30" w:rsidRDefault="00E02F30" w:rsidP="00E02F30">
      <w:pPr>
        <w:keepNext/>
        <w:widowControl w:val="0"/>
        <w:adjustRightInd w:val="0"/>
        <w:spacing w:after="0" w:line="276" w:lineRule="auto"/>
        <w:textAlignment w:val="baseline"/>
        <w:outlineLvl w:val="3"/>
        <w:rPr>
          <w:rFonts w:eastAsia="Times New Roman" w:cs="Times New Roman"/>
          <w:b/>
          <w:szCs w:val="20"/>
          <w:lang w:eastAsia="pl-PL"/>
        </w:rPr>
      </w:pPr>
      <w:r w:rsidRPr="00E02F30">
        <w:rPr>
          <w:rFonts w:eastAsia="Times New Roman" w:cs="Times New Roman"/>
          <w:b/>
          <w:szCs w:val="20"/>
          <w:lang w:eastAsia="pl-PL"/>
        </w:rPr>
        <w:t>IV.3.1. Miejsce i sposób magazynowania wytwarzanych odpadów</w:t>
      </w:r>
    </w:p>
    <w:p w14:paraId="23E98608"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IV.3.1.1.</w:t>
      </w:r>
      <w:r w:rsidRPr="00E02F30">
        <w:rPr>
          <w:rFonts w:eastAsia="Times New Roman" w:cs="Arial"/>
          <w:szCs w:val="24"/>
          <w:lang w:eastAsia="pl-PL"/>
        </w:rPr>
        <w:t xml:space="preserve"> </w:t>
      </w:r>
      <w:bookmarkStart w:id="9" w:name="_Hlk159830374"/>
      <w:r w:rsidRPr="00E02F30">
        <w:rPr>
          <w:rFonts w:eastAsia="Times New Roman" w:cs="Arial"/>
          <w:szCs w:val="24"/>
          <w:lang w:eastAsia="pl-PL"/>
        </w:rPr>
        <w:t>Miejsca magazynowania odpadów wytworzonych zlokalizowane będą na terenie, do którego prowadzący instalacje posiada tytuł prawny.</w:t>
      </w:r>
    </w:p>
    <w:bookmarkEnd w:id="9"/>
    <w:p w14:paraId="50C7A16B"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IV.3.1.2.</w:t>
      </w:r>
      <w:r w:rsidRPr="00E02F30">
        <w:rPr>
          <w:rFonts w:eastAsia="Times New Roman" w:cs="Arial"/>
          <w:szCs w:val="24"/>
          <w:lang w:eastAsia="pl-PL"/>
        </w:rPr>
        <w:t xml:space="preserve"> Wytwarzane odpady magazynowane będą selektywnie w opisanych, szczelnych pojemnikach, zbiornikach i kontenerach, w wyznaczonych miejscach magazynowania, zlokalizowanych w wiatach i magazynach odpadów, lub luzem na wyznaczonych szczelnych placach w sposób zabezpieczający środowisko przed ich szkodliwym oddziaływaniem. Magazyny wyposażone będą w materiały gaśnicze oraz sorbenty. Pomieszczenia magazynowe będą zabezpieczone przed dostępem osób nieupoważnionych.</w:t>
      </w:r>
    </w:p>
    <w:p w14:paraId="15886EC6" w14:textId="77777777" w:rsidR="00E02F30" w:rsidRPr="00E02F30" w:rsidRDefault="00E02F30" w:rsidP="00E02F30">
      <w:pPr>
        <w:spacing w:after="0" w:line="276" w:lineRule="auto"/>
        <w:jc w:val="both"/>
        <w:rPr>
          <w:rFonts w:eastAsia="Times New Roman" w:cs="Arial"/>
          <w:strike/>
          <w:szCs w:val="24"/>
          <w:lang w:eastAsia="pl-PL"/>
        </w:rPr>
      </w:pPr>
      <w:r w:rsidRPr="00E02F30">
        <w:rPr>
          <w:rFonts w:eastAsia="Times New Roman" w:cs="Arial"/>
          <w:b/>
          <w:szCs w:val="24"/>
          <w:lang w:eastAsia="pl-PL"/>
        </w:rPr>
        <w:t xml:space="preserve">IV.3.1.3. </w:t>
      </w:r>
      <w:r w:rsidRPr="00E02F30">
        <w:rPr>
          <w:rFonts w:eastAsia="Times New Roman" w:cs="Arial"/>
          <w:szCs w:val="24"/>
          <w:lang w:eastAsia="ar-SA"/>
        </w:rPr>
        <w:t xml:space="preserve">Wytwarzane odpady wymienione w punkcie II.3. decyzji magazynowane będą w celu zebrania odpowiedniej ilości przed transportem do miejsc odzysku bądź unieszkodliwiania, w wyznaczonych, oznakowanych miejscach w sposób uniemożliwiający ich negatywne oddziaływanie na środowisko i zdrowie ludzi. </w:t>
      </w:r>
      <w:r w:rsidRPr="00E02F30">
        <w:rPr>
          <w:rFonts w:eastAsia="Times New Roman" w:cs="Arial"/>
          <w:szCs w:val="24"/>
          <w:lang w:eastAsia="ar-SA"/>
        </w:rPr>
        <w:br/>
      </w:r>
      <w:r w:rsidRPr="00E02F30">
        <w:rPr>
          <w:rFonts w:eastAsia="Times New Roman" w:cs="Arial"/>
          <w:b/>
          <w:szCs w:val="24"/>
          <w:lang w:eastAsia="pl-PL"/>
        </w:rPr>
        <w:t xml:space="preserve">IV.3.1.4. </w:t>
      </w:r>
      <w:r w:rsidRPr="00E02F30">
        <w:rPr>
          <w:rFonts w:eastAsia="Times New Roman" w:cs="Arial"/>
          <w:szCs w:val="24"/>
          <w:lang w:eastAsia="ar-SA"/>
        </w:rPr>
        <w:t>P</w:t>
      </w:r>
      <w:r w:rsidRPr="00E02F30">
        <w:rPr>
          <w:rFonts w:eastAsia="Times New Roman" w:cs="Arial"/>
          <w:szCs w:val="24"/>
          <w:lang w:eastAsia="pl-PL"/>
        </w:rPr>
        <w:t>owierzchnie komunikacyjne przy obiektach przechowywania odpadów oraz miejsca przeładunkowe odpadów będą utwardzone, uszczelnione przed przeciekami wód opadowych do gruntu i utrzymywane w czystości.</w:t>
      </w:r>
    </w:p>
    <w:p w14:paraId="2E0E60CC" w14:textId="77777777" w:rsidR="00E02F30" w:rsidRPr="00E02F30" w:rsidRDefault="00E02F30" w:rsidP="00E02F30">
      <w:pPr>
        <w:keepNext/>
        <w:widowControl w:val="0"/>
        <w:adjustRightInd w:val="0"/>
        <w:spacing w:after="0" w:line="276" w:lineRule="auto"/>
        <w:jc w:val="both"/>
        <w:textAlignment w:val="baseline"/>
        <w:outlineLvl w:val="3"/>
        <w:rPr>
          <w:rFonts w:eastAsia="Calibri" w:cs="Times New Roman"/>
          <w:bCs/>
          <w:szCs w:val="20"/>
        </w:rPr>
      </w:pPr>
      <w:r w:rsidRPr="00E02F30">
        <w:rPr>
          <w:rFonts w:eastAsia="Calibri" w:cs="Times New Roman"/>
          <w:b/>
          <w:bCs/>
          <w:szCs w:val="20"/>
        </w:rPr>
        <w:t xml:space="preserve">IV.3.2. </w:t>
      </w:r>
      <w:r w:rsidRPr="00E02F30">
        <w:rPr>
          <w:rFonts w:eastAsia="Calibri" w:cs="Times New Roman"/>
          <w:bCs/>
          <w:szCs w:val="20"/>
        </w:rPr>
        <w:t>Sposób dalszego gospodarowania wytwarzanymi odpadami przedstawia Tabela nr 4 niniejszej decyzji.</w:t>
      </w:r>
    </w:p>
    <w:p w14:paraId="78A434CB" w14:textId="77777777" w:rsidR="00E02F30" w:rsidRPr="00E02F30" w:rsidRDefault="00E02F30" w:rsidP="00E02F30">
      <w:pPr>
        <w:widowControl w:val="0"/>
        <w:spacing w:after="0" w:line="276" w:lineRule="auto"/>
        <w:jc w:val="both"/>
        <w:rPr>
          <w:rFonts w:eastAsia="Times New Roman" w:cs="Arial"/>
          <w:b/>
          <w:szCs w:val="24"/>
          <w:lang w:eastAsia="pl-PL"/>
        </w:rPr>
      </w:pPr>
      <w:r w:rsidRPr="00E02F30">
        <w:rPr>
          <w:rFonts w:eastAsia="Times New Roman" w:cs="Arial"/>
          <w:b/>
          <w:szCs w:val="24"/>
          <w:lang w:val="x-none" w:eastAsia="pl-PL"/>
        </w:rPr>
        <w:t xml:space="preserve">IV.3.2.1. </w:t>
      </w:r>
      <w:r w:rsidRPr="00E02F30">
        <w:rPr>
          <w:rFonts w:eastAsia="Times New Roman" w:cs="Arial"/>
          <w:sz w:val="23"/>
          <w:szCs w:val="24"/>
          <w:lang w:val="x-none" w:eastAsia="pl-PL"/>
        </w:rPr>
        <w:t>Wytwarzane odpady wymienione w Tabeli nr 4 niniejszej decyzji</w:t>
      </w:r>
      <w:r w:rsidRPr="00E02F30">
        <w:rPr>
          <w:rFonts w:eastAsia="Times New Roman" w:cs="Arial"/>
          <w:sz w:val="23"/>
          <w:szCs w:val="24"/>
          <w:lang w:eastAsia="pl-PL"/>
        </w:rPr>
        <w:t xml:space="preserve"> </w:t>
      </w:r>
      <w:r w:rsidRPr="00E02F30">
        <w:rPr>
          <w:rFonts w:eastAsia="Times New Roman" w:cs="Arial"/>
          <w:sz w:val="23"/>
          <w:szCs w:val="24"/>
          <w:lang w:val="x-none" w:eastAsia="pl-PL"/>
        </w:rPr>
        <w:t>przekazywane będą innym posiadaczom – firmom specjalistycznym posiadającym aktualne zezwolenia na prowadzenie działalności w zakresie transportu, zbierania, odzysku i/lub unieszkodliwiania</w:t>
      </w:r>
      <w:r w:rsidRPr="00E02F30">
        <w:rPr>
          <w:rFonts w:eastAsia="Times New Roman" w:cs="Arial"/>
          <w:sz w:val="23"/>
          <w:szCs w:val="24"/>
          <w:lang w:eastAsia="pl-PL"/>
        </w:rPr>
        <w:t xml:space="preserve"> </w:t>
      </w:r>
      <w:r w:rsidRPr="00E02F30">
        <w:rPr>
          <w:rFonts w:eastAsia="Times New Roman" w:cs="Arial"/>
          <w:sz w:val="23"/>
          <w:szCs w:val="24"/>
          <w:lang w:val="x-none" w:eastAsia="pl-PL"/>
        </w:rPr>
        <w:t>odpadów</w:t>
      </w:r>
      <w:r w:rsidRPr="00E02F30">
        <w:rPr>
          <w:rFonts w:eastAsia="Times New Roman" w:cs="Arial"/>
          <w:b/>
          <w:szCs w:val="24"/>
          <w:lang w:eastAsia="pl-PL"/>
        </w:rPr>
        <w:t>.</w:t>
      </w:r>
    </w:p>
    <w:p w14:paraId="4E8A42E9" w14:textId="77777777" w:rsidR="00E02F30" w:rsidRPr="00E02F30" w:rsidRDefault="00E02F30" w:rsidP="00E02F30">
      <w:pPr>
        <w:widowControl w:val="0"/>
        <w:spacing w:after="0" w:line="276" w:lineRule="auto"/>
        <w:jc w:val="both"/>
        <w:rPr>
          <w:rFonts w:eastAsia="Times New Roman" w:cs="Arial"/>
          <w:szCs w:val="24"/>
          <w:lang w:val="x-none" w:eastAsia="ar-SA"/>
        </w:rPr>
      </w:pPr>
      <w:r w:rsidRPr="00E02F30">
        <w:rPr>
          <w:rFonts w:eastAsia="Times New Roman" w:cs="Arial"/>
          <w:b/>
          <w:szCs w:val="24"/>
          <w:lang w:val="x-none" w:eastAsia="pl-PL"/>
        </w:rPr>
        <w:t>IV.3.2.</w:t>
      </w:r>
      <w:r w:rsidRPr="00E02F30">
        <w:rPr>
          <w:rFonts w:eastAsia="Times New Roman" w:cs="Arial"/>
          <w:b/>
          <w:szCs w:val="24"/>
          <w:lang w:eastAsia="pl-PL"/>
        </w:rPr>
        <w:t>2</w:t>
      </w:r>
      <w:r w:rsidRPr="00E02F30">
        <w:rPr>
          <w:rFonts w:eastAsia="Times New Roman" w:cs="Arial"/>
          <w:b/>
          <w:szCs w:val="24"/>
          <w:lang w:val="x-none" w:eastAsia="pl-PL"/>
        </w:rPr>
        <w:t>.</w:t>
      </w:r>
      <w:r w:rsidRPr="00E02F30">
        <w:rPr>
          <w:rFonts w:eastAsia="Times New Roman" w:cs="Arial"/>
          <w:b/>
          <w:szCs w:val="24"/>
          <w:lang w:eastAsia="pl-PL"/>
        </w:rPr>
        <w:t xml:space="preserve"> </w:t>
      </w:r>
      <w:r w:rsidRPr="00E02F30">
        <w:rPr>
          <w:rFonts w:eastAsia="Times New Roman" w:cs="Arial"/>
          <w:sz w:val="23"/>
          <w:szCs w:val="24"/>
          <w:lang w:val="x-none" w:eastAsia="ar-SA"/>
        </w:rPr>
        <w:t xml:space="preserve">Odpady transportowane będą środkami transportu odbiorców odpadów posiadających wymagane prawem zezwolenia, z częstotliwością wynikającą </w:t>
      </w:r>
      <w:r w:rsidRPr="00E02F30">
        <w:rPr>
          <w:rFonts w:eastAsia="Times New Roman" w:cs="Arial"/>
          <w:sz w:val="23"/>
          <w:szCs w:val="24"/>
          <w:lang w:val="x-none" w:eastAsia="ar-SA"/>
        </w:rPr>
        <w:br/>
        <w:t>z procesów technologicznych oraz wynikającą z zebrania odpowiedniej ilości tych odpadów do transportu.</w:t>
      </w:r>
      <w:r w:rsidRPr="00E02F30">
        <w:rPr>
          <w:rFonts w:eastAsia="Times New Roman" w:cs="Arial"/>
          <w:sz w:val="23"/>
          <w:szCs w:val="24"/>
          <w:lang w:eastAsia="ar-SA"/>
        </w:rPr>
        <w:t xml:space="preserve"> </w:t>
      </w:r>
      <w:r w:rsidRPr="00E02F30">
        <w:rPr>
          <w:rFonts w:eastAsia="Times New Roman" w:cs="Arial"/>
          <w:szCs w:val="24"/>
          <w:lang w:val="x-none" w:eastAsia="pl-PL"/>
        </w:rPr>
        <w:t>O</w:t>
      </w:r>
      <w:r w:rsidRPr="00E02F30">
        <w:rPr>
          <w:rFonts w:eastAsia="Times New Roman" w:cs="Arial"/>
          <w:szCs w:val="24"/>
          <w:lang w:val="x-none" w:eastAsia="ar-SA"/>
        </w:rPr>
        <w:t>dpady podczas transportu zabezpieczone</w:t>
      </w:r>
      <w:r w:rsidRPr="00E02F30">
        <w:rPr>
          <w:rFonts w:eastAsia="Times New Roman" w:cs="Arial"/>
          <w:szCs w:val="24"/>
          <w:lang w:eastAsia="ar-SA"/>
        </w:rPr>
        <w:t xml:space="preserve"> będą </w:t>
      </w:r>
      <w:r w:rsidRPr="00E02F30">
        <w:rPr>
          <w:rFonts w:eastAsia="Times New Roman" w:cs="Arial"/>
          <w:szCs w:val="24"/>
          <w:lang w:val="x-none" w:eastAsia="ar-SA"/>
        </w:rPr>
        <w:t>przed przypadkowym rozproszeniem.</w:t>
      </w:r>
    </w:p>
    <w:p w14:paraId="2935C587" w14:textId="77777777" w:rsidR="00E02F30" w:rsidRPr="00E02F30" w:rsidRDefault="00E02F30" w:rsidP="00E02F30">
      <w:pPr>
        <w:keepNext/>
        <w:widowControl w:val="0"/>
        <w:adjustRightInd w:val="0"/>
        <w:spacing w:after="0" w:line="276" w:lineRule="auto"/>
        <w:textAlignment w:val="baseline"/>
        <w:outlineLvl w:val="2"/>
        <w:rPr>
          <w:rFonts w:eastAsia="Calibri" w:cs="Times New Roman"/>
          <w:b/>
          <w:szCs w:val="20"/>
        </w:rPr>
      </w:pPr>
      <w:r w:rsidRPr="00E02F30">
        <w:rPr>
          <w:rFonts w:eastAsia="Calibri" w:cs="Times New Roman"/>
          <w:b/>
          <w:szCs w:val="20"/>
        </w:rPr>
        <w:t>IV.4. Warunki emisji hałasu do środowiska</w:t>
      </w:r>
    </w:p>
    <w:p w14:paraId="0EE7A091" w14:textId="77777777" w:rsidR="00E02F30" w:rsidRPr="00E02F30" w:rsidRDefault="00E02F30" w:rsidP="00E02F30">
      <w:pPr>
        <w:keepNext/>
        <w:widowControl w:val="0"/>
        <w:adjustRightInd w:val="0"/>
        <w:spacing w:after="0" w:line="276" w:lineRule="auto"/>
        <w:textAlignment w:val="baseline"/>
        <w:outlineLvl w:val="3"/>
        <w:rPr>
          <w:rFonts w:eastAsia="Calibri" w:cs="Times New Roman"/>
          <w:b/>
          <w:szCs w:val="20"/>
        </w:rPr>
      </w:pPr>
      <w:r w:rsidRPr="00E02F30">
        <w:rPr>
          <w:rFonts w:eastAsia="Calibri" w:cs="Times New Roman"/>
          <w:b/>
          <w:bCs/>
          <w:szCs w:val="20"/>
        </w:rPr>
        <w:t>IV.4.1</w:t>
      </w:r>
      <w:r w:rsidRPr="00E02F30">
        <w:rPr>
          <w:rFonts w:eastAsia="Calibri" w:cs="Times New Roman"/>
          <w:b/>
          <w:szCs w:val="20"/>
        </w:rPr>
        <w:t>. Źródła hałasu i rozkład czasu ich pracy w ciągu doby</w:t>
      </w:r>
    </w:p>
    <w:p w14:paraId="670789F4" w14:textId="77777777" w:rsidR="00E02F30" w:rsidRPr="00E02F30" w:rsidRDefault="00E02F30" w:rsidP="00E02F30">
      <w:pPr>
        <w:keepNext/>
        <w:widowControl w:val="0"/>
        <w:adjustRightInd w:val="0"/>
        <w:spacing w:after="0" w:line="276" w:lineRule="auto"/>
        <w:textAlignment w:val="baseline"/>
        <w:outlineLvl w:val="4"/>
        <w:rPr>
          <w:rFonts w:eastAsia="Calibri" w:cs="Times New Roman"/>
          <w:szCs w:val="20"/>
        </w:rPr>
      </w:pPr>
      <w:r w:rsidRPr="00E02F30">
        <w:rPr>
          <w:rFonts w:eastAsia="Calibri" w:cs="Times New Roman"/>
          <w:szCs w:val="20"/>
        </w:rPr>
        <w:t>Tabela nr 8</w:t>
      </w:r>
    </w:p>
    <w:tbl>
      <w:tblPr>
        <w:tblpPr w:leftFromText="141" w:rightFromText="141" w:vertAnchor="text" w:tblpXSpec="center" w:tblpY="1"/>
        <w:tblOverlap w:val="never"/>
        <w:tblW w:w="8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70" w:type="dxa"/>
          <w:right w:w="70" w:type="dxa"/>
        </w:tblCellMar>
        <w:tblLook w:val="04A0" w:firstRow="1" w:lastRow="0" w:firstColumn="1" w:lastColumn="0" w:noHBand="0" w:noVBand="1"/>
        <w:tblDescription w:val="Przedstawia 12 źródeł hałasu w instalacji, ich symbol oraz czas pracy w porze dziennej oraz nocnej."/>
      </w:tblPr>
      <w:tblGrid>
        <w:gridCol w:w="699"/>
        <w:gridCol w:w="4253"/>
        <w:gridCol w:w="1134"/>
        <w:gridCol w:w="1417"/>
        <w:gridCol w:w="1418"/>
      </w:tblGrid>
      <w:tr w:rsidR="00E02F30" w:rsidRPr="00E02F30" w14:paraId="7AE29BD8" w14:textId="77777777" w:rsidTr="00A1631B">
        <w:trPr>
          <w:cantSplit/>
          <w:trHeight w:val="265"/>
          <w:tblHeader/>
        </w:trPr>
        <w:tc>
          <w:tcPr>
            <w:tcW w:w="699" w:type="dxa"/>
            <w:vMerge w:val="restart"/>
            <w:shd w:val="clear" w:color="auto" w:fill="FFFFFF"/>
            <w:vAlign w:val="center"/>
            <w:hideMark/>
          </w:tcPr>
          <w:p w14:paraId="27444715" w14:textId="77777777" w:rsidR="00E02F30" w:rsidRPr="00E02F30" w:rsidRDefault="00E02F30" w:rsidP="00E02F30">
            <w:pPr>
              <w:spacing w:after="0" w:line="276" w:lineRule="auto"/>
              <w:ind w:left="-1107" w:firstLine="708"/>
              <w:contextualSpacing/>
              <w:jc w:val="center"/>
              <w:rPr>
                <w:rFonts w:eastAsia="Times New Roman" w:cs="Arial"/>
                <w:b/>
                <w:sz w:val="20"/>
                <w:szCs w:val="20"/>
                <w:lang w:eastAsia="pl-PL"/>
              </w:rPr>
            </w:pPr>
            <w:r w:rsidRPr="00E02F30">
              <w:rPr>
                <w:rFonts w:eastAsia="Times New Roman" w:cs="Arial"/>
                <w:b/>
                <w:sz w:val="20"/>
                <w:szCs w:val="20"/>
                <w:lang w:eastAsia="pl-PL"/>
              </w:rPr>
              <w:t>Lp.</w:t>
            </w:r>
          </w:p>
        </w:tc>
        <w:tc>
          <w:tcPr>
            <w:tcW w:w="4253" w:type="dxa"/>
            <w:vMerge w:val="restart"/>
            <w:shd w:val="clear" w:color="auto" w:fill="FFFFFF"/>
            <w:vAlign w:val="center"/>
            <w:hideMark/>
          </w:tcPr>
          <w:p w14:paraId="0167CA9F" w14:textId="77777777" w:rsidR="00E02F30" w:rsidRPr="00E02F30" w:rsidRDefault="00E02F30" w:rsidP="00E02F30">
            <w:pPr>
              <w:spacing w:after="0" w:line="276" w:lineRule="auto"/>
              <w:ind w:firstLine="5"/>
              <w:contextualSpacing/>
              <w:jc w:val="both"/>
              <w:rPr>
                <w:rFonts w:eastAsia="Times New Roman" w:cs="Arial"/>
                <w:b/>
                <w:sz w:val="20"/>
                <w:szCs w:val="20"/>
                <w:lang w:eastAsia="pl-PL"/>
              </w:rPr>
            </w:pPr>
            <w:r w:rsidRPr="00E02F30">
              <w:rPr>
                <w:rFonts w:eastAsia="Times New Roman" w:cs="Arial"/>
                <w:b/>
                <w:sz w:val="20"/>
                <w:szCs w:val="20"/>
                <w:lang w:eastAsia="pl-PL"/>
              </w:rPr>
              <w:t>Źródło hałasu</w:t>
            </w:r>
          </w:p>
        </w:tc>
        <w:tc>
          <w:tcPr>
            <w:tcW w:w="1134" w:type="dxa"/>
            <w:vMerge w:val="restart"/>
            <w:shd w:val="clear" w:color="auto" w:fill="FFFFFF"/>
            <w:vAlign w:val="center"/>
          </w:tcPr>
          <w:p w14:paraId="05D4EF03" w14:textId="77777777" w:rsidR="00E02F30" w:rsidRPr="00E02F30" w:rsidRDefault="00E02F30" w:rsidP="00E02F30">
            <w:pPr>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Symbol</w:t>
            </w:r>
          </w:p>
        </w:tc>
        <w:tc>
          <w:tcPr>
            <w:tcW w:w="2835" w:type="dxa"/>
            <w:gridSpan w:val="2"/>
            <w:shd w:val="clear" w:color="auto" w:fill="FFFFFF"/>
            <w:vAlign w:val="center"/>
          </w:tcPr>
          <w:p w14:paraId="54E1F0E0" w14:textId="77777777" w:rsidR="00E02F30" w:rsidRPr="00E02F30" w:rsidRDefault="00E02F30" w:rsidP="00E02F30">
            <w:pPr>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Czas pracy [h]</w:t>
            </w:r>
          </w:p>
        </w:tc>
      </w:tr>
      <w:tr w:rsidR="00E02F30" w:rsidRPr="00E02F30" w14:paraId="5D63C232" w14:textId="77777777" w:rsidTr="00A1631B">
        <w:trPr>
          <w:cantSplit/>
          <w:trHeight w:val="255"/>
          <w:tblHeader/>
        </w:trPr>
        <w:tc>
          <w:tcPr>
            <w:tcW w:w="699" w:type="dxa"/>
            <w:vMerge/>
            <w:shd w:val="clear" w:color="auto" w:fill="FFFFFF"/>
            <w:vAlign w:val="center"/>
            <w:hideMark/>
          </w:tcPr>
          <w:p w14:paraId="62819F95" w14:textId="77777777" w:rsidR="00E02F30" w:rsidRPr="00E02F30" w:rsidRDefault="00E02F30" w:rsidP="00E02F30">
            <w:pPr>
              <w:spacing w:after="0" w:line="276" w:lineRule="auto"/>
              <w:ind w:left="-1107" w:firstLine="709"/>
              <w:contextualSpacing/>
              <w:jc w:val="both"/>
              <w:rPr>
                <w:rFonts w:eastAsia="Times New Roman" w:cs="Arial"/>
                <w:b/>
                <w:sz w:val="20"/>
                <w:szCs w:val="20"/>
                <w:lang w:eastAsia="pl-PL"/>
              </w:rPr>
            </w:pPr>
          </w:p>
        </w:tc>
        <w:tc>
          <w:tcPr>
            <w:tcW w:w="4253" w:type="dxa"/>
            <w:vMerge/>
            <w:shd w:val="clear" w:color="auto" w:fill="FFFFFF"/>
            <w:vAlign w:val="center"/>
            <w:hideMark/>
          </w:tcPr>
          <w:p w14:paraId="21D4098C" w14:textId="77777777" w:rsidR="00E02F30" w:rsidRPr="00E02F30" w:rsidRDefault="00E02F30" w:rsidP="00E02F30">
            <w:pPr>
              <w:spacing w:after="0" w:line="276" w:lineRule="auto"/>
              <w:ind w:firstLine="709"/>
              <w:contextualSpacing/>
              <w:jc w:val="both"/>
              <w:rPr>
                <w:rFonts w:eastAsia="Times New Roman" w:cs="Arial"/>
                <w:b/>
                <w:sz w:val="20"/>
                <w:szCs w:val="20"/>
                <w:lang w:eastAsia="pl-PL"/>
              </w:rPr>
            </w:pPr>
          </w:p>
        </w:tc>
        <w:tc>
          <w:tcPr>
            <w:tcW w:w="1134" w:type="dxa"/>
            <w:vMerge/>
            <w:shd w:val="clear" w:color="auto" w:fill="FFFFFF"/>
            <w:vAlign w:val="center"/>
          </w:tcPr>
          <w:p w14:paraId="5E7F0158" w14:textId="77777777" w:rsidR="00E02F30" w:rsidRPr="00E02F30" w:rsidRDefault="00E02F30" w:rsidP="00E02F30">
            <w:pPr>
              <w:spacing w:after="0" w:line="276" w:lineRule="auto"/>
              <w:contextualSpacing/>
              <w:jc w:val="center"/>
              <w:rPr>
                <w:rFonts w:eastAsia="Times New Roman" w:cs="Arial"/>
                <w:b/>
                <w:sz w:val="20"/>
                <w:szCs w:val="20"/>
                <w:lang w:eastAsia="pl-PL"/>
              </w:rPr>
            </w:pPr>
          </w:p>
        </w:tc>
        <w:tc>
          <w:tcPr>
            <w:tcW w:w="1417" w:type="dxa"/>
            <w:shd w:val="clear" w:color="auto" w:fill="FFFFFF"/>
            <w:vAlign w:val="center"/>
          </w:tcPr>
          <w:p w14:paraId="496383BB" w14:textId="77777777" w:rsidR="00E02F30" w:rsidRPr="00E02F30" w:rsidRDefault="00E02F30" w:rsidP="00E02F30">
            <w:pPr>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Pora dzienna</w:t>
            </w:r>
          </w:p>
        </w:tc>
        <w:tc>
          <w:tcPr>
            <w:tcW w:w="1418" w:type="dxa"/>
            <w:shd w:val="clear" w:color="auto" w:fill="FFFFFF"/>
            <w:vAlign w:val="center"/>
          </w:tcPr>
          <w:p w14:paraId="09C172F4" w14:textId="77777777" w:rsidR="00E02F30" w:rsidRPr="00E02F30" w:rsidRDefault="00E02F30" w:rsidP="00E02F30">
            <w:pPr>
              <w:spacing w:after="0" w:line="276" w:lineRule="auto"/>
              <w:contextualSpacing/>
              <w:jc w:val="center"/>
              <w:rPr>
                <w:rFonts w:eastAsia="Times New Roman" w:cs="Arial"/>
                <w:b/>
                <w:sz w:val="20"/>
                <w:szCs w:val="20"/>
                <w:lang w:eastAsia="pl-PL"/>
              </w:rPr>
            </w:pPr>
            <w:r w:rsidRPr="00E02F30">
              <w:rPr>
                <w:rFonts w:eastAsia="Times New Roman" w:cs="Arial"/>
                <w:b/>
                <w:sz w:val="20"/>
                <w:szCs w:val="20"/>
                <w:lang w:eastAsia="pl-PL"/>
              </w:rPr>
              <w:t>Pora nocna</w:t>
            </w:r>
          </w:p>
        </w:tc>
      </w:tr>
      <w:tr w:rsidR="00E02F30" w:rsidRPr="00E02F30" w14:paraId="7F569291" w14:textId="77777777" w:rsidTr="00A1631B">
        <w:trPr>
          <w:cantSplit/>
          <w:trHeight w:val="170"/>
        </w:trPr>
        <w:tc>
          <w:tcPr>
            <w:tcW w:w="699" w:type="dxa"/>
            <w:shd w:val="clear" w:color="auto" w:fill="FFFFFF"/>
            <w:vAlign w:val="center"/>
          </w:tcPr>
          <w:p w14:paraId="571DE3E9"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shd w:val="clear" w:color="auto" w:fill="FFFFFF"/>
            <w:vAlign w:val="center"/>
          </w:tcPr>
          <w:p w14:paraId="30BD4321"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Linia ob. 524. Wentylacja mechaniczna z pomieszczeń produkcyjnych</w:t>
            </w:r>
          </w:p>
        </w:tc>
        <w:tc>
          <w:tcPr>
            <w:tcW w:w="1134" w:type="dxa"/>
            <w:shd w:val="clear" w:color="auto" w:fill="FFFFFF"/>
            <w:vAlign w:val="center"/>
          </w:tcPr>
          <w:p w14:paraId="67C50886"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H1-Z</w:t>
            </w:r>
          </w:p>
        </w:tc>
        <w:tc>
          <w:tcPr>
            <w:tcW w:w="1417" w:type="dxa"/>
            <w:shd w:val="clear" w:color="auto" w:fill="FFFFFF"/>
            <w:vAlign w:val="center"/>
          </w:tcPr>
          <w:p w14:paraId="0CE4FE16"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47F439B4"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r w:rsidR="00E02F30" w:rsidRPr="00E02F30" w14:paraId="6A59AF1A" w14:textId="77777777" w:rsidTr="00A1631B">
        <w:trPr>
          <w:cantSplit/>
          <w:trHeight w:val="170"/>
        </w:trPr>
        <w:tc>
          <w:tcPr>
            <w:tcW w:w="699" w:type="dxa"/>
            <w:shd w:val="clear" w:color="auto" w:fill="FFFFFF"/>
            <w:vAlign w:val="center"/>
          </w:tcPr>
          <w:p w14:paraId="3741BF42"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7053271B"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Wentylator tłoczny do E-2/Z</w:t>
            </w:r>
          </w:p>
        </w:tc>
        <w:tc>
          <w:tcPr>
            <w:tcW w:w="1134" w:type="dxa"/>
            <w:tcBorders>
              <w:top w:val="nil"/>
              <w:left w:val="single" w:sz="4" w:space="0" w:color="auto"/>
              <w:bottom w:val="single" w:sz="4" w:space="0" w:color="auto"/>
              <w:right w:val="single" w:sz="4" w:space="0" w:color="auto"/>
            </w:tcBorders>
            <w:shd w:val="clear" w:color="auto" w:fill="auto"/>
            <w:vAlign w:val="center"/>
          </w:tcPr>
          <w:p w14:paraId="411038BC"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H2-Z</w:t>
            </w:r>
          </w:p>
        </w:tc>
        <w:tc>
          <w:tcPr>
            <w:tcW w:w="1417" w:type="dxa"/>
            <w:shd w:val="clear" w:color="auto" w:fill="FFFFFF"/>
            <w:vAlign w:val="center"/>
          </w:tcPr>
          <w:p w14:paraId="265D5CF0"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66C33874"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r w:rsidR="00E02F30" w:rsidRPr="00E02F30" w14:paraId="478D23AC" w14:textId="77777777" w:rsidTr="00A1631B">
        <w:trPr>
          <w:cantSplit/>
          <w:trHeight w:val="170"/>
        </w:trPr>
        <w:tc>
          <w:tcPr>
            <w:tcW w:w="699" w:type="dxa"/>
            <w:shd w:val="clear" w:color="auto" w:fill="FFFFFF"/>
            <w:vAlign w:val="center"/>
          </w:tcPr>
          <w:p w14:paraId="0D9F670B"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3740C85E"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 xml:space="preserve">Urządzenia technologiczne (zbiorniki, reaktory i mieszalniki) w linii ob. 501 oraz linii ob. 524 i 524a – dopalacz termiczny komorowy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B53A0E7"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H3-Z</w:t>
            </w:r>
          </w:p>
        </w:tc>
        <w:tc>
          <w:tcPr>
            <w:tcW w:w="1417" w:type="dxa"/>
            <w:shd w:val="clear" w:color="auto" w:fill="FFFFFF"/>
            <w:vAlign w:val="center"/>
          </w:tcPr>
          <w:p w14:paraId="6250A731"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4B2AE482"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r w:rsidR="00E02F30" w:rsidRPr="00E02F30" w14:paraId="1DF8CFCA" w14:textId="77777777" w:rsidTr="00A1631B">
        <w:trPr>
          <w:cantSplit/>
          <w:trHeight w:val="170"/>
        </w:trPr>
        <w:tc>
          <w:tcPr>
            <w:tcW w:w="699" w:type="dxa"/>
            <w:shd w:val="clear" w:color="auto" w:fill="FFFFFF"/>
            <w:vAlign w:val="center"/>
          </w:tcPr>
          <w:p w14:paraId="0C9E4C2A"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2FDC9018"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Wentylator</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90C255"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H4-Z</w:t>
            </w:r>
          </w:p>
        </w:tc>
        <w:tc>
          <w:tcPr>
            <w:tcW w:w="1417" w:type="dxa"/>
            <w:shd w:val="clear" w:color="auto" w:fill="FFFFFF"/>
            <w:vAlign w:val="center"/>
          </w:tcPr>
          <w:p w14:paraId="3B7C1A02"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22FEA47B"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r w:rsidR="00E02F30" w:rsidRPr="00E02F30" w14:paraId="6D702746" w14:textId="77777777" w:rsidTr="00A1631B">
        <w:trPr>
          <w:cantSplit/>
          <w:trHeight w:val="170"/>
        </w:trPr>
        <w:tc>
          <w:tcPr>
            <w:tcW w:w="699" w:type="dxa"/>
            <w:shd w:val="clear" w:color="auto" w:fill="FFFFFF"/>
            <w:vAlign w:val="center"/>
          </w:tcPr>
          <w:p w14:paraId="6D482856"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04404EAD"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Linia ob. 501. Wentylacja mechaniczna (ogólna) od strony północnej.</w:t>
            </w:r>
          </w:p>
        </w:tc>
        <w:tc>
          <w:tcPr>
            <w:tcW w:w="1134" w:type="dxa"/>
            <w:tcBorders>
              <w:top w:val="nil"/>
              <w:left w:val="single" w:sz="4" w:space="0" w:color="auto"/>
              <w:bottom w:val="single" w:sz="4" w:space="0" w:color="auto"/>
              <w:right w:val="single" w:sz="4" w:space="0" w:color="auto"/>
            </w:tcBorders>
            <w:shd w:val="clear" w:color="auto" w:fill="auto"/>
            <w:vAlign w:val="center"/>
          </w:tcPr>
          <w:p w14:paraId="3216F7D3"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H5-Z</w:t>
            </w:r>
          </w:p>
        </w:tc>
        <w:tc>
          <w:tcPr>
            <w:tcW w:w="1417" w:type="dxa"/>
            <w:shd w:val="clear" w:color="auto" w:fill="FFFFFF"/>
            <w:vAlign w:val="center"/>
          </w:tcPr>
          <w:p w14:paraId="362E1D3D"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222480DB"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r w:rsidR="00E02F30" w:rsidRPr="00E02F30" w14:paraId="26A4B084" w14:textId="77777777" w:rsidTr="00A1631B">
        <w:trPr>
          <w:cantSplit/>
          <w:trHeight w:val="170"/>
        </w:trPr>
        <w:tc>
          <w:tcPr>
            <w:tcW w:w="699" w:type="dxa"/>
            <w:shd w:val="clear" w:color="auto" w:fill="FFFFFF"/>
            <w:vAlign w:val="center"/>
          </w:tcPr>
          <w:p w14:paraId="029FA0D8"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40EA2E0C"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 xml:space="preserve">Linia ob. 501. Wentylacja mechaniczna znad </w:t>
            </w:r>
            <w:proofErr w:type="spellStart"/>
            <w:r w:rsidRPr="00E02F30">
              <w:rPr>
                <w:rFonts w:eastAsia="Times New Roman" w:cs="Arial"/>
                <w:sz w:val="20"/>
                <w:szCs w:val="20"/>
                <w:lang w:eastAsia="pl-PL"/>
              </w:rPr>
              <w:t>łuskownika</w:t>
            </w:r>
            <w:proofErr w:type="spellEnd"/>
            <w:r w:rsidRPr="00E02F30">
              <w:rPr>
                <w:rFonts w:eastAsia="Times New Roman" w:cs="Arial"/>
                <w:sz w:val="20"/>
                <w:szCs w:val="20"/>
                <w:lang w:eastAsia="pl-PL"/>
              </w:rPr>
              <w:t xml:space="preserve"> Żywic KN i Mieszalnika 2.</w:t>
            </w:r>
          </w:p>
        </w:tc>
        <w:tc>
          <w:tcPr>
            <w:tcW w:w="1134" w:type="dxa"/>
            <w:tcBorders>
              <w:top w:val="nil"/>
              <w:left w:val="single" w:sz="4" w:space="0" w:color="auto"/>
              <w:bottom w:val="single" w:sz="4" w:space="0" w:color="auto"/>
              <w:right w:val="single" w:sz="4" w:space="0" w:color="auto"/>
            </w:tcBorders>
            <w:shd w:val="clear" w:color="auto" w:fill="auto"/>
            <w:vAlign w:val="center"/>
          </w:tcPr>
          <w:p w14:paraId="72F5694F"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H6-Z</w:t>
            </w:r>
          </w:p>
        </w:tc>
        <w:tc>
          <w:tcPr>
            <w:tcW w:w="1417" w:type="dxa"/>
            <w:shd w:val="clear" w:color="auto" w:fill="FFFFFF"/>
            <w:vAlign w:val="center"/>
          </w:tcPr>
          <w:p w14:paraId="4BD60292"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6C2D7314"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r w:rsidR="00E02F30" w:rsidRPr="00E02F30" w14:paraId="41908286" w14:textId="77777777" w:rsidTr="00A1631B">
        <w:trPr>
          <w:cantSplit/>
          <w:trHeight w:val="170"/>
        </w:trPr>
        <w:tc>
          <w:tcPr>
            <w:tcW w:w="699" w:type="dxa"/>
            <w:shd w:val="clear" w:color="auto" w:fill="FFFFFF"/>
            <w:vAlign w:val="center"/>
          </w:tcPr>
          <w:p w14:paraId="17148150"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08B186E0"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Linia ob. 501. Wentylacja mechaniczna (ogólna) od strony południowej.</w:t>
            </w:r>
          </w:p>
        </w:tc>
        <w:tc>
          <w:tcPr>
            <w:tcW w:w="1134" w:type="dxa"/>
            <w:tcBorders>
              <w:top w:val="nil"/>
              <w:left w:val="single" w:sz="4" w:space="0" w:color="auto"/>
              <w:bottom w:val="single" w:sz="4" w:space="0" w:color="auto"/>
              <w:right w:val="single" w:sz="4" w:space="0" w:color="auto"/>
            </w:tcBorders>
            <w:shd w:val="clear" w:color="auto" w:fill="auto"/>
            <w:vAlign w:val="center"/>
          </w:tcPr>
          <w:p w14:paraId="1D8FE451"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H7-Z</w:t>
            </w:r>
          </w:p>
        </w:tc>
        <w:tc>
          <w:tcPr>
            <w:tcW w:w="1417" w:type="dxa"/>
            <w:shd w:val="clear" w:color="auto" w:fill="FFFFFF"/>
            <w:vAlign w:val="center"/>
          </w:tcPr>
          <w:p w14:paraId="3436BFF5"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336EED40"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r w:rsidR="00E02F30" w:rsidRPr="00E02F30" w14:paraId="742CCEC7" w14:textId="77777777" w:rsidTr="00A1631B">
        <w:trPr>
          <w:cantSplit/>
          <w:trHeight w:val="170"/>
        </w:trPr>
        <w:tc>
          <w:tcPr>
            <w:tcW w:w="699" w:type="dxa"/>
            <w:shd w:val="clear" w:color="auto" w:fill="FFFFFF"/>
            <w:vAlign w:val="center"/>
          </w:tcPr>
          <w:p w14:paraId="5FEC1316"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7EA52CF9"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Wentylator tłoczny do E-2/Z</w:t>
            </w:r>
          </w:p>
        </w:tc>
        <w:tc>
          <w:tcPr>
            <w:tcW w:w="1134" w:type="dxa"/>
            <w:tcBorders>
              <w:top w:val="nil"/>
              <w:left w:val="single" w:sz="4" w:space="0" w:color="auto"/>
              <w:bottom w:val="single" w:sz="4" w:space="0" w:color="auto"/>
              <w:right w:val="single" w:sz="4" w:space="0" w:color="auto"/>
            </w:tcBorders>
            <w:shd w:val="clear" w:color="auto" w:fill="auto"/>
            <w:vAlign w:val="center"/>
          </w:tcPr>
          <w:p w14:paraId="21BB4192"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H8-Z</w:t>
            </w:r>
          </w:p>
        </w:tc>
        <w:tc>
          <w:tcPr>
            <w:tcW w:w="1417" w:type="dxa"/>
            <w:shd w:val="clear" w:color="auto" w:fill="FFFFFF"/>
            <w:vAlign w:val="center"/>
          </w:tcPr>
          <w:p w14:paraId="27CF5449"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57E12A9E"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r w:rsidR="00E02F30" w:rsidRPr="00E02F30" w14:paraId="27B11AD6" w14:textId="77777777" w:rsidTr="00A1631B">
        <w:trPr>
          <w:cantSplit/>
          <w:trHeight w:val="170"/>
        </w:trPr>
        <w:tc>
          <w:tcPr>
            <w:tcW w:w="699" w:type="dxa"/>
            <w:shd w:val="clear" w:color="auto" w:fill="FFFFFF"/>
            <w:vAlign w:val="center"/>
          </w:tcPr>
          <w:p w14:paraId="7605B142"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536E32AD"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Linia ob. 501. Wentylacja mechaniczna z dozowania surowców.</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9B00DF"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H9-Z</w:t>
            </w:r>
          </w:p>
        </w:tc>
        <w:tc>
          <w:tcPr>
            <w:tcW w:w="1417" w:type="dxa"/>
            <w:shd w:val="clear" w:color="auto" w:fill="FFFFFF"/>
            <w:vAlign w:val="center"/>
          </w:tcPr>
          <w:p w14:paraId="667D45AC"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6EE6CF71"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r w:rsidR="00E02F30" w:rsidRPr="00E02F30" w14:paraId="64F956A8" w14:textId="77777777" w:rsidTr="00A1631B">
        <w:trPr>
          <w:cantSplit/>
          <w:trHeight w:val="170"/>
        </w:trPr>
        <w:tc>
          <w:tcPr>
            <w:tcW w:w="699" w:type="dxa"/>
            <w:shd w:val="clear" w:color="auto" w:fill="FFFFFF"/>
            <w:vAlign w:val="center"/>
          </w:tcPr>
          <w:p w14:paraId="505F5616"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74767BBB"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Kondensacja, dozowanie surowców sypkich, linia ob. 524 i 524a. Wentylacja mechaniczna z hermetyzacji kwaśnej.</w:t>
            </w:r>
          </w:p>
        </w:tc>
        <w:tc>
          <w:tcPr>
            <w:tcW w:w="1134" w:type="dxa"/>
            <w:tcBorders>
              <w:top w:val="nil"/>
              <w:left w:val="single" w:sz="4" w:space="0" w:color="auto"/>
              <w:bottom w:val="single" w:sz="4" w:space="0" w:color="auto"/>
              <w:right w:val="single" w:sz="4" w:space="0" w:color="auto"/>
            </w:tcBorders>
            <w:shd w:val="clear" w:color="auto" w:fill="auto"/>
            <w:vAlign w:val="center"/>
          </w:tcPr>
          <w:p w14:paraId="0075AACD"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H10-Z</w:t>
            </w:r>
          </w:p>
        </w:tc>
        <w:tc>
          <w:tcPr>
            <w:tcW w:w="1417" w:type="dxa"/>
            <w:shd w:val="clear" w:color="auto" w:fill="FFFFFF"/>
            <w:vAlign w:val="center"/>
          </w:tcPr>
          <w:p w14:paraId="3D26234F"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7B256750"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r w:rsidR="00E02F30" w:rsidRPr="00E02F30" w14:paraId="0C2D1298" w14:textId="77777777" w:rsidTr="00A1631B">
        <w:trPr>
          <w:cantSplit/>
          <w:trHeight w:val="170"/>
        </w:trPr>
        <w:tc>
          <w:tcPr>
            <w:tcW w:w="699" w:type="dxa"/>
            <w:shd w:val="clear" w:color="auto" w:fill="FFFFFF"/>
            <w:vAlign w:val="center"/>
          </w:tcPr>
          <w:p w14:paraId="4C7E48C4"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23BA69F6"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Linia ob. 524. Wentylacja mechaniczna (ogólna).</w:t>
            </w:r>
          </w:p>
        </w:tc>
        <w:tc>
          <w:tcPr>
            <w:tcW w:w="1134" w:type="dxa"/>
            <w:tcBorders>
              <w:top w:val="nil"/>
              <w:left w:val="single" w:sz="4" w:space="0" w:color="auto"/>
              <w:bottom w:val="single" w:sz="4" w:space="0" w:color="auto"/>
              <w:right w:val="single" w:sz="4" w:space="0" w:color="auto"/>
            </w:tcBorders>
            <w:shd w:val="clear" w:color="auto" w:fill="auto"/>
            <w:vAlign w:val="center"/>
          </w:tcPr>
          <w:p w14:paraId="417FC547"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H11-Z</w:t>
            </w:r>
          </w:p>
        </w:tc>
        <w:tc>
          <w:tcPr>
            <w:tcW w:w="1417" w:type="dxa"/>
            <w:shd w:val="clear" w:color="auto" w:fill="FFFFFF"/>
            <w:vAlign w:val="center"/>
          </w:tcPr>
          <w:p w14:paraId="5DC0167F"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2D2C00F2"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r w:rsidR="00E02F30" w:rsidRPr="00E02F30" w14:paraId="10E232D8" w14:textId="77777777" w:rsidTr="00A1631B">
        <w:trPr>
          <w:cantSplit/>
          <w:trHeight w:val="170"/>
        </w:trPr>
        <w:tc>
          <w:tcPr>
            <w:tcW w:w="699" w:type="dxa"/>
            <w:shd w:val="clear" w:color="auto" w:fill="FFFFFF"/>
            <w:vAlign w:val="center"/>
          </w:tcPr>
          <w:p w14:paraId="382EFA0E" w14:textId="77777777" w:rsidR="00E02F30" w:rsidRPr="00E02F30" w:rsidRDefault="00E02F30">
            <w:pPr>
              <w:keepNext/>
              <w:numPr>
                <w:ilvl w:val="0"/>
                <w:numId w:val="84"/>
              </w:numPr>
              <w:spacing w:before="60" w:after="60" w:line="276" w:lineRule="auto"/>
              <w:contextualSpacing/>
              <w:jc w:val="both"/>
              <w:rPr>
                <w:rFonts w:eastAsia="Times New Roman" w:cs="Arial"/>
                <w:sz w:val="20"/>
                <w:szCs w:val="20"/>
                <w:lang w:eastAsia="pl-PL"/>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7D3BC4B2"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Linia ob. 524 A. Wentylacja mechaniczna ogólna</w:t>
            </w:r>
          </w:p>
        </w:tc>
        <w:tc>
          <w:tcPr>
            <w:tcW w:w="1134" w:type="dxa"/>
            <w:tcBorders>
              <w:top w:val="nil"/>
              <w:left w:val="single" w:sz="4" w:space="0" w:color="auto"/>
              <w:bottom w:val="single" w:sz="4" w:space="0" w:color="auto"/>
              <w:right w:val="single" w:sz="4" w:space="0" w:color="auto"/>
            </w:tcBorders>
            <w:shd w:val="clear" w:color="auto" w:fill="auto"/>
            <w:vAlign w:val="center"/>
          </w:tcPr>
          <w:p w14:paraId="78F5EA28"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H12-Z</w:t>
            </w:r>
          </w:p>
        </w:tc>
        <w:tc>
          <w:tcPr>
            <w:tcW w:w="1417" w:type="dxa"/>
            <w:shd w:val="clear" w:color="auto" w:fill="FFFFFF"/>
            <w:vAlign w:val="center"/>
          </w:tcPr>
          <w:p w14:paraId="0D24E65D"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16</w:t>
            </w:r>
          </w:p>
        </w:tc>
        <w:tc>
          <w:tcPr>
            <w:tcW w:w="1418" w:type="dxa"/>
            <w:shd w:val="clear" w:color="auto" w:fill="FFFFFF"/>
            <w:vAlign w:val="center"/>
          </w:tcPr>
          <w:p w14:paraId="5BA62B91" w14:textId="77777777" w:rsidR="00E02F30" w:rsidRPr="00E02F30" w:rsidRDefault="00E02F30" w:rsidP="00E02F30">
            <w:pPr>
              <w:spacing w:after="0" w:line="276" w:lineRule="auto"/>
              <w:contextualSpacing/>
              <w:jc w:val="center"/>
              <w:rPr>
                <w:rFonts w:eastAsia="Times New Roman" w:cs="Arial"/>
                <w:sz w:val="20"/>
                <w:szCs w:val="20"/>
                <w:lang w:eastAsia="pl-PL"/>
              </w:rPr>
            </w:pPr>
            <w:r w:rsidRPr="00E02F30">
              <w:rPr>
                <w:rFonts w:eastAsia="Times New Roman" w:cs="Arial"/>
                <w:sz w:val="20"/>
                <w:szCs w:val="20"/>
                <w:lang w:eastAsia="pl-PL"/>
              </w:rPr>
              <w:t>8</w:t>
            </w:r>
          </w:p>
        </w:tc>
      </w:tr>
    </w:tbl>
    <w:p w14:paraId="50C541CA" w14:textId="77777777" w:rsidR="00E02F30" w:rsidRPr="00E02F30" w:rsidRDefault="00E02F30" w:rsidP="00E02F30">
      <w:pPr>
        <w:keepNext/>
        <w:widowControl w:val="0"/>
        <w:adjustRightInd w:val="0"/>
        <w:spacing w:after="0" w:line="276" w:lineRule="auto"/>
        <w:jc w:val="both"/>
        <w:textAlignment w:val="baseline"/>
        <w:outlineLvl w:val="3"/>
        <w:rPr>
          <w:rFonts w:eastAsia="Times New Roman" w:cs="Times New Roman"/>
          <w:b/>
          <w:szCs w:val="20"/>
          <w:lang w:eastAsia="pl-PL"/>
        </w:rPr>
      </w:pPr>
      <w:r w:rsidRPr="00E02F30">
        <w:rPr>
          <w:rFonts w:eastAsia="Times New Roman" w:cs="Times New Roman"/>
          <w:b/>
          <w:bCs/>
          <w:szCs w:val="20"/>
          <w:lang w:eastAsia="pl-PL"/>
        </w:rPr>
        <w:t>IV.4.2</w:t>
      </w:r>
      <w:r w:rsidRPr="00E02F30">
        <w:rPr>
          <w:rFonts w:eastAsia="Times New Roman" w:cs="Times New Roman"/>
          <w:b/>
          <w:szCs w:val="20"/>
          <w:lang w:eastAsia="pl-PL"/>
        </w:rPr>
        <w:t>. Urządzenia technologiczne emitujące hałas utrzymywane będą w dobrym stanie technicznym. Prowadzona będzie kontrola stanu technicznego i odpowiednia konserwacja zapewniająca minimalny poziom emisji hałasu.</w:t>
      </w:r>
    </w:p>
    <w:p w14:paraId="3A79BA80" w14:textId="77777777" w:rsidR="00E02F30" w:rsidRPr="00E02F30" w:rsidRDefault="00E02F30" w:rsidP="00E02F30">
      <w:pPr>
        <w:spacing w:after="0" w:line="276" w:lineRule="auto"/>
        <w:contextualSpacing/>
        <w:jc w:val="both"/>
        <w:rPr>
          <w:rFonts w:eastAsia="Times New Roman" w:cs="Arial"/>
          <w:szCs w:val="24"/>
          <w:lang w:eastAsia="pl-PL"/>
        </w:rPr>
      </w:pPr>
      <w:r w:rsidRPr="00E02F30">
        <w:rPr>
          <w:rFonts w:eastAsia="Times New Roman" w:cs="Arial"/>
          <w:b/>
          <w:szCs w:val="24"/>
          <w:lang w:eastAsia="pl-PL"/>
        </w:rPr>
        <w:t>IV.4.3.</w:t>
      </w:r>
      <w:r w:rsidRPr="00E02F30">
        <w:rPr>
          <w:rFonts w:eastAsia="Times New Roman" w:cs="Arial"/>
          <w:szCs w:val="24"/>
          <w:lang w:eastAsia="pl-PL"/>
        </w:rPr>
        <w:t xml:space="preserve"> Środki techniczne mające na celu ochronę przed hałasem:</w:t>
      </w:r>
    </w:p>
    <w:p w14:paraId="6AF48B5A" w14:textId="77777777" w:rsidR="00E02F30" w:rsidRPr="00E02F30" w:rsidRDefault="00E02F30" w:rsidP="00E02F30">
      <w:pPr>
        <w:spacing w:after="0" w:line="276" w:lineRule="auto"/>
        <w:contextualSpacing/>
        <w:jc w:val="both"/>
        <w:rPr>
          <w:rFonts w:eastAsia="Times New Roman" w:cs="Arial"/>
          <w:szCs w:val="24"/>
          <w:lang w:eastAsia="pl-PL"/>
        </w:rPr>
      </w:pPr>
      <w:r w:rsidRPr="00E02F30">
        <w:rPr>
          <w:rFonts w:eastAsia="Times New Roman" w:cs="Arial"/>
          <w:b/>
          <w:szCs w:val="24"/>
          <w:lang w:eastAsia="pl-PL"/>
        </w:rPr>
        <w:t xml:space="preserve">IV.4.3.1. </w:t>
      </w:r>
      <w:r w:rsidRPr="00E02F30">
        <w:rPr>
          <w:rFonts w:eastAsia="Times New Roman" w:cs="Arial"/>
          <w:szCs w:val="24"/>
          <w:lang w:eastAsia="pl-PL"/>
        </w:rPr>
        <w:t>Izolacja dźwiękoszczelna ścian i dachów budynków.</w:t>
      </w:r>
    </w:p>
    <w:p w14:paraId="4292E725" w14:textId="77777777" w:rsidR="00E02F30" w:rsidRPr="00E02F30" w:rsidRDefault="00E02F30" w:rsidP="00E02F30">
      <w:pPr>
        <w:spacing w:after="0" w:line="276" w:lineRule="auto"/>
        <w:contextualSpacing/>
        <w:jc w:val="both"/>
        <w:rPr>
          <w:rFonts w:eastAsia="Times New Roman" w:cs="Arial"/>
          <w:b/>
          <w:szCs w:val="24"/>
          <w:lang w:eastAsia="pl-PL"/>
        </w:rPr>
      </w:pPr>
      <w:r w:rsidRPr="00E02F30">
        <w:rPr>
          <w:rFonts w:eastAsia="Times New Roman" w:cs="Arial"/>
          <w:b/>
          <w:szCs w:val="24"/>
          <w:lang w:eastAsia="pl-PL"/>
        </w:rPr>
        <w:t xml:space="preserve">IV.4.3.2. </w:t>
      </w:r>
      <w:r w:rsidRPr="00E02F30">
        <w:rPr>
          <w:rFonts w:eastAsia="Times New Roman" w:cs="Arial"/>
          <w:szCs w:val="24"/>
          <w:lang w:eastAsia="pl-PL"/>
        </w:rPr>
        <w:t>Zastosowanie dźwiękoszczelnych pokryw, izolacja dźwiękoszczelna urządzeń napędowych.</w:t>
      </w:r>
    </w:p>
    <w:p w14:paraId="18BA3C34" w14:textId="77777777" w:rsidR="00E02F30" w:rsidRPr="00E02F30" w:rsidRDefault="00E02F30" w:rsidP="00E02F30">
      <w:pPr>
        <w:spacing w:after="0" w:line="276" w:lineRule="auto"/>
        <w:contextualSpacing/>
        <w:jc w:val="both"/>
        <w:rPr>
          <w:rFonts w:eastAsia="Times New Roman" w:cs="Arial"/>
          <w:szCs w:val="24"/>
          <w:lang w:eastAsia="it-IT"/>
        </w:rPr>
      </w:pPr>
      <w:r w:rsidRPr="00E02F30">
        <w:rPr>
          <w:rFonts w:eastAsia="Times New Roman" w:cs="Arial"/>
          <w:b/>
          <w:szCs w:val="24"/>
          <w:lang w:eastAsia="pl-PL"/>
        </w:rPr>
        <w:t xml:space="preserve">IV.4.3.3. </w:t>
      </w:r>
      <w:r w:rsidRPr="00E02F30">
        <w:rPr>
          <w:rFonts w:eastAsia="Times New Roman" w:cs="Arial"/>
          <w:szCs w:val="24"/>
          <w:lang w:eastAsia="pl-PL"/>
        </w:rPr>
        <w:t>Zastosowanie zaworów o niskiej emisji hałasu.</w:t>
      </w:r>
      <w:r w:rsidRPr="00E02F30">
        <w:rPr>
          <w:rFonts w:eastAsia="Times New Roman" w:cs="Arial"/>
          <w:szCs w:val="24"/>
          <w:lang w:eastAsia="it-IT"/>
        </w:rPr>
        <w:t xml:space="preserve"> </w:t>
      </w:r>
    </w:p>
    <w:p w14:paraId="3BA44E7D" w14:textId="77777777" w:rsidR="00E02F30" w:rsidRPr="00E02F30" w:rsidRDefault="00E02F30" w:rsidP="00E02F30">
      <w:pPr>
        <w:spacing w:after="0" w:line="276" w:lineRule="auto"/>
        <w:contextualSpacing/>
        <w:jc w:val="both"/>
        <w:rPr>
          <w:rFonts w:eastAsia="Times New Roman" w:cs="Arial"/>
          <w:szCs w:val="24"/>
          <w:lang w:eastAsia="pl-PL"/>
        </w:rPr>
      </w:pPr>
      <w:r w:rsidRPr="00E02F30">
        <w:rPr>
          <w:rFonts w:eastAsia="Times New Roman" w:cs="Arial"/>
          <w:b/>
          <w:szCs w:val="24"/>
          <w:lang w:eastAsia="pl-PL"/>
        </w:rPr>
        <w:t xml:space="preserve">IV.4.3.4. </w:t>
      </w:r>
      <w:r w:rsidRPr="00E02F30">
        <w:rPr>
          <w:rFonts w:eastAsia="Times New Roman" w:cs="Arial"/>
          <w:szCs w:val="24"/>
          <w:lang w:eastAsia="it-IT"/>
        </w:rPr>
        <w:t>Ograniczenie wszelkich manewrów pojazdów ciężarowych w obrębie terenu instalacji do pory dziennej.</w:t>
      </w:r>
      <w:r w:rsidRPr="00E02F30">
        <w:rPr>
          <w:rFonts w:eastAsia="Times New Roman" w:cs="Arial"/>
          <w:szCs w:val="24"/>
          <w:lang w:eastAsia="pl-PL"/>
        </w:rPr>
        <w:t xml:space="preserve"> </w:t>
      </w:r>
    </w:p>
    <w:p w14:paraId="2963E2B6" w14:textId="77777777" w:rsidR="00E02F30" w:rsidRPr="00E02F30" w:rsidRDefault="00E02F30" w:rsidP="00E02F30">
      <w:pPr>
        <w:spacing w:after="0" w:line="276" w:lineRule="auto"/>
        <w:contextualSpacing/>
        <w:jc w:val="both"/>
        <w:rPr>
          <w:rFonts w:eastAsia="Times New Roman" w:cs="Arial"/>
          <w:b/>
          <w:szCs w:val="24"/>
          <w:lang w:eastAsia="pl-PL"/>
        </w:rPr>
      </w:pPr>
      <w:r w:rsidRPr="00E02F30">
        <w:rPr>
          <w:rFonts w:eastAsia="Times New Roman" w:cs="Arial"/>
          <w:b/>
          <w:szCs w:val="24"/>
          <w:lang w:eastAsia="pl-PL"/>
        </w:rPr>
        <w:t>IV.4.3.5.</w:t>
      </w:r>
      <w:r w:rsidRPr="00E02F30">
        <w:rPr>
          <w:rFonts w:eastAsia="Times New Roman" w:cs="Arial"/>
          <w:szCs w:val="24"/>
          <w:lang w:eastAsia="pl-PL"/>
        </w:rPr>
        <w:t>Konstrukcja urządzeń ograniczająca powstawanie hałasu, specjalna konstrukcja budynku, zapobiegająca emisji hałasu poza jego obręb.</w:t>
      </w:r>
    </w:p>
    <w:p w14:paraId="77FD16A9" w14:textId="77777777" w:rsidR="00E02F30" w:rsidRPr="00E02F30" w:rsidRDefault="00E02F30" w:rsidP="00E02F30">
      <w:pPr>
        <w:autoSpaceDE w:val="0"/>
        <w:autoSpaceDN w:val="0"/>
        <w:adjustRightInd w:val="0"/>
        <w:spacing w:after="0" w:line="276" w:lineRule="auto"/>
        <w:contextualSpacing/>
        <w:jc w:val="both"/>
        <w:rPr>
          <w:rFonts w:eastAsia="Times New Roman" w:cs="Arial"/>
          <w:szCs w:val="24"/>
          <w:lang w:eastAsia="pl-PL"/>
        </w:rPr>
      </w:pPr>
      <w:r w:rsidRPr="00E02F30">
        <w:rPr>
          <w:rFonts w:eastAsia="Times New Roman" w:cs="Arial"/>
          <w:b/>
          <w:szCs w:val="24"/>
          <w:lang w:eastAsia="pl-PL"/>
        </w:rPr>
        <w:t xml:space="preserve">IV.4.3.6. </w:t>
      </w:r>
      <w:r w:rsidRPr="00E02F30">
        <w:rPr>
          <w:rFonts w:eastAsia="Times New Roman" w:cs="Arial"/>
          <w:szCs w:val="24"/>
          <w:lang w:eastAsia="pl-PL"/>
        </w:rPr>
        <w:t>Czas pracy źródeł hałasu będzie minimalizowany poprzez ich uruchamianie  wyłącznie w niezbędnych okresach w trakcie prowadzenia procesów.</w:t>
      </w:r>
    </w:p>
    <w:p w14:paraId="435B5A97" w14:textId="77777777" w:rsidR="00E02F30" w:rsidRPr="00E02F30" w:rsidRDefault="00E02F30" w:rsidP="00E02F30">
      <w:pPr>
        <w:keepNext/>
        <w:widowControl w:val="0"/>
        <w:adjustRightInd w:val="0"/>
        <w:spacing w:after="0" w:line="240" w:lineRule="auto"/>
        <w:jc w:val="both"/>
        <w:textAlignment w:val="baseline"/>
        <w:outlineLvl w:val="1"/>
        <w:rPr>
          <w:rFonts w:eastAsia="Calibri" w:cs="Times New Roman"/>
          <w:b/>
          <w:szCs w:val="20"/>
          <w:lang w:val="en-US"/>
        </w:rPr>
      </w:pPr>
      <w:r w:rsidRPr="00E02F30">
        <w:rPr>
          <w:rFonts w:eastAsia="Calibri" w:cs="Times New Roman"/>
          <w:b/>
          <w:szCs w:val="20"/>
          <w:lang w:val="en-US"/>
        </w:rPr>
        <w:t xml:space="preserve">V. </w:t>
      </w:r>
      <w:proofErr w:type="spellStart"/>
      <w:r w:rsidRPr="00E02F30">
        <w:rPr>
          <w:rFonts w:eastAsia="Calibri" w:cs="Times New Roman"/>
          <w:b/>
          <w:szCs w:val="20"/>
          <w:lang w:val="en-US"/>
        </w:rPr>
        <w:t>Rodzaj</w:t>
      </w:r>
      <w:proofErr w:type="spellEnd"/>
      <w:r w:rsidRPr="00E02F30">
        <w:rPr>
          <w:rFonts w:eastAsia="Calibri" w:cs="Times New Roman"/>
          <w:b/>
          <w:szCs w:val="20"/>
          <w:lang w:val="en-US"/>
        </w:rPr>
        <w:t xml:space="preserve"> i </w:t>
      </w:r>
      <w:proofErr w:type="spellStart"/>
      <w:r w:rsidRPr="00E02F30">
        <w:rPr>
          <w:rFonts w:eastAsia="Calibri" w:cs="Times New Roman"/>
          <w:b/>
          <w:szCs w:val="20"/>
          <w:lang w:val="en-US"/>
        </w:rPr>
        <w:t>ilość</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wykorzystywanej</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energii</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materiałów</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surowców</w:t>
      </w:r>
      <w:proofErr w:type="spellEnd"/>
      <w:r w:rsidRPr="00E02F30">
        <w:rPr>
          <w:rFonts w:eastAsia="Calibri" w:cs="Times New Roman"/>
          <w:b/>
          <w:szCs w:val="20"/>
          <w:lang w:val="en-US"/>
        </w:rPr>
        <w:t xml:space="preserve"> i </w:t>
      </w:r>
      <w:proofErr w:type="spellStart"/>
      <w:r w:rsidRPr="00E02F30">
        <w:rPr>
          <w:rFonts w:eastAsia="Calibri" w:cs="Times New Roman"/>
          <w:b/>
          <w:szCs w:val="20"/>
          <w:lang w:val="en-US"/>
        </w:rPr>
        <w:t>paliw</w:t>
      </w:r>
      <w:proofErr w:type="spellEnd"/>
    </w:p>
    <w:p w14:paraId="22AF1CD0" w14:textId="77777777" w:rsidR="00E02F30" w:rsidRPr="00E02F30" w:rsidRDefault="00E02F30" w:rsidP="00E02F30">
      <w:pPr>
        <w:keepNext/>
        <w:widowControl w:val="0"/>
        <w:adjustRightInd w:val="0"/>
        <w:spacing w:after="0" w:line="360" w:lineRule="auto"/>
        <w:ind w:left="720" w:hanging="720"/>
        <w:textAlignment w:val="baseline"/>
        <w:outlineLvl w:val="2"/>
        <w:rPr>
          <w:rFonts w:eastAsia="Calibri" w:cs="Times New Roman"/>
          <w:b/>
          <w:szCs w:val="20"/>
        </w:rPr>
      </w:pPr>
      <w:r w:rsidRPr="00E02F30">
        <w:rPr>
          <w:rFonts w:eastAsia="Times New Roman" w:cs="Times New Roman"/>
          <w:b/>
          <w:szCs w:val="20"/>
          <w:lang w:eastAsia="pl-PL"/>
        </w:rPr>
        <w:t xml:space="preserve">V.1. </w:t>
      </w:r>
      <w:r w:rsidRPr="00E02F30">
        <w:rPr>
          <w:rFonts w:eastAsia="Calibri" w:cs="Times New Roman"/>
          <w:b/>
          <w:szCs w:val="20"/>
        </w:rPr>
        <w:t>Zużycie wody dla potrzeb instalacji</w:t>
      </w:r>
    </w:p>
    <w:p w14:paraId="32F115C1" w14:textId="77777777" w:rsidR="00E02F30" w:rsidRPr="00E02F30" w:rsidRDefault="00E02F30" w:rsidP="00E02F30">
      <w:pPr>
        <w:keepNext/>
        <w:widowControl w:val="0"/>
        <w:adjustRightInd w:val="0"/>
        <w:spacing w:after="0" w:line="276" w:lineRule="auto"/>
        <w:textAlignment w:val="baseline"/>
        <w:outlineLvl w:val="4"/>
        <w:rPr>
          <w:rFonts w:eastAsia="Calibri" w:cs="Times New Roman"/>
          <w:szCs w:val="20"/>
        </w:rPr>
      </w:pPr>
      <w:r w:rsidRPr="00E02F30">
        <w:rPr>
          <w:rFonts w:eastAsia="Calibri" w:cs="Times New Roman"/>
          <w:b/>
          <w:szCs w:val="20"/>
        </w:rPr>
        <w:t xml:space="preserve">Tabela nr 9 </w:t>
      </w:r>
      <w:r w:rsidRPr="00E02F30">
        <w:rPr>
          <w:rFonts w:eastAsia="Calibri" w:cs="Times New Roman"/>
          <w:szCs w:val="20"/>
        </w:rPr>
        <w:t>Maksymalne zużycie wody dla potrzeb instalacji</w:t>
      </w:r>
    </w:p>
    <w:tbl>
      <w:tblPr>
        <w:tblW w:w="935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Description w:val="Przedstawia ilości zużywanej wody przemysłowej do celów technologicznych oraz chłodniczych."/>
      </w:tblPr>
      <w:tblGrid>
        <w:gridCol w:w="2835"/>
        <w:gridCol w:w="1276"/>
        <w:gridCol w:w="1394"/>
        <w:gridCol w:w="2551"/>
        <w:gridCol w:w="1300"/>
      </w:tblGrid>
      <w:tr w:rsidR="00E02F30" w:rsidRPr="00E02F30" w14:paraId="3CA7A5A1" w14:textId="77777777" w:rsidTr="00A1631B">
        <w:trPr>
          <w:trHeight w:val="394"/>
        </w:trPr>
        <w:tc>
          <w:tcPr>
            <w:tcW w:w="2835" w:type="dxa"/>
            <w:vMerge w:val="restart"/>
            <w:vAlign w:val="center"/>
          </w:tcPr>
          <w:p w14:paraId="65DC5DCF"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Instalacja</w:t>
            </w:r>
          </w:p>
        </w:tc>
        <w:tc>
          <w:tcPr>
            <w:tcW w:w="5221" w:type="dxa"/>
            <w:gridSpan w:val="3"/>
            <w:vAlign w:val="center"/>
          </w:tcPr>
          <w:p w14:paraId="5207C017" w14:textId="77777777" w:rsidR="00E02F30" w:rsidRPr="00E02F30" w:rsidRDefault="00E02F30" w:rsidP="00E02F30">
            <w:pPr>
              <w:spacing w:after="0" w:line="276" w:lineRule="auto"/>
              <w:ind w:firstLine="709"/>
              <w:jc w:val="center"/>
              <w:rPr>
                <w:rFonts w:eastAsia="Times New Roman" w:cs="Arial"/>
                <w:b/>
                <w:sz w:val="20"/>
                <w:szCs w:val="20"/>
                <w:lang w:eastAsia="pl-PL"/>
              </w:rPr>
            </w:pPr>
            <w:r w:rsidRPr="00E02F30">
              <w:rPr>
                <w:rFonts w:eastAsia="Times New Roman" w:cs="Arial"/>
                <w:b/>
                <w:sz w:val="20"/>
                <w:szCs w:val="20"/>
                <w:lang w:eastAsia="pl-PL"/>
              </w:rPr>
              <w:t>Woda przemysłowa</w:t>
            </w:r>
          </w:p>
        </w:tc>
        <w:tc>
          <w:tcPr>
            <w:tcW w:w="1300" w:type="dxa"/>
            <w:vMerge w:val="restart"/>
            <w:vAlign w:val="center"/>
          </w:tcPr>
          <w:p w14:paraId="0E610FCB"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Kondensat parowy</w:t>
            </w:r>
          </w:p>
        </w:tc>
      </w:tr>
      <w:tr w:rsidR="00E02F30" w:rsidRPr="00E02F30" w14:paraId="16E35195" w14:textId="77777777" w:rsidTr="00A1631B">
        <w:tc>
          <w:tcPr>
            <w:tcW w:w="2835" w:type="dxa"/>
            <w:vMerge/>
          </w:tcPr>
          <w:p w14:paraId="0689E4E3" w14:textId="77777777" w:rsidR="00E02F30" w:rsidRPr="00E02F30" w:rsidRDefault="00E02F30" w:rsidP="00E02F30">
            <w:pPr>
              <w:spacing w:after="0" w:line="276" w:lineRule="auto"/>
              <w:ind w:firstLine="709"/>
              <w:jc w:val="center"/>
              <w:rPr>
                <w:rFonts w:eastAsia="Times New Roman" w:cs="Arial"/>
                <w:sz w:val="20"/>
                <w:szCs w:val="20"/>
                <w:lang w:eastAsia="pl-PL"/>
              </w:rPr>
            </w:pPr>
          </w:p>
        </w:tc>
        <w:tc>
          <w:tcPr>
            <w:tcW w:w="2670" w:type="dxa"/>
            <w:gridSpan w:val="2"/>
            <w:vAlign w:val="center"/>
          </w:tcPr>
          <w:p w14:paraId="731E924F"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zużywana do celów</w:t>
            </w:r>
          </w:p>
          <w:p w14:paraId="76DFC33A"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technologicznych</w:t>
            </w:r>
          </w:p>
        </w:tc>
        <w:tc>
          <w:tcPr>
            <w:tcW w:w="2551" w:type="dxa"/>
            <w:vAlign w:val="center"/>
          </w:tcPr>
          <w:p w14:paraId="015182E2"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zapotrzebowanie instalacji na wodę do celów chłodniczych</w:t>
            </w:r>
          </w:p>
        </w:tc>
        <w:tc>
          <w:tcPr>
            <w:tcW w:w="1300" w:type="dxa"/>
            <w:vMerge/>
          </w:tcPr>
          <w:p w14:paraId="2F16C07D" w14:textId="77777777" w:rsidR="00E02F30" w:rsidRPr="00E02F30" w:rsidRDefault="00E02F30" w:rsidP="00E02F30">
            <w:pPr>
              <w:spacing w:after="0" w:line="276" w:lineRule="auto"/>
              <w:ind w:firstLine="709"/>
              <w:jc w:val="center"/>
              <w:rPr>
                <w:rFonts w:eastAsia="Times New Roman" w:cs="Arial"/>
                <w:sz w:val="20"/>
                <w:szCs w:val="20"/>
                <w:lang w:eastAsia="pl-PL"/>
              </w:rPr>
            </w:pPr>
          </w:p>
        </w:tc>
      </w:tr>
      <w:tr w:rsidR="00E02F30" w:rsidRPr="00E02F30" w14:paraId="21A0010A" w14:textId="77777777" w:rsidTr="00A1631B">
        <w:trPr>
          <w:trHeight w:val="604"/>
        </w:trPr>
        <w:tc>
          <w:tcPr>
            <w:tcW w:w="2835" w:type="dxa"/>
            <w:vMerge/>
          </w:tcPr>
          <w:p w14:paraId="29BD7BC3" w14:textId="77777777" w:rsidR="00E02F30" w:rsidRPr="00E02F30" w:rsidRDefault="00E02F30" w:rsidP="00E02F30">
            <w:pPr>
              <w:spacing w:after="0" w:line="276" w:lineRule="auto"/>
              <w:ind w:firstLine="709"/>
              <w:jc w:val="center"/>
              <w:rPr>
                <w:rFonts w:eastAsia="Times New Roman" w:cs="Arial"/>
                <w:sz w:val="20"/>
                <w:szCs w:val="20"/>
                <w:lang w:eastAsia="pl-PL"/>
              </w:rPr>
            </w:pPr>
          </w:p>
        </w:tc>
        <w:tc>
          <w:tcPr>
            <w:tcW w:w="1276" w:type="dxa"/>
          </w:tcPr>
          <w:p w14:paraId="6541B3A1" w14:textId="77777777" w:rsidR="00E02F30" w:rsidRPr="00E02F30" w:rsidRDefault="00E02F30" w:rsidP="00E02F30">
            <w:pPr>
              <w:spacing w:after="0" w:line="276" w:lineRule="auto"/>
              <w:jc w:val="center"/>
              <w:rPr>
                <w:rFonts w:eastAsia="Times New Roman" w:cs="Arial"/>
                <w:b/>
                <w:sz w:val="20"/>
                <w:szCs w:val="20"/>
                <w:vertAlign w:val="subscript"/>
                <w:lang w:eastAsia="pl-PL"/>
              </w:rPr>
            </w:pPr>
            <w:proofErr w:type="spellStart"/>
            <w:r w:rsidRPr="00E02F30">
              <w:rPr>
                <w:rFonts w:eastAsia="Times New Roman" w:cs="Arial"/>
                <w:b/>
                <w:sz w:val="20"/>
                <w:szCs w:val="20"/>
                <w:lang w:eastAsia="pl-PL"/>
              </w:rPr>
              <w:t>Q</w:t>
            </w:r>
            <w:r w:rsidRPr="00E02F30">
              <w:rPr>
                <w:rFonts w:eastAsia="Times New Roman" w:cs="Arial"/>
                <w:b/>
                <w:sz w:val="20"/>
                <w:szCs w:val="20"/>
                <w:vertAlign w:val="subscript"/>
                <w:lang w:eastAsia="pl-PL"/>
              </w:rPr>
              <w:t>śrd</w:t>
            </w:r>
            <w:proofErr w:type="spellEnd"/>
          </w:p>
          <w:p w14:paraId="24950A22"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[m</w:t>
            </w:r>
            <w:r w:rsidRPr="00E02F30">
              <w:rPr>
                <w:rFonts w:eastAsia="Times New Roman" w:cs="Arial"/>
                <w:b/>
                <w:sz w:val="20"/>
                <w:szCs w:val="20"/>
                <w:vertAlign w:val="superscript"/>
                <w:lang w:eastAsia="pl-PL"/>
              </w:rPr>
              <w:t xml:space="preserve">3 </w:t>
            </w:r>
            <w:r w:rsidRPr="00E02F30">
              <w:rPr>
                <w:rFonts w:eastAsia="Times New Roman" w:cs="Arial"/>
                <w:b/>
                <w:sz w:val="20"/>
                <w:szCs w:val="20"/>
                <w:lang w:eastAsia="pl-PL"/>
              </w:rPr>
              <w:t>/dobę]</w:t>
            </w:r>
          </w:p>
        </w:tc>
        <w:tc>
          <w:tcPr>
            <w:tcW w:w="1394" w:type="dxa"/>
          </w:tcPr>
          <w:p w14:paraId="04B28608" w14:textId="77777777" w:rsidR="00E02F30" w:rsidRPr="00E02F30" w:rsidRDefault="00E02F30" w:rsidP="00E02F30">
            <w:pPr>
              <w:spacing w:after="0" w:line="276" w:lineRule="auto"/>
              <w:jc w:val="center"/>
              <w:rPr>
                <w:rFonts w:eastAsia="Times New Roman" w:cs="Arial"/>
                <w:b/>
                <w:sz w:val="20"/>
                <w:szCs w:val="20"/>
                <w:vertAlign w:val="subscript"/>
                <w:lang w:eastAsia="pl-PL"/>
              </w:rPr>
            </w:pPr>
            <w:proofErr w:type="spellStart"/>
            <w:r w:rsidRPr="00E02F30">
              <w:rPr>
                <w:rFonts w:eastAsia="Times New Roman" w:cs="Arial"/>
                <w:b/>
                <w:sz w:val="20"/>
                <w:szCs w:val="20"/>
                <w:lang w:eastAsia="pl-PL"/>
              </w:rPr>
              <w:t>Q</w:t>
            </w:r>
            <w:r w:rsidRPr="00E02F30">
              <w:rPr>
                <w:rFonts w:eastAsia="Times New Roman" w:cs="Arial"/>
                <w:b/>
                <w:sz w:val="20"/>
                <w:szCs w:val="20"/>
                <w:vertAlign w:val="subscript"/>
                <w:lang w:eastAsia="pl-PL"/>
              </w:rPr>
              <w:t>maxroczne</w:t>
            </w:r>
            <w:proofErr w:type="spellEnd"/>
          </w:p>
          <w:p w14:paraId="4FCCA5EA"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[m</w:t>
            </w:r>
            <w:r w:rsidRPr="00E02F30">
              <w:rPr>
                <w:rFonts w:eastAsia="Times New Roman" w:cs="Arial"/>
                <w:b/>
                <w:sz w:val="20"/>
                <w:szCs w:val="20"/>
                <w:vertAlign w:val="superscript"/>
                <w:lang w:eastAsia="pl-PL"/>
              </w:rPr>
              <w:t xml:space="preserve">3 </w:t>
            </w:r>
            <w:r w:rsidRPr="00E02F30">
              <w:rPr>
                <w:rFonts w:eastAsia="Times New Roman" w:cs="Arial"/>
                <w:b/>
                <w:sz w:val="20"/>
                <w:szCs w:val="20"/>
                <w:lang w:eastAsia="pl-PL"/>
              </w:rPr>
              <w:t>/rok]</w:t>
            </w:r>
          </w:p>
        </w:tc>
        <w:tc>
          <w:tcPr>
            <w:tcW w:w="2551" w:type="dxa"/>
            <w:vAlign w:val="center"/>
          </w:tcPr>
          <w:p w14:paraId="7905E702"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[m</w:t>
            </w:r>
            <w:r w:rsidRPr="00E02F30">
              <w:rPr>
                <w:rFonts w:eastAsia="Times New Roman" w:cs="Arial"/>
                <w:b/>
                <w:sz w:val="20"/>
                <w:szCs w:val="20"/>
                <w:vertAlign w:val="superscript"/>
                <w:lang w:eastAsia="pl-PL"/>
              </w:rPr>
              <w:t xml:space="preserve">3 </w:t>
            </w:r>
            <w:r w:rsidRPr="00E02F30">
              <w:rPr>
                <w:rFonts w:eastAsia="Times New Roman" w:cs="Arial"/>
                <w:b/>
                <w:sz w:val="20"/>
                <w:szCs w:val="20"/>
                <w:lang w:eastAsia="pl-PL"/>
              </w:rPr>
              <w:t>/rok]</w:t>
            </w:r>
          </w:p>
        </w:tc>
        <w:tc>
          <w:tcPr>
            <w:tcW w:w="1300" w:type="dxa"/>
            <w:vAlign w:val="center"/>
          </w:tcPr>
          <w:p w14:paraId="727C323B"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[m</w:t>
            </w:r>
            <w:r w:rsidRPr="00E02F30">
              <w:rPr>
                <w:rFonts w:eastAsia="Times New Roman" w:cs="Arial"/>
                <w:b/>
                <w:sz w:val="20"/>
                <w:szCs w:val="20"/>
                <w:vertAlign w:val="superscript"/>
                <w:lang w:eastAsia="pl-PL"/>
              </w:rPr>
              <w:t xml:space="preserve">3 </w:t>
            </w:r>
            <w:r w:rsidRPr="00E02F30">
              <w:rPr>
                <w:rFonts w:eastAsia="Times New Roman" w:cs="Arial"/>
                <w:b/>
                <w:sz w:val="20"/>
                <w:szCs w:val="20"/>
                <w:lang w:eastAsia="pl-PL"/>
              </w:rPr>
              <w:t>/rok]</w:t>
            </w:r>
          </w:p>
        </w:tc>
      </w:tr>
      <w:tr w:rsidR="00E02F30" w:rsidRPr="00E02F30" w14:paraId="2336E2D6" w14:textId="77777777" w:rsidTr="00A1631B">
        <w:trPr>
          <w:trHeight w:val="458"/>
        </w:trPr>
        <w:tc>
          <w:tcPr>
            <w:tcW w:w="2835" w:type="dxa"/>
          </w:tcPr>
          <w:p w14:paraId="12549D00" w14:textId="77777777" w:rsidR="00E02F30" w:rsidRPr="00E02F30" w:rsidRDefault="00E02F30" w:rsidP="00E02F30">
            <w:pPr>
              <w:spacing w:after="0" w:line="276" w:lineRule="auto"/>
              <w:jc w:val="both"/>
              <w:rPr>
                <w:rFonts w:eastAsia="Times New Roman" w:cs="Arial"/>
                <w:sz w:val="20"/>
                <w:szCs w:val="20"/>
                <w:lang w:eastAsia="pl-PL"/>
              </w:rPr>
            </w:pPr>
            <w:r w:rsidRPr="00E02F30">
              <w:rPr>
                <w:rFonts w:eastAsia="Times New Roman" w:cs="Arial"/>
                <w:sz w:val="20"/>
                <w:szCs w:val="20"/>
                <w:lang w:eastAsia="pl-PL"/>
              </w:rPr>
              <w:t>Instalacja nienasyconych żywic poliestrowych (Z)</w:t>
            </w:r>
          </w:p>
        </w:tc>
        <w:tc>
          <w:tcPr>
            <w:tcW w:w="1276" w:type="dxa"/>
            <w:vAlign w:val="center"/>
          </w:tcPr>
          <w:p w14:paraId="5317BD99"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60</w:t>
            </w:r>
          </w:p>
        </w:tc>
        <w:tc>
          <w:tcPr>
            <w:tcW w:w="1394" w:type="dxa"/>
            <w:vAlign w:val="center"/>
          </w:tcPr>
          <w:p w14:paraId="50D1840D"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20 000</w:t>
            </w:r>
          </w:p>
        </w:tc>
        <w:tc>
          <w:tcPr>
            <w:tcW w:w="2551" w:type="dxa"/>
            <w:vAlign w:val="center"/>
          </w:tcPr>
          <w:p w14:paraId="10C3CF07"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900 000</w:t>
            </w:r>
          </w:p>
        </w:tc>
        <w:tc>
          <w:tcPr>
            <w:tcW w:w="1300" w:type="dxa"/>
            <w:vAlign w:val="center"/>
          </w:tcPr>
          <w:p w14:paraId="42E9ED06"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20 000</w:t>
            </w:r>
          </w:p>
        </w:tc>
      </w:tr>
    </w:tbl>
    <w:p w14:paraId="0BA8F58D" w14:textId="77777777" w:rsidR="00E02F30" w:rsidRPr="00E02F30" w:rsidRDefault="00E02F30" w:rsidP="00E02F30">
      <w:pPr>
        <w:keepNext/>
        <w:widowControl w:val="0"/>
        <w:adjustRightInd w:val="0"/>
        <w:spacing w:after="0" w:line="360" w:lineRule="auto"/>
        <w:textAlignment w:val="baseline"/>
        <w:outlineLvl w:val="2"/>
        <w:rPr>
          <w:rFonts w:eastAsia="Calibri" w:cs="Times New Roman"/>
          <w:b/>
          <w:szCs w:val="20"/>
        </w:rPr>
      </w:pPr>
      <w:r w:rsidRPr="00E02F30">
        <w:rPr>
          <w:rFonts w:eastAsia="Times New Roman" w:cs="Times New Roman"/>
          <w:b/>
          <w:szCs w:val="20"/>
          <w:lang w:eastAsia="pl-PL"/>
        </w:rPr>
        <w:t xml:space="preserve">V.2. </w:t>
      </w:r>
      <w:r w:rsidRPr="00E02F30">
        <w:rPr>
          <w:rFonts w:eastAsia="Calibri" w:cs="Times New Roman"/>
          <w:b/>
          <w:szCs w:val="20"/>
        </w:rPr>
        <w:t>Zużycie energii i paliw dla potrzeb instalacji</w:t>
      </w:r>
    </w:p>
    <w:p w14:paraId="6BE0D279" w14:textId="77777777" w:rsidR="00E02F30" w:rsidRPr="00E02F30" w:rsidRDefault="00E02F30" w:rsidP="00E02F30">
      <w:pPr>
        <w:keepNext/>
        <w:widowControl w:val="0"/>
        <w:adjustRightInd w:val="0"/>
        <w:spacing w:after="0" w:line="276" w:lineRule="auto"/>
        <w:textAlignment w:val="baseline"/>
        <w:outlineLvl w:val="4"/>
        <w:rPr>
          <w:rFonts w:eastAsia="Calibri" w:cs="Times New Roman"/>
          <w:szCs w:val="20"/>
        </w:rPr>
      </w:pPr>
      <w:r w:rsidRPr="00E02F30">
        <w:rPr>
          <w:rFonts w:eastAsia="Calibri" w:cs="Times New Roman"/>
          <w:b/>
          <w:szCs w:val="20"/>
        </w:rPr>
        <w:t xml:space="preserve">Tabela nr 10 </w:t>
      </w:r>
      <w:r w:rsidRPr="00E02F30">
        <w:rPr>
          <w:rFonts w:eastAsia="Calibri" w:cs="Times New Roman"/>
          <w:szCs w:val="20"/>
        </w:rPr>
        <w:t>Maksymalne zużycie energii i paliw dla potrzeb instalacji</w:t>
      </w:r>
    </w:p>
    <w:tbl>
      <w:tblPr>
        <w:tblW w:w="935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Description w:val="Przedstawia zużycie energi elektrycznej energi cieplnej oraz azotu w instalacji na rok."/>
      </w:tblPr>
      <w:tblGrid>
        <w:gridCol w:w="2268"/>
        <w:gridCol w:w="1418"/>
        <w:gridCol w:w="1701"/>
        <w:gridCol w:w="1701"/>
        <w:gridCol w:w="1134"/>
        <w:gridCol w:w="1134"/>
      </w:tblGrid>
      <w:tr w:rsidR="00E02F30" w:rsidRPr="00E02F30" w14:paraId="4D30C9B5" w14:textId="77777777" w:rsidTr="00A1631B">
        <w:trPr>
          <w:trHeight w:val="433"/>
        </w:trPr>
        <w:tc>
          <w:tcPr>
            <w:tcW w:w="2268" w:type="dxa"/>
            <w:vMerge w:val="restart"/>
            <w:vAlign w:val="center"/>
          </w:tcPr>
          <w:p w14:paraId="2AF76B43" w14:textId="77777777" w:rsidR="00E02F30" w:rsidRPr="00E02F30" w:rsidRDefault="00E02F30" w:rsidP="00E02F30">
            <w:pPr>
              <w:spacing w:after="0" w:line="276" w:lineRule="auto"/>
              <w:jc w:val="both"/>
              <w:rPr>
                <w:rFonts w:eastAsia="Times New Roman" w:cs="Arial"/>
                <w:b/>
                <w:sz w:val="20"/>
                <w:szCs w:val="20"/>
                <w:lang w:eastAsia="pl-PL"/>
              </w:rPr>
            </w:pPr>
            <w:r w:rsidRPr="00E02F30">
              <w:rPr>
                <w:rFonts w:eastAsia="Times New Roman" w:cs="Arial"/>
                <w:b/>
                <w:sz w:val="20"/>
                <w:szCs w:val="20"/>
                <w:lang w:eastAsia="pl-PL"/>
              </w:rPr>
              <w:t xml:space="preserve">Instalacja </w:t>
            </w:r>
          </w:p>
        </w:tc>
        <w:tc>
          <w:tcPr>
            <w:tcW w:w="1418" w:type="dxa"/>
            <w:vMerge w:val="restart"/>
            <w:vAlign w:val="center"/>
          </w:tcPr>
          <w:p w14:paraId="70DAB431"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Energia elektryczna</w:t>
            </w:r>
          </w:p>
        </w:tc>
        <w:tc>
          <w:tcPr>
            <w:tcW w:w="1701" w:type="dxa"/>
            <w:vMerge w:val="restart"/>
            <w:vAlign w:val="center"/>
          </w:tcPr>
          <w:p w14:paraId="113FA740"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Energia cieplna (</w:t>
            </w:r>
            <w:r w:rsidRPr="00E02F30">
              <w:rPr>
                <w:rFonts w:eastAsia="Times New Roman" w:cs="Arial"/>
                <w:sz w:val="20"/>
                <w:szCs w:val="20"/>
                <w:lang w:eastAsia="pl-PL"/>
              </w:rPr>
              <w:t>para grzewcza LP i IP)</w:t>
            </w:r>
          </w:p>
        </w:tc>
        <w:tc>
          <w:tcPr>
            <w:tcW w:w="1701" w:type="dxa"/>
            <w:vMerge w:val="restart"/>
            <w:vAlign w:val="center"/>
          </w:tcPr>
          <w:p w14:paraId="52000802"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 xml:space="preserve">Energia cieplna </w:t>
            </w:r>
            <w:r w:rsidRPr="00E02F30">
              <w:rPr>
                <w:rFonts w:eastAsia="Times New Roman" w:cs="Arial"/>
                <w:sz w:val="20"/>
                <w:szCs w:val="20"/>
                <w:lang w:eastAsia="pl-PL"/>
              </w:rPr>
              <w:t>(woda gorąca do celów grzewczych)</w:t>
            </w:r>
          </w:p>
        </w:tc>
        <w:tc>
          <w:tcPr>
            <w:tcW w:w="1134" w:type="dxa"/>
            <w:vMerge w:val="restart"/>
            <w:vAlign w:val="center"/>
          </w:tcPr>
          <w:p w14:paraId="664012AF"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Paliwo - gaz ziemny</w:t>
            </w:r>
          </w:p>
        </w:tc>
        <w:tc>
          <w:tcPr>
            <w:tcW w:w="1134" w:type="dxa"/>
            <w:vMerge w:val="restart"/>
            <w:vAlign w:val="center"/>
          </w:tcPr>
          <w:p w14:paraId="4319BB3C"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Azot</w:t>
            </w:r>
          </w:p>
        </w:tc>
      </w:tr>
      <w:tr w:rsidR="00E02F30" w:rsidRPr="00E02F30" w14:paraId="318BC7D4" w14:textId="77777777" w:rsidTr="00A1631B">
        <w:trPr>
          <w:trHeight w:val="408"/>
        </w:trPr>
        <w:tc>
          <w:tcPr>
            <w:tcW w:w="2268" w:type="dxa"/>
            <w:vMerge/>
          </w:tcPr>
          <w:p w14:paraId="63B70795" w14:textId="77777777" w:rsidR="00E02F30" w:rsidRPr="00E02F30" w:rsidRDefault="00E02F30" w:rsidP="00E02F30">
            <w:pPr>
              <w:spacing w:after="0" w:line="276" w:lineRule="auto"/>
              <w:ind w:firstLine="709"/>
              <w:jc w:val="both"/>
              <w:rPr>
                <w:rFonts w:eastAsia="Times New Roman" w:cs="Arial"/>
                <w:sz w:val="20"/>
                <w:szCs w:val="20"/>
                <w:lang w:eastAsia="pl-PL"/>
              </w:rPr>
            </w:pPr>
          </w:p>
        </w:tc>
        <w:tc>
          <w:tcPr>
            <w:tcW w:w="1418" w:type="dxa"/>
            <w:vMerge/>
          </w:tcPr>
          <w:p w14:paraId="7FAACF5E" w14:textId="77777777" w:rsidR="00E02F30" w:rsidRPr="00E02F30" w:rsidRDefault="00E02F30" w:rsidP="00E02F30">
            <w:pPr>
              <w:spacing w:after="0" w:line="276" w:lineRule="auto"/>
              <w:ind w:firstLine="709"/>
              <w:jc w:val="center"/>
              <w:rPr>
                <w:rFonts w:eastAsia="Times New Roman" w:cs="Arial"/>
                <w:sz w:val="20"/>
                <w:szCs w:val="20"/>
                <w:lang w:eastAsia="pl-PL"/>
              </w:rPr>
            </w:pPr>
          </w:p>
        </w:tc>
        <w:tc>
          <w:tcPr>
            <w:tcW w:w="1701" w:type="dxa"/>
            <w:vMerge/>
          </w:tcPr>
          <w:p w14:paraId="56E24D19" w14:textId="77777777" w:rsidR="00E02F30" w:rsidRPr="00E02F30" w:rsidRDefault="00E02F30" w:rsidP="00E02F30">
            <w:pPr>
              <w:spacing w:after="0" w:line="276" w:lineRule="auto"/>
              <w:ind w:firstLine="709"/>
              <w:jc w:val="center"/>
              <w:rPr>
                <w:rFonts w:eastAsia="Times New Roman" w:cs="Arial"/>
                <w:sz w:val="20"/>
                <w:szCs w:val="20"/>
                <w:lang w:eastAsia="pl-PL"/>
              </w:rPr>
            </w:pPr>
          </w:p>
        </w:tc>
        <w:tc>
          <w:tcPr>
            <w:tcW w:w="1701" w:type="dxa"/>
            <w:vMerge/>
          </w:tcPr>
          <w:p w14:paraId="42B48CFA" w14:textId="77777777" w:rsidR="00E02F30" w:rsidRPr="00E02F30" w:rsidRDefault="00E02F30" w:rsidP="00E02F30">
            <w:pPr>
              <w:spacing w:after="0" w:line="276" w:lineRule="auto"/>
              <w:ind w:firstLine="709"/>
              <w:jc w:val="center"/>
              <w:rPr>
                <w:rFonts w:eastAsia="Times New Roman" w:cs="Arial"/>
                <w:sz w:val="20"/>
                <w:szCs w:val="20"/>
                <w:lang w:eastAsia="pl-PL"/>
              </w:rPr>
            </w:pPr>
          </w:p>
        </w:tc>
        <w:tc>
          <w:tcPr>
            <w:tcW w:w="1134" w:type="dxa"/>
            <w:vMerge/>
          </w:tcPr>
          <w:p w14:paraId="239124F2" w14:textId="77777777" w:rsidR="00E02F30" w:rsidRPr="00E02F30" w:rsidRDefault="00E02F30" w:rsidP="00E02F30">
            <w:pPr>
              <w:spacing w:after="0" w:line="276" w:lineRule="auto"/>
              <w:ind w:firstLine="709"/>
              <w:jc w:val="center"/>
              <w:rPr>
                <w:rFonts w:eastAsia="Times New Roman" w:cs="Arial"/>
                <w:sz w:val="20"/>
                <w:szCs w:val="20"/>
                <w:lang w:eastAsia="pl-PL"/>
              </w:rPr>
            </w:pPr>
          </w:p>
        </w:tc>
        <w:tc>
          <w:tcPr>
            <w:tcW w:w="1134" w:type="dxa"/>
            <w:vMerge/>
          </w:tcPr>
          <w:p w14:paraId="12430E64" w14:textId="77777777" w:rsidR="00E02F30" w:rsidRPr="00E02F30" w:rsidRDefault="00E02F30" w:rsidP="00E02F30">
            <w:pPr>
              <w:spacing w:after="0" w:line="276" w:lineRule="auto"/>
              <w:ind w:firstLine="709"/>
              <w:jc w:val="center"/>
              <w:rPr>
                <w:rFonts w:eastAsia="Times New Roman" w:cs="Arial"/>
                <w:sz w:val="20"/>
                <w:szCs w:val="20"/>
                <w:lang w:eastAsia="pl-PL"/>
              </w:rPr>
            </w:pPr>
          </w:p>
        </w:tc>
      </w:tr>
      <w:tr w:rsidR="00E02F30" w:rsidRPr="00E02F30" w14:paraId="5C1C1619" w14:textId="77777777" w:rsidTr="00A1631B">
        <w:trPr>
          <w:trHeight w:val="249"/>
        </w:trPr>
        <w:tc>
          <w:tcPr>
            <w:tcW w:w="2268" w:type="dxa"/>
            <w:vMerge/>
          </w:tcPr>
          <w:p w14:paraId="5A7DDE04" w14:textId="77777777" w:rsidR="00E02F30" w:rsidRPr="00E02F30" w:rsidRDefault="00E02F30" w:rsidP="00E02F30">
            <w:pPr>
              <w:spacing w:after="0" w:line="276" w:lineRule="auto"/>
              <w:ind w:firstLine="709"/>
              <w:jc w:val="both"/>
              <w:rPr>
                <w:rFonts w:eastAsia="Times New Roman" w:cs="Arial"/>
                <w:sz w:val="20"/>
                <w:szCs w:val="20"/>
                <w:lang w:eastAsia="pl-PL"/>
              </w:rPr>
            </w:pPr>
          </w:p>
        </w:tc>
        <w:tc>
          <w:tcPr>
            <w:tcW w:w="1418" w:type="dxa"/>
            <w:vAlign w:val="center"/>
          </w:tcPr>
          <w:p w14:paraId="29BB1CAA"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[kWh/rok]</w:t>
            </w:r>
          </w:p>
        </w:tc>
        <w:tc>
          <w:tcPr>
            <w:tcW w:w="1701" w:type="dxa"/>
            <w:vAlign w:val="center"/>
          </w:tcPr>
          <w:p w14:paraId="0A477E1A"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[GJ/rok]</w:t>
            </w:r>
          </w:p>
        </w:tc>
        <w:tc>
          <w:tcPr>
            <w:tcW w:w="1701" w:type="dxa"/>
            <w:vAlign w:val="center"/>
          </w:tcPr>
          <w:p w14:paraId="73BD64D6"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[GJ/rok]</w:t>
            </w:r>
          </w:p>
        </w:tc>
        <w:tc>
          <w:tcPr>
            <w:tcW w:w="1134" w:type="dxa"/>
            <w:vAlign w:val="center"/>
          </w:tcPr>
          <w:p w14:paraId="43D26B31"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[Nm</w:t>
            </w:r>
            <w:r w:rsidRPr="00E02F30">
              <w:rPr>
                <w:rFonts w:eastAsia="Times New Roman" w:cs="Arial"/>
                <w:b/>
                <w:sz w:val="20"/>
                <w:szCs w:val="20"/>
                <w:vertAlign w:val="superscript"/>
                <w:lang w:eastAsia="pl-PL"/>
              </w:rPr>
              <w:t>3</w:t>
            </w:r>
            <w:r w:rsidRPr="00E02F30">
              <w:rPr>
                <w:rFonts w:eastAsia="Times New Roman" w:cs="Arial"/>
                <w:b/>
                <w:sz w:val="20"/>
                <w:szCs w:val="20"/>
                <w:lang w:eastAsia="pl-PL"/>
              </w:rPr>
              <w:t>/rok]</w:t>
            </w:r>
          </w:p>
        </w:tc>
        <w:tc>
          <w:tcPr>
            <w:tcW w:w="1134" w:type="dxa"/>
            <w:vAlign w:val="center"/>
          </w:tcPr>
          <w:p w14:paraId="7A66FD9B"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[Nm</w:t>
            </w:r>
            <w:r w:rsidRPr="00E02F30">
              <w:rPr>
                <w:rFonts w:eastAsia="Times New Roman" w:cs="Arial"/>
                <w:b/>
                <w:sz w:val="20"/>
                <w:szCs w:val="20"/>
                <w:vertAlign w:val="superscript"/>
                <w:lang w:eastAsia="pl-PL"/>
              </w:rPr>
              <w:t>3</w:t>
            </w:r>
            <w:r w:rsidRPr="00E02F30">
              <w:rPr>
                <w:rFonts w:eastAsia="Times New Roman" w:cs="Arial"/>
                <w:b/>
                <w:sz w:val="20"/>
                <w:szCs w:val="20"/>
                <w:lang w:eastAsia="pl-PL"/>
              </w:rPr>
              <w:t>/rok]</w:t>
            </w:r>
          </w:p>
        </w:tc>
      </w:tr>
      <w:tr w:rsidR="00E02F30" w:rsidRPr="00E02F30" w14:paraId="57C17AC9" w14:textId="77777777" w:rsidTr="00A1631B">
        <w:trPr>
          <w:trHeight w:val="458"/>
        </w:trPr>
        <w:tc>
          <w:tcPr>
            <w:tcW w:w="2268" w:type="dxa"/>
            <w:vAlign w:val="center"/>
          </w:tcPr>
          <w:p w14:paraId="3C88A169" w14:textId="77777777" w:rsidR="00E02F30" w:rsidRPr="00E02F30" w:rsidRDefault="00E02F30" w:rsidP="00E02F30">
            <w:pPr>
              <w:spacing w:after="0" w:line="276" w:lineRule="auto"/>
              <w:jc w:val="both"/>
              <w:rPr>
                <w:rFonts w:eastAsia="Times New Roman" w:cs="Arial"/>
                <w:sz w:val="22"/>
                <w:lang w:eastAsia="pl-PL"/>
              </w:rPr>
            </w:pPr>
            <w:r w:rsidRPr="00E02F30">
              <w:rPr>
                <w:rFonts w:eastAsia="Times New Roman" w:cs="Arial"/>
                <w:sz w:val="22"/>
                <w:lang w:eastAsia="pl-PL"/>
              </w:rPr>
              <w:t>Instalacja nienasyconych żywic poliestrowych (Z)</w:t>
            </w:r>
          </w:p>
        </w:tc>
        <w:tc>
          <w:tcPr>
            <w:tcW w:w="1418" w:type="dxa"/>
            <w:vAlign w:val="center"/>
          </w:tcPr>
          <w:p w14:paraId="60A51B4D" w14:textId="77777777" w:rsidR="00E02F30" w:rsidRPr="00E02F30" w:rsidRDefault="00E02F30" w:rsidP="00E02F30">
            <w:pPr>
              <w:spacing w:after="0" w:line="276" w:lineRule="auto"/>
              <w:jc w:val="center"/>
              <w:rPr>
                <w:rFonts w:eastAsia="Times New Roman" w:cs="Arial"/>
                <w:sz w:val="22"/>
                <w:lang w:eastAsia="pl-PL"/>
              </w:rPr>
            </w:pPr>
            <w:r w:rsidRPr="00E02F30">
              <w:rPr>
                <w:rFonts w:eastAsia="Times New Roman" w:cs="Arial"/>
                <w:sz w:val="22"/>
                <w:lang w:eastAsia="pl-PL"/>
              </w:rPr>
              <w:t>3 500 000</w:t>
            </w:r>
          </w:p>
        </w:tc>
        <w:tc>
          <w:tcPr>
            <w:tcW w:w="1701" w:type="dxa"/>
            <w:vAlign w:val="center"/>
          </w:tcPr>
          <w:p w14:paraId="391530DD" w14:textId="77777777" w:rsidR="00E02F30" w:rsidRPr="00E02F30" w:rsidRDefault="00E02F30" w:rsidP="00E02F30">
            <w:pPr>
              <w:spacing w:after="0" w:line="276" w:lineRule="auto"/>
              <w:jc w:val="center"/>
              <w:rPr>
                <w:rFonts w:eastAsia="Times New Roman" w:cs="Arial"/>
                <w:sz w:val="22"/>
                <w:lang w:eastAsia="pl-PL"/>
              </w:rPr>
            </w:pPr>
            <w:r w:rsidRPr="00E02F30">
              <w:rPr>
                <w:rFonts w:eastAsia="Times New Roman" w:cs="Arial"/>
                <w:sz w:val="22"/>
                <w:lang w:eastAsia="pl-PL"/>
              </w:rPr>
              <w:t>60 000</w:t>
            </w:r>
          </w:p>
        </w:tc>
        <w:tc>
          <w:tcPr>
            <w:tcW w:w="1701" w:type="dxa"/>
            <w:vAlign w:val="center"/>
          </w:tcPr>
          <w:p w14:paraId="7D006A98" w14:textId="77777777" w:rsidR="00E02F30" w:rsidRPr="00E02F30" w:rsidRDefault="00E02F30" w:rsidP="00E02F30">
            <w:pPr>
              <w:spacing w:after="0" w:line="276" w:lineRule="auto"/>
              <w:jc w:val="center"/>
              <w:rPr>
                <w:rFonts w:eastAsia="Times New Roman" w:cs="Arial"/>
                <w:sz w:val="22"/>
                <w:lang w:eastAsia="pl-PL"/>
              </w:rPr>
            </w:pPr>
            <w:r w:rsidRPr="00E02F30">
              <w:rPr>
                <w:rFonts w:eastAsia="Times New Roman" w:cs="Arial"/>
                <w:sz w:val="22"/>
                <w:lang w:eastAsia="pl-PL"/>
              </w:rPr>
              <w:t>10 000</w:t>
            </w:r>
          </w:p>
        </w:tc>
        <w:tc>
          <w:tcPr>
            <w:tcW w:w="1134" w:type="dxa"/>
            <w:vAlign w:val="center"/>
          </w:tcPr>
          <w:p w14:paraId="14064108" w14:textId="77777777" w:rsidR="00E02F30" w:rsidRPr="00E02F30" w:rsidRDefault="00E02F30" w:rsidP="00E02F30">
            <w:pPr>
              <w:spacing w:after="0" w:line="276" w:lineRule="auto"/>
              <w:jc w:val="center"/>
              <w:rPr>
                <w:rFonts w:eastAsia="Times New Roman" w:cs="Arial"/>
                <w:sz w:val="22"/>
                <w:lang w:eastAsia="pl-PL"/>
              </w:rPr>
            </w:pPr>
            <w:r w:rsidRPr="00E02F30">
              <w:rPr>
                <w:rFonts w:eastAsia="Times New Roman" w:cs="Arial"/>
                <w:sz w:val="22"/>
                <w:lang w:eastAsia="pl-PL"/>
              </w:rPr>
              <w:t>200 000</w:t>
            </w:r>
          </w:p>
        </w:tc>
        <w:tc>
          <w:tcPr>
            <w:tcW w:w="1134" w:type="dxa"/>
            <w:vAlign w:val="center"/>
          </w:tcPr>
          <w:p w14:paraId="4EF99477" w14:textId="77777777" w:rsidR="00E02F30" w:rsidRPr="00E02F30" w:rsidRDefault="00E02F30" w:rsidP="00E02F30">
            <w:pPr>
              <w:spacing w:after="0" w:line="276" w:lineRule="auto"/>
              <w:jc w:val="center"/>
              <w:rPr>
                <w:rFonts w:eastAsia="Times New Roman" w:cs="Arial"/>
                <w:sz w:val="22"/>
                <w:lang w:eastAsia="pl-PL"/>
              </w:rPr>
            </w:pPr>
            <w:r w:rsidRPr="00E02F30">
              <w:rPr>
                <w:rFonts w:eastAsia="Times New Roman" w:cs="Arial"/>
                <w:sz w:val="22"/>
                <w:lang w:eastAsia="pl-PL"/>
              </w:rPr>
              <w:t>450 000</w:t>
            </w:r>
          </w:p>
        </w:tc>
      </w:tr>
    </w:tbl>
    <w:p w14:paraId="34905DE4" w14:textId="77777777" w:rsidR="00E02F30" w:rsidRPr="00E02F30" w:rsidRDefault="00E02F30" w:rsidP="00E02F30">
      <w:pPr>
        <w:keepNext/>
        <w:widowControl w:val="0"/>
        <w:adjustRightInd w:val="0"/>
        <w:spacing w:after="0" w:line="360" w:lineRule="auto"/>
        <w:textAlignment w:val="baseline"/>
        <w:outlineLvl w:val="2"/>
        <w:rPr>
          <w:rFonts w:eastAsia="Calibri" w:cs="Times New Roman"/>
          <w:b/>
          <w:szCs w:val="20"/>
        </w:rPr>
      </w:pPr>
      <w:r w:rsidRPr="00E02F30">
        <w:rPr>
          <w:rFonts w:eastAsia="Times New Roman" w:cs="Times New Roman"/>
          <w:b/>
          <w:szCs w:val="20"/>
          <w:lang w:eastAsia="pl-PL"/>
        </w:rPr>
        <w:t xml:space="preserve">V.3. </w:t>
      </w:r>
      <w:r w:rsidRPr="00E02F30">
        <w:rPr>
          <w:rFonts w:eastAsia="Calibri" w:cs="Times New Roman"/>
          <w:b/>
          <w:szCs w:val="20"/>
        </w:rPr>
        <w:t>Zużycie surowców i materiałów  dla potrzeb instalacji</w:t>
      </w:r>
    </w:p>
    <w:p w14:paraId="216ECABF" w14:textId="77777777" w:rsidR="00E02F30" w:rsidRPr="00E02F30" w:rsidRDefault="00E02F30" w:rsidP="00E02F30">
      <w:pPr>
        <w:autoSpaceDE w:val="0"/>
        <w:autoSpaceDN w:val="0"/>
        <w:adjustRightInd w:val="0"/>
        <w:spacing w:after="0" w:line="276" w:lineRule="auto"/>
        <w:contextualSpacing/>
        <w:jc w:val="both"/>
        <w:rPr>
          <w:rFonts w:eastAsia="Times New Roman" w:cs="Arial"/>
          <w:szCs w:val="24"/>
          <w:lang w:eastAsia="pl-PL"/>
        </w:rPr>
      </w:pPr>
      <w:r w:rsidRPr="00E02F30">
        <w:rPr>
          <w:rFonts w:eastAsia="Times New Roman" w:cs="Arial"/>
          <w:b/>
          <w:szCs w:val="24"/>
          <w:lang w:eastAsia="pl-PL"/>
        </w:rPr>
        <w:t xml:space="preserve">V.3.1. </w:t>
      </w:r>
      <w:r w:rsidRPr="00E02F30">
        <w:rPr>
          <w:rFonts w:eastAsia="Times New Roman" w:cs="Arial"/>
          <w:szCs w:val="24"/>
          <w:lang w:eastAsia="pl-PL"/>
        </w:rPr>
        <w:t>Instalacja nienasyconych żywic poliestrowych (Z)</w:t>
      </w:r>
    </w:p>
    <w:p w14:paraId="3264CFD6" w14:textId="77777777" w:rsidR="00E02F30" w:rsidRPr="00E02F30" w:rsidRDefault="00E02F30">
      <w:pPr>
        <w:keepNext/>
        <w:numPr>
          <w:ilvl w:val="0"/>
          <w:numId w:val="81"/>
        </w:numPr>
        <w:spacing w:before="60" w:after="60" w:line="276" w:lineRule="auto"/>
        <w:jc w:val="both"/>
        <w:rPr>
          <w:rFonts w:eastAsia="Times New Roman" w:cs="Arial"/>
          <w:szCs w:val="24"/>
          <w:lang w:eastAsia="pl-PL"/>
        </w:rPr>
      </w:pPr>
      <w:r w:rsidRPr="00E02F30">
        <w:rPr>
          <w:rFonts w:eastAsia="Times New Roman" w:cs="Arial"/>
          <w:szCs w:val="24"/>
          <w:lang w:eastAsia="pl-PL"/>
        </w:rPr>
        <w:t>W produkcji nienasyconych żywic poliestrowych:</w:t>
      </w:r>
    </w:p>
    <w:p w14:paraId="60862566" w14:textId="77777777" w:rsidR="00E02F30" w:rsidRPr="00E02F30" w:rsidRDefault="00E02F30">
      <w:pPr>
        <w:keepNext/>
        <w:numPr>
          <w:ilvl w:val="0"/>
          <w:numId w:val="82"/>
        </w:numPr>
        <w:spacing w:before="60" w:after="60" w:line="276" w:lineRule="auto"/>
        <w:jc w:val="both"/>
        <w:rPr>
          <w:rFonts w:eastAsia="Times New Roman" w:cs="Arial"/>
          <w:szCs w:val="24"/>
          <w:lang w:eastAsia="pl-PL"/>
        </w:rPr>
      </w:pPr>
      <w:r w:rsidRPr="00E02F30">
        <w:rPr>
          <w:rFonts w:eastAsia="Times New Roman" w:cs="Arial"/>
          <w:szCs w:val="24"/>
          <w:lang w:eastAsia="pl-PL"/>
        </w:rPr>
        <w:t>bezwodniki i kwasy karboksylowe</w:t>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t>15 180 Mg/rok,</w:t>
      </w:r>
    </w:p>
    <w:p w14:paraId="1555A009" w14:textId="77777777" w:rsidR="00E02F30" w:rsidRPr="00E02F30" w:rsidRDefault="00E02F30">
      <w:pPr>
        <w:keepNext/>
        <w:numPr>
          <w:ilvl w:val="0"/>
          <w:numId w:val="82"/>
        </w:numPr>
        <w:spacing w:before="60" w:after="60" w:line="276" w:lineRule="auto"/>
        <w:jc w:val="both"/>
        <w:rPr>
          <w:rFonts w:eastAsia="Times New Roman" w:cs="Arial"/>
          <w:szCs w:val="24"/>
          <w:lang w:eastAsia="pl-PL"/>
        </w:rPr>
      </w:pPr>
      <w:r w:rsidRPr="00E02F30">
        <w:rPr>
          <w:rFonts w:eastAsia="Times New Roman" w:cs="Arial"/>
          <w:szCs w:val="24"/>
          <w:lang w:eastAsia="pl-PL"/>
        </w:rPr>
        <w:t xml:space="preserve">jedno- i </w:t>
      </w:r>
      <w:proofErr w:type="spellStart"/>
      <w:r w:rsidRPr="00E02F30">
        <w:rPr>
          <w:rFonts w:eastAsia="Times New Roman" w:cs="Arial"/>
          <w:szCs w:val="24"/>
          <w:lang w:eastAsia="pl-PL"/>
        </w:rPr>
        <w:t>wielo</w:t>
      </w:r>
      <w:proofErr w:type="spellEnd"/>
      <w:r w:rsidRPr="00E02F30">
        <w:rPr>
          <w:rFonts w:eastAsia="Times New Roman" w:cs="Arial"/>
          <w:szCs w:val="24"/>
          <w:lang w:eastAsia="pl-PL"/>
        </w:rPr>
        <w:t>- wodorotlenowe alkohole</w:t>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t xml:space="preserve">  9 350 Mg/rok,</w:t>
      </w:r>
    </w:p>
    <w:p w14:paraId="10E934EA" w14:textId="77777777" w:rsidR="00E02F30" w:rsidRPr="00176341" w:rsidRDefault="00E02F30">
      <w:pPr>
        <w:keepNext/>
        <w:numPr>
          <w:ilvl w:val="0"/>
          <w:numId w:val="82"/>
        </w:numPr>
        <w:spacing w:before="60" w:after="60" w:line="276" w:lineRule="auto"/>
        <w:jc w:val="both"/>
        <w:rPr>
          <w:rFonts w:eastAsia="Times New Roman" w:cs="Arial"/>
          <w:szCs w:val="24"/>
          <w:lang w:eastAsia="pl-PL"/>
        </w:rPr>
      </w:pPr>
      <w:r w:rsidRPr="00E02F30">
        <w:rPr>
          <w:rFonts w:eastAsia="Times New Roman" w:cs="Arial"/>
          <w:szCs w:val="24"/>
          <w:lang w:eastAsia="pl-PL"/>
        </w:rPr>
        <w:t xml:space="preserve">inne surowce do syntezy w tym </w:t>
      </w:r>
      <w:proofErr w:type="spellStart"/>
      <w:r w:rsidRPr="00176341">
        <w:rPr>
          <w:rFonts w:eastAsia="Times New Roman" w:cs="Arial"/>
          <w:szCs w:val="24"/>
          <w:lang w:eastAsia="pl-PL"/>
        </w:rPr>
        <w:t>dicyklopentadien</w:t>
      </w:r>
      <w:proofErr w:type="spellEnd"/>
      <w:r w:rsidRPr="00176341">
        <w:rPr>
          <w:rFonts w:eastAsia="Times New Roman" w:cs="Arial"/>
          <w:szCs w:val="24"/>
          <w:lang w:eastAsia="pl-PL"/>
        </w:rPr>
        <w:t>,</w:t>
      </w:r>
    </w:p>
    <w:p w14:paraId="5D9FBEF6" w14:textId="77777777" w:rsidR="00E02F30" w:rsidRPr="00E02F30" w:rsidRDefault="00E02F30" w:rsidP="00E02F30">
      <w:pPr>
        <w:spacing w:after="0" w:line="276" w:lineRule="auto"/>
        <w:ind w:left="360" w:firstLine="348"/>
        <w:jc w:val="both"/>
        <w:rPr>
          <w:rFonts w:eastAsia="Times New Roman" w:cs="Arial"/>
          <w:szCs w:val="24"/>
          <w:lang w:eastAsia="pl-PL"/>
        </w:rPr>
      </w:pPr>
      <w:proofErr w:type="spellStart"/>
      <w:r w:rsidRPr="00E02F30">
        <w:rPr>
          <w:rFonts w:eastAsia="Times New Roman" w:cs="Arial"/>
          <w:szCs w:val="24"/>
          <w:lang w:eastAsia="pl-PL"/>
        </w:rPr>
        <w:t>politereftalan</w:t>
      </w:r>
      <w:proofErr w:type="spellEnd"/>
      <w:r w:rsidRPr="00E02F30">
        <w:rPr>
          <w:rFonts w:eastAsia="Times New Roman" w:cs="Arial"/>
          <w:szCs w:val="24"/>
          <w:lang w:eastAsia="pl-PL"/>
        </w:rPr>
        <w:t xml:space="preserve"> etylenu</w:t>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t xml:space="preserve">  4 000 Mg/rok,</w:t>
      </w:r>
    </w:p>
    <w:p w14:paraId="546DC7EC" w14:textId="77777777" w:rsidR="00E02F30" w:rsidRPr="00E02F30" w:rsidRDefault="00E02F30">
      <w:pPr>
        <w:keepNext/>
        <w:numPr>
          <w:ilvl w:val="0"/>
          <w:numId w:val="82"/>
        </w:numPr>
        <w:spacing w:before="60" w:after="60" w:line="276" w:lineRule="auto"/>
        <w:jc w:val="both"/>
        <w:rPr>
          <w:rFonts w:eastAsia="Times New Roman" w:cs="Arial"/>
          <w:szCs w:val="24"/>
          <w:lang w:eastAsia="pl-PL"/>
        </w:rPr>
      </w:pPr>
      <w:r w:rsidRPr="00E02F30">
        <w:rPr>
          <w:rFonts w:eastAsia="Times New Roman" w:cs="Arial"/>
          <w:szCs w:val="24"/>
          <w:lang w:eastAsia="pl-PL"/>
        </w:rPr>
        <w:t>monomery sieciujące w tym  styren</w:t>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t>16 000 Mg/rok,</w:t>
      </w:r>
    </w:p>
    <w:p w14:paraId="129B796F" w14:textId="77777777" w:rsidR="00E02F30" w:rsidRPr="00E02F30" w:rsidRDefault="00E02F30">
      <w:pPr>
        <w:keepNext/>
        <w:numPr>
          <w:ilvl w:val="0"/>
          <w:numId w:val="82"/>
        </w:numPr>
        <w:spacing w:before="60" w:after="60" w:line="276" w:lineRule="auto"/>
        <w:jc w:val="both"/>
        <w:rPr>
          <w:rFonts w:eastAsia="Times New Roman" w:cs="Arial"/>
          <w:szCs w:val="24"/>
          <w:lang w:eastAsia="pl-PL"/>
        </w:rPr>
      </w:pPr>
      <w:r w:rsidRPr="00E02F30">
        <w:rPr>
          <w:rFonts w:eastAsia="Times New Roman" w:cs="Arial"/>
          <w:szCs w:val="24"/>
          <w:lang w:eastAsia="pl-PL"/>
        </w:rPr>
        <w:t>dodatki modyfikujące</w:t>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t xml:space="preserve">  1 400 Mg/rok.</w:t>
      </w:r>
    </w:p>
    <w:p w14:paraId="718E62D9" w14:textId="77777777" w:rsidR="00E02F30" w:rsidRPr="00E02F30" w:rsidRDefault="00E02F30">
      <w:pPr>
        <w:keepNext/>
        <w:numPr>
          <w:ilvl w:val="0"/>
          <w:numId w:val="81"/>
        </w:numPr>
        <w:spacing w:before="60" w:after="60" w:line="276" w:lineRule="auto"/>
        <w:jc w:val="both"/>
        <w:rPr>
          <w:rFonts w:eastAsia="Times New Roman" w:cs="Arial"/>
          <w:szCs w:val="24"/>
          <w:lang w:eastAsia="pl-PL"/>
        </w:rPr>
      </w:pPr>
      <w:r w:rsidRPr="00E02F30">
        <w:rPr>
          <w:rFonts w:eastAsia="Times New Roman" w:cs="Arial"/>
          <w:szCs w:val="24"/>
          <w:lang w:eastAsia="pl-PL"/>
        </w:rPr>
        <w:t>W produkcji żywicy KN:</w:t>
      </w:r>
    </w:p>
    <w:p w14:paraId="7E7322A1" w14:textId="77777777" w:rsidR="00E02F30" w:rsidRPr="00E02F30" w:rsidRDefault="00E02F30">
      <w:pPr>
        <w:keepNext/>
        <w:numPr>
          <w:ilvl w:val="0"/>
          <w:numId w:val="82"/>
        </w:numPr>
        <w:spacing w:before="60" w:after="60" w:line="276" w:lineRule="auto"/>
        <w:jc w:val="both"/>
        <w:rPr>
          <w:rFonts w:eastAsia="Times New Roman" w:cs="Arial"/>
          <w:szCs w:val="24"/>
          <w:lang w:eastAsia="pl-PL"/>
        </w:rPr>
      </w:pPr>
      <w:proofErr w:type="spellStart"/>
      <w:r w:rsidRPr="00E02F30">
        <w:rPr>
          <w:rFonts w:eastAsia="Times New Roman" w:cs="Times New Roman"/>
          <w:szCs w:val="24"/>
          <w:lang w:eastAsia="pl-PL"/>
        </w:rPr>
        <w:t>alkilofenole</w:t>
      </w:r>
      <w:proofErr w:type="spellEnd"/>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t xml:space="preserve">     280 Mg/rok,</w:t>
      </w:r>
    </w:p>
    <w:p w14:paraId="220467D0" w14:textId="77777777" w:rsidR="00E02F30" w:rsidRPr="00E02F30" w:rsidRDefault="00E02F30">
      <w:pPr>
        <w:keepNext/>
        <w:numPr>
          <w:ilvl w:val="0"/>
          <w:numId w:val="82"/>
        </w:numPr>
        <w:spacing w:before="60" w:after="60" w:line="276" w:lineRule="auto"/>
        <w:jc w:val="both"/>
        <w:rPr>
          <w:rFonts w:eastAsia="Times New Roman" w:cs="Arial"/>
          <w:szCs w:val="24"/>
          <w:lang w:eastAsia="pl-PL"/>
        </w:rPr>
      </w:pPr>
      <w:r w:rsidRPr="00E02F30">
        <w:rPr>
          <w:rFonts w:eastAsia="Times New Roman" w:cs="Arial"/>
          <w:szCs w:val="24"/>
          <w:lang w:eastAsia="pl-PL"/>
        </w:rPr>
        <w:t>dodatki modyfikujące</w:t>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t xml:space="preserve">     100 Mg/rok,</w:t>
      </w:r>
    </w:p>
    <w:p w14:paraId="1E0F4AA4" w14:textId="77777777" w:rsidR="00E02F30" w:rsidRPr="00E02F30" w:rsidRDefault="00E02F30" w:rsidP="00E02F30">
      <w:pPr>
        <w:keepNext/>
        <w:widowControl w:val="0"/>
        <w:adjustRightInd w:val="0"/>
        <w:spacing w:after="0" w:line="240" w:lineRule="auto"/>
        <w:jc w:val="both"/>
        <w:textAlignment w:val="baseline"/>
        <w:outlineLvl w:val="1"/>
        <w:rPr>
          <w:rFonts w:eastAsia="Calibri" w:cs="Times New Roman"/>
          <w:b/>
          <w:szCs w:val="20"/>
          <w:lang w:val="en-US"/>
        </w:rPr>
      </w:pPr>
      <w:r w:rsidRPr="00E02F30">
        <w:rPr>
          <w:rFonts w:eastAsia="Calibri" w:cs="Times New Roman"/>
          <w:b/>
          <w:szCs w:val="20"/>
          <w:lang w:val="en-US"/>
        </w:rPr>
        <w:t xml:space="preserve">VI. </w:t>
      </w:r>
      <w:proofErr w:type="spellStart"/>
      <w:r w:rsidRPr="00E02F30">
        <w:rPr>
          <w:rFonts w:eastAsia="Calibri" w:cs="Times New Roman"/>
          <w:b/>
          <w:szCs w:val="20"/>
          <w:lang w:val="en-US"/>
        </w:rPr>
        <w:t>Zakres</w:t>
      </w:r>
      <w:proofErr w:type="spellEnd"/>
      <w:r w:rsidRPr="00E02F30">
        <w:rPr>
          <w:rFonts w:eastAsia="Calibri" w:cs="Times New Roman"/>
          <w:b/>
          <w:szCs w:val="20"/>
          <w:lang w:val="en-US"/>
        </w:rPr>
        <w:t xml:space="preserve"> i </w:t>
      </w:r>
      <w:proofErr w:type="spellStart"/>
      <w:r w:rsidRPr="00E02F30">
        <w:rPr>
          <w:rFonts w:eastAsia="Calibri" w:cs="Times New Roman"/>
          <w:b/>
          <w:szCs w:val="20"/>
          <w:lang w:val="en-US"/>
        </w:rPr>
        <w:t>sposób</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monitorowania</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procesów</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technologicznych</w:t>
      </w:r>
      <w:proofErr w:type="spellEnd"/>
      <w:r w:rsidRPr="00E02F30">
        <w:rPr>
          <w:rFonts w:eastAsia="Calibri" w:cs="Times New Roman"/>
          <w:b/>
          <w:szCs w:val="20"/>
          <w:lang w:val="en-US"/>
        </w:rPr>
        <w:t xml:space="preserve">, w </w:t>
      </w:r>
      <w:proofErr w:type="spellStart"/>
      <w:r w:rsidRPr="00E02F30">
        <w:rPr>
          <w:rFonts w:eastAsia="Calibri" w:cs="Times New Roman"/>
          <w:b/>
          <w:szCs w:val="20"/>
          <w:lang w:val="en-US"/>
        </w:rPr>
        <w:t>tym</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pomiaru</w:t>
      </w:r>
      <w:proofErr w:type="spellEnd"/>
      <w:r w:rsidRPr="00E02F30">
        <w:rPr>
          <w:rFonts w:eastAsia="Calibri" w:cs="Times New Roman"/>
          <w:b/>
          <w:szCs w:val="20"/>
          <w:lang w:val="en-US"/>
        </w:rPr>
        <w:t xml:space="preserve"> i </w:t>
      </w:r>
      <w:proofErr w:type="spellStart"/>
      <w:r w:rsidRPr="00E02F30">
        <w:rPr>
          <w:rFonts w:eastAsia="Calibri" w:cs="Times New Roman"/>
          <w:b/>
          <w:szCs w:val="20"/>
          <w:lang w:val="en-US"/>
        </w:rPr>
        <w:t>ewidencjonowania</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wielkości</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emisji</w:t>
      </w:r>
      <w:proofErr w:type="spellEnd"/>
    </w:p>
    <w:p w14:paraId="4BAF3245" w14:textId="77777777" w:rsidR="00E02F30" w:rsidRPr="00E02F30" w:rsidRDefault="00E02F30" w:rsidP="00E02F30">
      <w:pPr>
        <w:keepNext/>
        <w:widowControl w:val="0"/>
        <w:adjustRightInd w:val="0"/>
        <w:spacing w:after="0" w:line="360" w:lineRule="auto"/>
        <w:textAlignment w:val="baseline"/>
        <w:outlineLvl w:val="2"/>
        <w:rPr>
          <w:rFonts w:eastAsia="Calibri" w:cs="Times New Roman"/>
          <w:b/>
          <w:szCs w:val="20"/>
        </w:rPr>
      </w:pPr>
      <w:r w:rsidRPr="00E02F30">
        <w:rPr>
          <w:rFonts w:eastAsia="Calibri" w:cs="Times New Roman"/>
          <w:b/>
          <w:szCs w:val="20"/>
        </w:rPr>
        <w:t>VI.1. Monitoring procesów technologicznych</w:t>
      </w:r>
    </w:p>
    <w:p w14:paraId="1B285FDA" w14:textId="77777777" w:rsidR="00E02F30" w:rsidRPr="00E02F30" w:rsidRDefault="00E02F30" w:rsidP="00E02F30">
      <w:pPr>
        <w:autoSpaceDE w:val="0"/>
        <w:autoSpaceDN w:val="0"/>
        <w:adjustRightInd w:val="0"/>
        <w:spacing w:after="0" w:line="276" w:lineRule="auto"/>
        <w:contextualSpacing/>
        <w:jc w:val="both"/>
        <w:rPr>
          <w:rFonts w:eastAsia="Times New Roman" w:cs="Arial"/>
          <w:szCs w:val="24"/>
          <w:lang w:eastAsia="pl-PL"/>
        </w:rPr>
      </w:pPr>
      <w:r w:rsidRPr="00E02F30">
        <w:rPr>
          <w:rFonts w:eastAsia="Times New Roman" w:cs="Arial"/>
          <w:b/>
          <w:szCs w:val="24"/>
          <w:lang w:eastAsia="pl-PL"/>
        </w:rPr>
        <w:t xml:space="preserve">VI.1.1. </w:t>
      </w:r>
      <w:r w:rsidRPr="00E02F30">
        <w:rPr>
          <w:rFonts w:eastAsia="Times New Roman" w:cs="Arial"/>
          <w:szCs w:val="24"/>
          <w:lang w:eastAsia="pl-PL"/>
        </w:rPr>
        <w:t>Sprawdzanie stanu technicznego i sprawności urządzeń służących do prowadzenia procesów i urządzeń ochrony środowiska w instalacjach wykonywane będzie zgodnie procedurami i harmonogramami zintegrowanego zakładowego systemu zarządzania.</w:t>
      </w:r>
    </w:p>
    <w:p w14:paraId="76F1FF6A" w14:textId="77777777" w:rsidR="00E02F30" w:rsidRPr="00E02F30" w:rsidRDefault="00E02F30" w:rsidP="00E02F30">
      <w:pPr>
        <w:autoSpaceDE w:val="0"/>
        <w:autoSpaceDN w:val="0"/>
        <w:adjustRightInd w:val="0"/>
        <w:spacing w:after="0" w:line="276" w:lineRule="auto"/>
        <w:contextualSpacing/>
        <w:jc w:val="both"/>
        <w:rPr>
          <w:rFonts w:eastAsia="Times New Roman" w:cs="Arial"/>
          <w:szCs w:val="24"/>
          <w:lang w:eastAsia="pl-PL"/>
        </w:rPr>
      </w:pPr>
      <w:r w:rsidRPr="00E02F30">
        <w:rPr>
          <w:rFonts w:eastAsia="Times New Roman" w:cs="Arial"/>
          <w:szCs w:val="24"/>
          <w:lang w:eastAsia="pl-PL"/>
        </w:rPr>
        <w:t>Sposób prowadzenia nadzoru nad sprawnością urządzeń ochrony powietrza określa dokumentacja techniczna. Prowadzona będzie ewidencja czasu pracy tych urządzeń.</w:t>
      </w:r>
    </w:p>
    <w:p w14:paraId="3CE081D0" w14:textId="77777777" w:rsidR="00E02F30" w:rsidRPr="00E02F30" w:rsidRDefault="00E02F30" w:rsidP="00E02F30">
      <w:pPr>
        <w:autoSpaceDE w:val="0"/>
        <w:autoSpaceDN w:val="0"/>
        <w:adjustRightInd w:val="0"/>
        <w:spacing w:after="0" w:line="276" w:lineRule="auto"/>
        <w:contextualSpacing/>
        <w:jc w:val="both"/>
        <w:rPr>
          <w:rFonts w:eastAsia="Times New Roman" w:cs="Arial"/>
          <w:szCs w:val="24"/>
          <w:lang w:eastAsia="pl-PL"/>
        </w:rPr>
      </w:pPr>
      <w:r w:rsidRPr="00E02F30">
        <w:rPr>
          <w:rFonts w:eastAsia="Times New Roman" w:cs="Arial"/>
          <w:b/>
          <w:szCs w:val="24"/>
          <w:lang w:eastAsia="pl-PL"/>
        </w:rPr>
        <w:t>VI.1.2.</w:t>
      </w:r>
      <w:r w:rsidRPr="00E02F30">
        <w:rPr>
          <w:rFonts w:eastAsia="Times New Roman" w:cs="Arial"/>
          <w:szCs w:val="24"/>
          <w:lang w:eastAsia="pl-PL"/>
        </w:rPr>
        <w:tab/>
        <w:t xml:space="preserve">Sprawdzane będą dostawy surowców i materiałów wykorzystywanych </w:t>
      </w:r>
      <w:r w:rsidRPr="00E02F30">
        <w:rPr>
          <w:rFonts w:eastAsia="Times New Roman" w:cs="Arial"/>
          <w:szCs w:val="24"/>
          <w:lang w:eastAsia="pl-PL"/>
        </w:rPr>
        <w:br/>
        <w:t xml:space="preserve">w procesach, w tym w szczególności dokonywana będzie ich  identyfikacja, kontrola pod względem jakości i ilości oraz prowadzona będzie ewidencja w oparciu </w:t>
      </w:r>
      <w:r w:rsidRPr="00E02F30">
        <w:rPr>
          <w:rFonts w:eastAsia="Times New Roman" w:cs="Arial"/>
          <w:szCs w:val="24"/>
          <w:lang w:eastAsia="pl-PL"/>
        </w:rPr>
        <w:br/>
        <w:t>o procedury zintegrowanego zakładowego systemu zarządzania.</w:t>
      </w:r>
    </w:p>
    <w:p w14:paraId="0BE0EF98"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VI.1.3.</w:t>
      </w:r>
      <w:r w:rsidRPr="00E02F30">
        <w:rPr>
          <w:rFonts w:eastAsia="Times New Roman" w:cs="Arial"/>
          <w:szCs w:val="24"/>
          <w:lang w:eastAsia="pl-PL"/>
        </w:rPr>
        <w:tab/>
        <w:t xml:space="preserve">Prowadzone będą pomiary i rejestracja dozowanych do procesów surowców </w:t>
      </w:r>
      <w:r w:rsidRPr="00E02F30">
        <w:rPr>
          <w:rFonts w:eastAsia="Times New Roman" w:cs="Arial"/>
          <w:szCs w:val="24"/>
          <w:lang w:eastAsia="pl-PL"/>
        </w:rPr>
        <w:br/>
        <w:t>i materiałów zgodnie z obowiązującymi instrukcjami ruchowymi.</w:t>
      </w:r>
    </w:p>
    <w:p w14:paraId="4F544454" w14:textId="77777777" w:rsidR="00E02F30" w:rsidRPr="00E02F30" w:rsidRDefault="00E02F30" w:rsidP="00E02F30">
      <w:pPr>
        <w:autoSpaceDE w:val="0"/>
        <w:autoSpaceDN w:val="0"/>
        <w:adjustRightInd w:val="0"/>
        <w:spacing w:after="0" w:line="276" w:lineRule="auto"/>
        <w:jc w:val="both"/>
        <w:rPr>
          <w:rFonts w:eastAsia="Times New Roman" w:cs="Arial"/>
          <w:szCs w:val="24"/>
          <w:lang w:eastAsia="pl-PL"/>
        </w:rPr>
      </w:pPr>
      <w:r w:rsidRPr="00E02F30">
        <w:rPr>
          <w:rFonts w:eastAsia="Times New Roman" w:cs="Arial"/>
          <w:b/>
          <w:szCs w:val="24"/>
          <w:lang w:eastAsia="pl-PL"/>
        </w:rPr>
        <w:t>VI.1.4.</w:t>
      </w:r>
      <w:r w:rsidRPr="00E02F30">
        <w:rPr>
          <w:rFonts w:eastAsia="Times New Roman" w:cs="Arial"/>
          <w:szCs w:val="24"/>
          <w:lang w:eastAsia="pl-PL"/>
        </w:rPr>
        <w:tab/>
        <w:t xml:space="preserve">Prowadzona będzie kontrola parametrów technologicznych polegająca na wykonywaniu dla każdej szarży produkcyjnej prób i analiz laboratoryjnych </w:t>
      </w:r>
      <w:r w:rsidRPr="00E02F30">
        <w:rPr>
          <w:rFonts w:eastAsia="Times New Roman" w:cs="Arial"/>
          <w:szCs w:val="24"/>
          <w:lang w:eastAsia="pl-PL"/>
        </w:rPr>
        <w:br/>
        <w:t xml:space="preserve">w Centralnym Laboratorium, charakterystycznych dla danego procesu zgodnie </w:t>
      </w:r>
      <w:r w:rsidRPr="00E02F30">
        <w:rPr>
          <w:rFonts w:eastAsia="Times New Roman" w:cs="Arial"/>
          <w:szCs w:val="24"/>
          <w:lang w:eastAsia="pl-PL"/>
        </w:rPr>
        <w:br/>
        <w:t>z obowiązującymi instrukcjami ruchowymi.</w:t>
      </w:r>
    </w:p>
    <w:p w14:paraId="6ECE2780" w14:textId="77777777" w:rsidR="00E02F30" w:rsidRPr="00E02F30" w:rsidRDefault="00E02F30" w:rsidP="00E02F30">
      <w:pPr>
        <w:autoSpaceDE w:val="0"/>
        <w:autoSpaceDN w:val="0"/>
        <w:adjustRightInd w:val="0"/>
        <w:spacing w:after="0" w:line="276" w:lineRule="auto"/>
        <w:jc w:val="both"/>
        <w:rPr>
          <w:rFonts w:eastAsia="Times New Roman" w:cs="Arial"/>
          <w:szCs w:val="24"/>
          <w:lang w:eastAsia="pl-PL"/>
        </w:rPr>
      </w:pPr>
      <w:r w:rsidRPr="00E02F30">
        <w:rPr>
          <w:rFonts w:eastAsia="Times New Roman" w:cs="Arial"/>
          <w:b/>
          <w:szCs w:val="24"/>
          <w:lang w:eastAsia="pl-PL"/>
        </w:rPr>
        <w:t>V.1.5.</w:t>
      </w:r>
      <w:r w:rsidRPr="00E02F30">
        <w:rPr>
          <w:rFonts w:eastAsia="Times New Roman" w:cs="Arial"/>
          <w:szCs w:val="24"/>
          <w:lang w:eastAsia="pl-PL"/>
        </w:rPr>
        <w:tab/>
        <w:t xml:space="preserve">Kontrolowane będą parametry przebiegu procesów produkcyjnych zgodnie </w:t>
      </w:r>
      <w:r w:rsidRPr="00E02F30">
        <w:rPr>
          <w:rFonts w:eastAsia="Times New Roman" w:cs="Arial"/>
          <w:szCs w:val="24"/>
          <w:lang w:eastAsia="pl-PL"/>
        </w:rPr>
        <w:br/>
        <w:t>z obowiązującymi instrukcjami ruchowymi.</w:t>
      </w:r>
    </w:p>
    <w:p w14:paraId="75CE434C" w14:textId="77777777" w:rsidR="00E02F30" w:rsidRPr="00E02F30" w:rsidRDefault="00E02F30" w:rsidP="00E02F30">
      <w:pPr>
        <w:keepNext/>
        <w:widowControl w:val="0"/>
        <w:adjustRightInd w:val="0"/>
        <w:spacing w:after="0" w:line="360" w:lineRule="auto"/>
        <w:textAlignment w:val="baseline"/>
        <w:outlineLvl w:val="2"/>
        <w:rPr>
          <w:rFonts w:eastAsia="Times New Roman" w:cs="Times New Roman"/>
          <w:b/>
          <w:szCs w:val="20"/>
          <w:lang w:eastAsia="pl-PL"/>
        </w:rPr>
      </w:pPr>
      <w:bookmarkStart w:id="10" w:name="_Hlk513808467"/>
      <w:r w:rsidRPr="00E02F30">
        <w:rPr>
          <w:rFonts w:eastAsia="Calibri" w:cs="Times New Roman"/>
          <w:b/>
          <w:szCs w:val="20"/>
        </w:rPr>
        <w:t xml:space="preserve">VI.2. </w:t>
      </w:r>
      <w:r w:rsidRPr="00E02F30">
        <w:rPr>
          <w:rFonts w:eastAsia="Times New Roman" w:cs="Times New Roman"/>
          <w:b/>
          <w:szCs w:val="20"/>
          <w:lang w:eastAsia="pl-PL"/>
        </w:rPr>
        <w:t>Monitoring emisji gazów i pyłów do powietrza</w:t>
      </w:r>
    </w:p>
    <w:p w14:paraId="04F8A6BC" w14:textId="77777777" w:rsidR="00E02F30" w:rsidRPr="00E02F30" w:rsidRDefault="00E02F30" w:rsidP="00E02F30">
      <w:pPr>
        <w:autoSpaceDE w:val="0"/>
        <w:autoSpaceDN w:val="0"/>
        <w:adjustRightInd w:val="0"/>
        <w:spacing w:after="0" w:line="276" w:lineRule="auto"/>
        <w:contextualSpacing/>
        <w:jc w:val="both"/>
        <w:rPr>
          <w:rFonts w:eastAsia="Times New Roman" w:cs="Arial"/>
          <w:szCs w:val="24"/>
          <w:lang w:eastAsia="pl-PL"/>
        </w:rPr>
      </w:pPr>
      <w:r w:rsidRPr="00E02F30">
        <w:rPr>
          <w:rFonts w:eastAsia="Times New Roman" w:cs="Arial"/>
          <w:b/>
          <w:szCs w:val="24"/>
          <w:lang w:eastAsia="pl-PL"/>
        </w:rPr>
        <w:t>VI.2.1</w:t>
      </w:r>
      <w:r w:rsidRPr="00E02F30">
        <w:rPr>
          <w:rFonts w:eastAsia="Times New Roman" w:cs="Arial"/>
          <w:szCs w:val="24"/>
          <w:lang w:eastAsia="pl-PL"/>
        </w:rPr>
        <w:t>.</w:t>
      </w:r>
      <w:r w:rsidRPr="00E02F30">
        <w:rPr>
          <w:rFonts w:eastAsia="Times New Roman" w:cs="Arial"/>
          <w:szCs w:val="24"/>
          <w:lang w:eastAsia="pl-PL"/>
        </w:rPr>
        <w:tab/>
        <w:t xml:space="preserve">Stanowiska do pomiaru wielkości emisji w zakresie gazów lub pyłów </w:t>
      </w:r>
      <w:r w:rsidRPr="00E02F30">
        <w:rPr>
          <w:rFonts w:eastAsia="Times New Roman" w:cs="Arial"/>
          <w:szCs w:val="24"/>
          <w:lang w:eastAsia="pl-PL"/>
        </w:rPr>
        <w:br/>
        <w:t>do powietrza będą zamontowane na wszystkich emitorach.</w:t>
      </w:r>
    </w:p>
    <w:p w14:paraId="522131F8" w14:textId="77777777" w:rsidR="00E02F30" w:rsidRPr="00E02F30" w:rsidRDefault="00E02F30" w:rsidP="00E02F30">
      <w:pPr>
        <w:autoSpaceDE w:val="0"/>
        <w:autoSpaceDN w:val="0"/>
        <w:adjustRightInd w:val="0"/>
        <w:spacing w:after="0" w:line="276" w:lineRule="auto"/>
        <w:jc w:val="both"/>
        <w:rPr>
          <w:rFonts w:ascii="Times New Roman" w:eastAsia="Calibri" w:hAnsi="Times New Roman" w:cs="Times New Roman"/>
          <w:szCs w:val="24"/>
        </w:rPr>
      </w:pPr>
      <w:r w:rsidRPr="00E02F30">
        <w:rPr>
          <w:rFonts w:eastAsia="Calibri" w:cs="Arial"/>
          <w:b/>
          <w:szCs w:val="24"/>
        </w:rPr>
        <w:t>VI.2.2.</w:t>
      </w:r>
      <w:r w:rsidRPr="00E02F30">
        <w:rPr>
          <w:rFonts w:eastAsia="Calibri" w:cs="Arial"/>
          <w:szCs w:val="24"/>
        </w:rPr>
        <w:tab/>
        <w:t>Stanowiska pomiarowe będą na bieżąco utrzymywane w stanie umożliwiającym prawidłowe wykonywanie pomiarów emisji.</w:t>
      </w:r>
      <w:r w:rsidRPr="00E02F30">
        <w:rPr>
          <w:rFonts w:ascii="Times New Roman" w:eastAsia="Calibri" w:hAnsi="Times New Roman" w:cs="Times New Roman"/>
          <w:szCs w:val="24"/>
        </w:rPr>
        <w:t xml:space="preserve"> </w:t>
      </w:r>
    </w:p>
    <w:p w14:paraId="5E86CF5C" w14:textId="77777777" w:rsidR="00E02F30" w:rsidRPr="00E02F30" w:rsidRDefault="00E02F30" w:rsidP="00E02F30">
      <w:pPr>
        <w:autoSpaceDE w:val="0"/>
        <w:autoSpaceDN w:val="0"/>
        <w:adjustRightInd w:val="0"/>
        <w:spacing w:after="0" w:line="276" w:lineRule="auto"/>
        <w:jc w:val="both"/>
        <w:rPr>
          <w:rFonts w:eastAsia="Calibri" w:cs="Arial"/>
          <w:szCs w:val="24"/>
        </w:rPr>
      </w:pPr>
      <w:r w:rsidRPr="00E02F30">
        <w:rPr>
          <w:rFonts w:eastAsia="Calibri" w:cs="Arial"/>
          <w:b/>
          <w:szCs w:val="24"/>
        </w:rPr>
        <w:t xml:space="preserve">VI.2.3. </w:t>
      </w:r>
      <w:r w:rsidRPr="00E02F30">
        <w:rPr>
          <w:rFonts w:eastAsia="Calibri" w:cs="Arial"/>
          <w:szCs w:val="24"/>
        </w:rPr>
        <w:t>Zakres i częstotliwość pomiarów emisji gazów i pyłów do powietrza:</w:t>
      </w:r>
    </w:p>
    <w:p w14:paraId="74CDD536" w14:textId="77777777" w:rsidR="00E02F30" w:rsidRPr="00E02F30" w:rsidRDefault="00E02F30" w:rsidP="00E02F30">
      <w:pPr>
        <w:keepNext/>
        <w:widowControl w:val="0"/>
        <w:adjustRightInd w:val="0"/>
        <w:spacing w:after="0" w:line="360" w:lineRule="auto"/>
        <w:textAlignment w:val="baseline"/>
        <w:outlineLvl w:val="4"/>
        <w:rPr>
          <w:rFonts w:eastAsia="Calibri" w:cs="Times New Roman"/>
          <w:szCs w:val="20"/>
        </w:rPr>
      </w:pPr>
      <w:r w:rsidRPr="00E02F30">
        <w:rPr>
          <w:rFonts w:eastAsia="Calibri" w:cs="Times New Roman"/>
          <w:b/>
          <w:bCs/>
          <w:szCs w:val="20"/>
        </w:rPr>
        <w:t>Tabela nr 11</w:t>
      </w:r>
      <w:r w:rsidRPr="00E02F30">
        <w:rPr>
          <w:rFonts w:eastAsia="Calibri" w:cs="Times New Roman"/>
          <w:szCs w:val="20"/>
        </w:rPr>
        <w:t xml:space="preserve"> do 11 grudnia 2026 r.</w:t>
      </w:r>
    </w:p>
    <w:tbl>
      <w:tblPr>
        <w:tblpPr w:leftFromText="142" w:rightFromText="142" w:vertAnchor="text" w:horzAnchor="margin" w:tblpX="-10" w:tblpY="349"/>
        <w:tblOverlap w:val="neve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Description w:val="Przedstawia 7 emitorów dla których jest określony zakres monitoringu oraz jego częstotliwość. Zakres ten oraz częstotliwośc obowiązuje do 11 grudnia 2026 r."/>
      </w:tblPr>
      <w:tblGrid>
        <w:gridCol w:w="419"/>
        <w:gridCol w:w="3099"/>
        <w:gridCol w:w="2819"/>
        <w:gridCol w:w="2682"/>
      </w:tblGrid>
      <w:tr w:rsidR="00E02F30" w:rsidRPr="00E02F30" w14:paraId="23DC62DF" w14:textId="77777777" w:rsidTr="00A1631B">
        <w:trPr>
          <w:trHeight w:val="410"/>
          <w:tblHeader/>
        </w:trPr>
        <w:tc>
          <w:tcPr>
            <w:tcW w:w="232" w:type="pct"/>
            <w:shd w:val="clear" w:color="auto" w:fill="auto"/>
            <w:vAlign w:val="center"/>
          </w:tcPr>
          <w:p w14:paraId="17795BD3" w14:textId="77777777" w:rsidR="00E02F30" w:rsidRPr="00E02F30" w:rsidRDefault="00E02F30" w:rsidP="00E02F30">
            <w:pPr>
              <w:spacing w:after="0" w:line="240" w:lineRule="auto"/>
              <w:ind w:left="-642" w:firstLine="709"/>
              <w:jc w:val="center"/>
              <w:rPr>
                <w:rFonts w:eastAsia="Times New Roman" w:cs="Times New Roman"/>
                <w:sz w:val="20"/>
                <w:szCs w:val="20"/>
                <w:lang w:eastAsia="pl-PL"/>
              </w:rPr>
            </w:pPr>
            <w:bookmarkStart w:id="11" w:name="_Hlk172549755"/>
            <w:r w:rsidRPr="00E02F30">
              <w:rPr>
                <w:rFonts w:eastAsia="Times New Roman" w:cs="Times New Roman"/>
                <w:sz w:val="20"/>
                <w:szCs w:val="20"/>
                <w:lang w:eastAsia="pl-PL"/>
              </w:rPr>
              <w:t>Lp.</w:t>
            </w:r>
          </w:p>
        </w:tc>
        <w:tc>
          <w:tcPr>
            <w:tcW w:w="1718" w:type="pct"/>
            <w:shd w:val="clear" w:color="auto" w:fill="auto"/>
            <w:vAlign w:val="center"/>
          </w:tcPr>
          <w:p w14:paraId="25C4740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Emitor</w:t>
            </w:r>
          </w:p>
        </w:tc>
        <w:tc>
          <w:tcPr>
            <w:tcW w:w="1563" w:type="pct"/>
            <w:shd w:val="clear" w:color="auto" w:fill="auto"/>
            <w:vAlign w:val="center"/>
          </w:tcPr>
          <w:p w14:paraId="7CA3601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Substancja</w:t>
            </w:r>
          </w:p>
        </w:tc>
        <w:tc>
          <w:tcPr>
            <w:tcW w:w="1487" w:type="pct"/>
            <w:shd w:val="clear" w:color="auto" w:fill="auto"/>
            <w:vAlign w:val="center"/>
          </w:tcPr>
          <w:p w14:paraId="22A9693C" w14:textId="77777777" w:rsidR="00E02F30" w:rsidRPr="00E02F30" w:rsidRDefault="00E02F30" w:rsidP="00E02F30">
            <w:pPr>
              <w:spacing w:after="0" w:line="240" w:lineRule="auto"/>
              <w:jc w:val="center"/>
              <w:rPr>
                <w:rFonts w:eastAsia="Times New Roman" w:cs="Arial"/>
                <w:sz w:val="20"/>
                <w:szCs w:val="20"/>
                <w:lang w:eastAsia="pl-PL"/>
              </w:rPr>
            </w:pPr>
          </w:p>
          <w:p w14:paraId="5836DC6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 xml:space="preserve">Częstotliwość </w:t>
            </w:r>
          </w:p>
          <w:p w14:paraId="4BB2C27F"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6694BED7" w14:textId="77777777" w:rsidTr="00A1631B">
        <w:trPr>
          <w:trHeight w:val="165"/>
        </w:trPr>
        <w:tc>
          <w:tcPr>
            <w:tcW w:w="232" w:type="pct"/>
            <w:vAlign w:val="center"/>
          </w:tcPr>
          <w:p w14:paraId="58C9CB98"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1.</w:t>
            </w:r>
          </w:p>
        </w:tc>
        <w:tc>
          <w:tcPr>
            <w:tcW w:w="1718" w:type="pct"/>
            <w:vAlign w:val="center"/>
          </w:tcPr>
          <w:p w14:paraId="5094641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E-2/Z</w:t>
            </w:r>
          </w:p>
        </w:tc>
        <w:tc>
          <w:tcPr>
            <w:tcW w:w="1563" w:type="pct"/>
          </w:tcPr>
          <w:p w14:paraId="67D12A2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styren</w:t>
            </w:r>
          </w:p>
        </w:tc>
        <w:tc>
          <w:tcPr>
            <w:tcW w:w="1487" w:type="pct"/>
            <w:vMerge w:val="restart"/>
            <w:vAlign w:val="center"/>
          </w:tcPr>
          <w:p w14:paraId="5E4A61B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Co najmniej co roku</w:t>
            </w:r>
          </w:p>
        </w:tc>
      </w:tr>
      <w:tr w:rsidR="00E02F30" w:rsidRPr="00E02F30" w14:paraId="26374EF1" w14:textId="77777777" w:rsidTr="00A1631B">
        <w:trPr>
          <w:trHeight w:val="187"/>
        </w:trPr>
        <w:tc>
          <w:tcPr>
            <w:tcW w:w="232" w:type="pct"/>
            <w:vAlign w:val="center"/>
          </w:tcPr>
          <w:p w14:paraId="736A31DE"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2.</w:t>
            </w:r>
          </w:p>
        </w:tc>
        <w:tc>
          <w:tcPr>
            <w:tcW w:w="1718" w:type="pct"/>
            <w:vAlign w:val="center"/>
          </w:tcPr>
          <w:p w14:paraId="4C0803D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E-3/Z</w:t>
            </w:r>
          </w:p>
        </w:tc>
        <w:tc>
          <w:tcPr>
            <w:tcW w:w="1563" w:type="pct"/>
          </w:tcPr>
          <w:p w14:paraId="6A88220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styren</w:t>
            </w:r>
          </w:p>
        </w:tc>
        <w:tc>
          <w:tcPr>
            <w:tcW w:w="1487" w:type="pct"/>
            <w:vMerge/>
            <w:vAlign w:val="center"/>
          </w:tcPr>
          <w:p w14:paraId="038F297D"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5D1C1255" w14:textId="77777777" w:rsidTr="00A1631B">
        <w:trPr>
          <w:trHeight w:val="238"/>
        </w:trPr>
        <w:tc>
          <w:tcPr>
            <w:tcW w:w="232" w:type="pct"/>
            <w:vAlign w:val="center"/>
          </w:tcPr>
          <w:p w14:paraId="32DC45AC"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3.</w:t>
            </w:r>
          </w:p>
        </w:tc>
        <w:tc>
          <w:tcPr>
            <w:tcW w:w="1718" w:type="pct"/>
            <w:vAlign w:val="center"/>
          </w:tcPr>
          <w:p w14:paraId="4769B45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E-4/Z</w:t>
            </w:r>
          </w:p>
        </w:tc>
        <w:tc>
          <w:tcPr>
            <w:tcW w:w="1563" w:type="pct"/>
          </w:tcPr>
          <w:p w14:paraId="3D3789A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 xml:space="preserve"> styren</w:t>
            </w:r>
          </w:p>
        </w:tc>
        <w:tc>
          <w:tcPr>
            <w:tcW w:w="1487" w:type="pct"/>
            <w:vMerge/>
            <w:vAlign w:val="center"/>
          </w:tcPr>
          <w:p w14:paraId="16A899AC"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06805089" w14:textId="77777777" w:rsidTr="00A1631B">
        <w:trPr>
          <w:trHeight w:val="96"/>
        </w:trPr>
        <w:tc>
          <w:tcPr>
            <w:tcW w:w="232" w:type="pct"/>
            <w:vAlign w:val="center"/>
          </w:tcPr>
          <w:p w14:paraId="18F81F39"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4.</w:t>
            </w:r>
          </w:p>
        </w:tc>
        <w:tc>
          <w:tcPr>
            <w:tcW w:w="1718" w:type="pct"/>
            <w:vAlign w:val="center"/>
          </w:tcPr>
          <w:p w14:paraId="01D2871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E-5/Z</w:t>
            </w:r>
          </w:p>
        </w:tc>
        <w:tc>
          <w:tcPr>
            <w:tcW w:w="1563" w:type="pct"/>
          </w:tcPr>
          <w:p w14:paraId="0495CF8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styren</w:t>
            </w:r>
          </w:p>
        </w:tc>
        <w:tc>
          <w:tcPr>
            <w:tcW w:w="1487" w:type="pct"/>
            <w:vMerge/>
            <w:vAlign w:val="center"/>
          </w:tcPr>
          <w:p w14:paraId="02475B25"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1D20651F" w14:textId="77777777" w:rsidTr="00A1631B">
        <w:trPr>
          <w:trHeight w:val="161"/>
        </w:trPr>
        <w:tc>
          <w:tcPr>
            <w:tcW w:w="232" w:type="pct"/>
            <w:vMerge w:val="restart"/>
            <w:vAlign w:val="center"/>
          </w:tcPr>
          <w:p w14:paraId="039E418A"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5.</w:t>
            </w:r>
          </w:p>
        </w:tc>
        <w:tc>
          <w:tcPr>
            <w:tcW w:w="1718" w:type="pct"/>
            <w:vMerge w:val="restart"/>
            <w:vAlign w:val="center"/>
          </w:tcPr>
          <w:p w14:paraId="6944FD50"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E-6/Z</w:t>
            </w:r>
          </w:p>
        </w:tc>
        <w:tc>
          <w:tcPr>
            <w:tcW w:w="1563" w:type="pct"/>
          </w:tcPr>
          <w:p w14:paraId="16B6E29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styren</w:t>
            </w:r>
          </w:p>
        </w:tc>
        <w:tc>
          <w:tcPr>
            <w:tcW w:w="1487" w:type="pct"/>
            <w:vMerge/>
            <w:vAlign w:val="center"/>
          </w:tcPr>
          <w:p w14:paraId="011EFEC4"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5BACEE85" w14:textId="77777777" w:rsidTr="00A1631B">
        <w:trPr>
          <w:trHeight w:val="283"/>
        </w:trPr>
        <w:tc>
          <w:tcPr>
            <w:tcW w:w="232" w:type="pct"/>
            <w:vMerge/>
            <w:vAlign w:val="center"/>
          </w:tcPr>
          <w:p w14:paraId="7ED4076A" w14:textId="77777777" w:rsidR="00E02F30" w:rsidRPr="00E02F30" w:rsidRDefault="00E02F30" w:rsidP="00E02F30">
            <w:pPr>
              <w:spacing w:after="0" w:line="240" w:lineRule="auto"/>
              <w:jc w:val="center"/>
              <w:rPr>
                <w:rFonts w:eastAsia="Times New Roman" w:cs="Times New Roman"/>
                <w:szCs w:val="24"/>
                <w:lang w:eastAsia="pl-PL"/>
              </w:rPr>
            </w:pPr>
          </w:p>
        </w:tc>
        <w:tc>
          <w:tcPr>
            <w:tcW w:w="1718" w:type="pct"/>
            <w:vMerge/>
            <w:vAlign w:val="center"/>
          </w:tcPr>
          <w:p w14:paraId="272D58D8" w14:textId="77777777" w:rsidR="00E02F30" w:rsidRPr="00E02F30" w:rsidRDefault="00E02F30" w:rsidP="00E02F30">
            <w:pPr>
              <w:spacing w:after="0" w:line="240" w:lineRule="auto"/>
              <w:jc w:val="center"/>
              <w:rPr>
                <w:rFonts w:eastAsia="Times New Roman" w:cs="Arial"/>
                <w:sz w:val="20"/>
                <w:szCs w:val="20"/>
                <w:lang w:eastAsia="pl-PL"/>
              </w:rPr>
            </w:pPr>
          </w:p>
        </w:tc>
        <w:tc>
          <w:tcPr>
            <w:tcW w:w="1563" w:type="pct"/>
          </w:tcPr>
          <w:p w14:paraId="11B624E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toluen</w:t>
            </w:r>
          </w:p>
        </w:tc>
        <w:tc>
          <w:tcPr>
            <w:tcW w:w="1487" w:type="pct"/>
            <w:vMerge/>
            <w:vAlign w:val="center"/>
          </w:tcPr>
          <w:p w14:paraId="13B32C08"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43FBD8A6" w14:textId="77777777" w:rsidTr="00A1631B">
        <w:trPr>
          <w:trHeight w:val="307"/>
        </w:trPr>
        <w:tc>
          <w:tcPr>
            <w:tcW w:w="232" w:type="pct"/>
            <w:vAlign w:val="center"/>
          </w:tcPr>
          <w:p w14:paraId="14474653"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6.</w:t>
            </w:r>
          </w:p>
        </w:tc>
        <w:tc>
          <w:tcPr>
            <w:tcW w:w="1718" w:type="pct"/>
            <w:vAlign w:val="center"/>
          </w:tcPr>
          <w:p w14:paraId="0D61A81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E-7/Z</w:t>
            </w:r>
          </w:p>
        </w:tc>
        <w:tc>
          <w:tcPr>
            <w:tcW w:w="1563" w:type="pct"/>
          </w:tcPr>
          <w:p w14:paraId="767AF85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ksylen</w:t>
            </w:r>
          </w:p>
        </w:tc>
        <w:tc>
          <w:tcPr>
            <w:tcW w:w="1487" w:type="pct"/>
            <w:vMerge/>
            <w:vAlign w:val="center"/>
          </w:tcPr>
          <w:p w14:paraId="6696D87B"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2083C103" w14:textId="77777777" w:rsidTr="00A1631B">
        <w:trPr>
          <w:trHeight w:val="203"/>
        </w:trPr>
        <w:tc>
          <w:tcPr>
            <w:tcW w:w="232" w:type="pct"/>
            <w:vAlign w:val="center"/>
          </w:tcPr>
          <w:p w14:paraId="2FB33CB6"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7.</w:t>
            </w:r>
          </w:p>
        </w:tc>
        <w:tc>
          <w:tcPr>
            <w:tcW w:w="1718" w:type="pct"/>
            <w:vAlign w:val="center"/>
          </w:tcPr>
          <w:p w14:paraId="0A2CD4E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E-9/Z</w:t>
            </w:r>
          </w:p>
        </w:tc>
        <w:tc>
          <w:tcPr>
            <w:tcW w:w="1563" w:type="pct"/>
          </w:tcPr>
          <w:p w14:paraId="74EF8F8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styren</w:t>
            </w:r>
          </w:p>
        </w:tc>
        <w:tc>
          <w:tcPr>
            <w:tcW w:w="1487" w:type="pct"/>
            <w:vMerge/>
          </w:tcPr>
          <w:p w14:paraId="25614AEA" w14:textId="77777777" w:rsidR="00E02F30" w:rsidRPr="00E02F30" w:rsidRDefault="00E02F30" w:rsidP="00E02F30">
            <w:pPr>
              <w:spacing w:after="0" w:line="240" w:lineRule="auto"/>
              <w:jc w:val="center"/>
              <w:rPr>
                <w:rFonts w:eastAsia="Times New Roman" w:cs="Arial"/>
                <w:sz w:val="20"/>
                <w:szCs w:val="20"/>
                <w:lang w:eastAsia="pl-PL"/>
              </w:rPr>
            </w:pPr>
          </w:p>
        </w:tc>
      </w:tr>
      <w:bookmarkEnd w:id="11"/>
    </w:tbl>
    <w:p w14:paraId="799046EF" w14:textId="77777777" w:rsidR="00E02F30" w:rsidRPr="00E02F30" w:rsidRDefault="00E02F30" w:rsidP="00E02F30">
      <w:pPr>
        <w:spacing w:after="0" w:line="240" w:lineRule="auto"/>
        <w:jc w:val="both"/>
        <w:rPr>
          <w:rFonts w:eastAsia="Calibri" w:cs="Times New Roman"/>
          <w:szCs w:val="24"/>
        </w:rPr>
      </w:pPr>
    </w:p>
    <w:p w14:paraId="2EFE3D88" w14:textId="77777777" w:rsidR="00E02F30" w:rsidRPr="00E02F30" w:rsidRDefault="00E02F30" w:rsidP="00E02F30">
      <w:pPr>
        <w:keepNext/>
        <w:widowControl w:val="0"/>
        <w:adjustRightInd w:val="0"/>
        <w:spacing w:after="0" w:line="360" w:lineRule="auto"/>
        <w:textAlignment w:val="baseline"/>
        <w:outlineLvl w:val="4"/>
        <w:rPr>
          <w:rFonts w:eastAsia="Calibri" w:cs="Times New Roman"/>
          <w:szCs w:val="20"/>
        </w:rPr>
      </w:pPr>
      <w:r w:rsidRPr="00E02F30">
        <w:rPr>
          <w:rFonts w:eastAsia="Calibri" w:cs="Times New Roman"/>
          <w:b/>
          <w:bCs/>
          <w:szCs w:val="20"/>
        </w:rPr>
        <w:t>Tabela nr 11a</w:t>
      </w:r>
      <w:r w:rsidRPr="00E02F30">
        <w:rPr>
          <w:rFonts w:eastAsia="Calibri" w:cs="Times New Roman"/>
          <w:szCs w:val="20"/>
        </w:rPr>
        <w:t xml:space="preserve"> od 12 grudnia 2026 r. </w:t>
      </w:r>
    </w:p>
    <w:tbl>
      <w:tblPr>
        <w:tblpPr w:leftFromText="142" w:rightFromText="142" w:vertAnchor="text" w:tblpXSpec="center" w:tblpY="1"/>
        <w:tblOverlap w:val="neve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Description w:val="Przedstawia 9 emitorów dla których jest określony zakres monitoringu oraz jego częstotliwość. Zakres ten oraz częstotliwośc obowiązuje od 12 grudnia 2026 r."/>
      </w:tblPr>
      <w:tblGrid>
        <w:gridCol w:w="417"/>
        <w:gridCol w:w="3111"/>
        <w:gridCol w:w="2820"/>
        <w:gridCol w:w="2690"/>
      </w:tblGrid>
      <w:tr w:rsidR="00E02F30" w:rsidRPr="00E02F30" w14:paraId="418D89A3" w14:textId="77777777" w:rsidTr="00A1631B">
        <w:trPr>
          <w:trHeight w:val="851"/>
          <w:tblHeader/>
        </w:trPr>
        <w:tc>
          <w:tcPr>
            <w:tcW w:w="231" w:type="pct"/>
            <w:shd w:val="clear" w:color="auto" w:fill="auto"/>
            <w:vAlign w:val="center"/>
          </w:tcPr>
          <w:p w14:paraId="6A8B43E0" w14:textId="77777777" w:rsidR="00E02F30" w:rsidRPr="00E02F30" w:rsidRDefault="00E02F30" w:rsidP="00E02F30">
            <w:pPr>
              <w:spacing w:after="0" w:line="240" w:lineRule="auto"/>
              <w:ind w:left="-642" w:firstLine="567"/>
              <w:jc w:val="center"/>
              <w:rPr>
                <w:rFonts w:eastAsia="Times New Roman" w:cs="Times New Roman"/>
                <w:sz w:val="20"/>
                <w:szCs w:val="20"/>
                <w:lang w:eastAsia="pl-PL"/>
              </w:rPr>
            </w:pPr>
            <w:r w:rsidRPr="00E02F30">
              <w:rPr>
                <w:rFonts w:eastAsia="Times New Roman" w:cs="Times New Roman"/>
                <w:sz w:val="20"/>
                <w:szCs w:val="20"/>
                <w:lang w:eastAsia="pl-PL"/>
              </w:rPr>
              <w:t>Lp.</w:t>
            </w:r>
          </w:p>
        </w:tc>
        <w:tc>
          <w:tcPr>
            <w:tcW w:w="1721" w:type="pct"/>
            <w:shd w:val="clear" w:color="auto" w:fill="auto"/>
            <w:vAlign w:val="center"/>
          </w:tcPr>
          <w:p w14:paraId="7BB7CE6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Emitor</w:t>
            </w:r>
          </w:p>
        </w:tc>
        <w:tc>
          <w:tcPr>
            <w:tcW w:w="1560" w:type="pct"/>
            <w:shd w:val="clear" w:color="auto" w:fill="auto"/>
            <w:vAlign w:val="center"/>
          </w:tcPr>
          <w:p w14:paraId="5577149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Substancja</w:t>
            </w:r>
          </w:p>
        </w:tc>
        <w:tc>
          <w:tcPr>
            <w:tcW w:w="1488" w:type="pct"/>
            <w:shd w:val="clear" w:color="auto" w:fill="auto"/>
            <w:vAlign w:val="center"/>
          </w:tcPr>
          <w:p w14:paraId="545D114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 xml:space="preserve">Częstotliwość </w:t>
            </w:r>
          </w:p>
          <w:p w14:paraId="116DEF99"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010F19D7" w14:textId="77777777" w:rsidTr="00A1631B">
        <w:trPr>
          <w:trHeight w:val="152"/>
        </w:trPr>
        <w:tc>
          <w:tcPr>
            <w:tcW w:w="231" w:type="pct"/>
            <w:vAlign w:val="center"/>
          </w:tcPr>
          <w:p w14:paraId="6DE60FDF"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1.</w:t>
            </w:r>
          </w:p>
        </w:tc>
        <w:tc>
          <w:tcPr>
            <w:tcW w:w="1721" w:type="pct"/>
            <w:vAlign w:val="center"/>
          </w:tcPr>
          <w:p w14:paraId="2DFBE02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E-1/Z</w:t>
            </w:r>
          </w:p>
        </w:tc>
        <w:tc>
          <w:tcPr>
            <w:tcW w:w="1560" w:type="pct"/>
          </w:tcPr>
          <w:p w14:paraId="32D3725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ogółem</w:t>
            </w:r>
          </w:p>
        </w:tc>
        <w:tc>
          <w:tcPr>
            <w:tcW w:w="1488" w:type="pct"/>
            <w:vAlign w:val="center"/>
          </w:tcPr>
          <w:p w14:paraId="74D7421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rok</w:t>
            </w:r>
          </w:p>
        </w:tc>
      </w:tr>
      <w:tr w:rsidR="00E02F30" w:rsidRPr="00E02F30" w14:paraId="7A441151" w14:textId="77777777" w:rsidTr="00A1631B">
        <w:trPr>
          <w:trHeight w:val="75"/>
        </w:trPr>
        <w:tc>
          <w:tcPr>
            <w:tcW w:w="231" w:type="pct"/>
            <w:vMerge w:val="restart"/>
            <w:vAlign w:val="center"/>
          </w:tcPr>
          <w:p w14:paraId="3B5F0A79"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2.</w:t>
            </w:r>
          </w:p>
        </w:tc>
        <w:tc>
          <w:tcPr>
            <w:tcW w:w="1721" w:type="pct"/>
            <w:vMerge w:val="restart"/>
            <w:vAlign w:val="center"/>
          </w:tcPr>
          <w:p w14:paraId="482194B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E-2/Z</w:t>
            </w:r>
          </w:p>
        </w:tc>
        <w:tc>
          <w:tcPr>
            <w:tcW w:w="1560" w:type="pct"/>
          </w:tcPr>
          <w:p w14:paraId="4B53A7E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(styren)</w:t>
            </w:r>
          </w:p>
        </w:tc>
        <w:tc>
          <w:tcPr>
            <w:tcW w:w="1488" w:type="pct"/>
            <w:vMerge w:val="restart"/>
            <w:vAlign w:val="center"/>
          </w:tcPr>
          <w:p w14:paraId="635CCD7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6 miesięcy</w:t>
            </w:r>
          </w:p>
        </w:tc>
      </w:tr>
      <w:tr w:rsidR="00E02F30" w:rsidRPr="00E02F30" w14:paraId="14012DA0" w14:textId="77777777" w:rsidTr="00A1631B">
        <w:trPr>
          <w:trHeight w:val="75"/>
        </w:trPr>
        <w:tc>
          <w:tcPr>
            <w:tcW w:w="231" w:type="pct"/>
            <w:vMerge/>
            <w:vAlign w:val="center"/>
          </w:tcPr>
          <w:p w14:paraId="2059599F"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1ECFF2B8"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2A9F3B0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toluen</w:t>
            </w:r>
          </w:p>
        </w:tc>
        <w:tc>
          <w:tcPr>
            <w:tcW w:w="1488" w:type="pct"/>
            <w:vMerge/>
            <w:vAlign w:val="center"/>
          </w:tcPr>
          <w:p w14:paraId="39A898F8"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31AA0A23" w14:textId="77777777" w:rsidTr="00A1631B">
        <w:trPr>
          <w:trHeight w:val="75"/>
        </w:trPr>
        <w:tc>
          <w:tcPr>
            <w:tcW w:w="231" w:type="pct"/>
            <w:vMerge/>
            <w:vAlign w:val="center"/>
          </w:tcPr>
          <w:p w14:paraId="0C400A33"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0FD40D6A"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5513488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1488" w:type="pct"/>
            <w:vMerge/>
            <w:vAlign w:val="center"/>
          </w:tcPr>
          <w:p w14:paraId="5FD2B657"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6CA154B0" w14:textId="77777777" w:rsidTr="00A1631B">
        <w:trPr>
          <w:trHeight w:val="143"/>
        </w:trPr>
        <w:tc>
          <w:tcPr>
            <w:tcW w:w="231" w:type="pct"/>
            <w:vMerge w:val="restart"/>
            <w:vAlign w:val="center"/>
          </w:tcPr>
          <w:p w14:paraId="6353B515"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3.</w:t>
            </w:r>
          </w:p>
        </w:tc>
        <w:tc>
          <w:tcPr>
            <w:tcW w:w="1721" w:type="pct"/>
            <w:vMerge w:val="restart"/>
            <w:vAlign w:val="center"/>
          </w:tcPr>
          <w:p w14:paraId="1D56D4B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E-3/Z</w:t>
            </w:r>
          </w:p>
        </w:tc>
        <w:tc>
          <w:tcPr>
            <w:tcW w:w="1560" w:type="pct"/>
          </w:tcPr>
          <w:p w14:paraId="272AAA5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(styren)</w:t>
            </w:r>
          </w:p>
        </w:tc>
        <w:tc>
          <w:tcPr>
            <w:tcW w:w="1488" w:type="pct"/>
            <w:vMerge w:val="restart"/>
            <w:vAlign w:val="center"/>
          </w:tcPr>
          <w:p w14:paraId="2AD5F19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6 miesięcy</w:t>
            </w:r>
          </w:p>
        </w:tc>
      </w:tr>
      <w:tr w:rsidR="00E02F30" w:rsidRPr="00E02F30" w14:paraId="3AFDBD96" w14:textId="77777777" w:rsidTr="00A1631B">
        <w:trPr>
          <w:trHeight w:val="187"/>
        </w:trPr>
        <w:tc>
          <w:tcPr>
            <w:tcW w:w="231" w:type="pct"/>
            <w:vMerge/>
            <w:vAlign w:val="center"/>
          </w:tcPr>
          <w:p w14:paraId="043ADE4D"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616ED4E9"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73EADD8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1488" w:type="pct"/>
            <w:vMerge/>
            <w:vAlign w:val="center"/>
          </w:tcPr>
          <w:p w14:paraId="1441CA62"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16ABF5E1" w14:textId="77777777" w:rsidTr="00A1631B">
        <w:trPr>
          <w:trHeight w:val="266"/>
        </w:trPr>
        <w:tc>
          <w:tcPr>
            <w:tcW w:w="231" w:type="pct"/>
            <w:vMerge w:val="restart"/>
            <w:vAlign w:val="center"/>
          </w:tcPr>
          <w:p w14:paraId="335EEEDF"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4.</w:t>
            </w:r>
          </w:p>
        </w:tc>
        <w:tc>
          <w:tcPr>
            <w:tcW w:w="1721" w:type="pct"/>
            <w:vMerge w:val="restart"/>
            <w:vAlign w:val="center"/>
          </w:tcPr>
          <w:p w14:paraId="5BFEB08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E-4/Z</w:t>
            </w:r>
          </w:p>
        </w:tc>
        <w:tc>
          <w:tcPr>
            <w:tcW w:w="1560" w:type="pct"/>
          </w:tcPr>
          <w:p w14:paraId="54C660B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(styren)</w:t>
            </w:r>
          </w:p>
        </w:tc>
        <w:tc>
          <w:tcPr>
            <w:tcW w:w="1488" w:type="pct"/>
            <w:vAlign w:val="center"/>
          </w:tcPr>
          <w:p w14:paraId="59791F20"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6 miesięcy</w:t>
            </w:r>
          </w:p>
        </w:tc>
      </w:tr>
      <w:tr w:rsidR="00E02F30" w:rsidRPr="00E02F30" w14:paraId="709F374B" w14:textId="77777777" w:rsidTr="00A1631B">
        <w:trPr>
          <w:trHeight w:val="270"/>
        </w:trPr>
        <w:tc>
          <w:tcPr>
            <w:tcW w:w="231" w:type="pct"/>
            <w:vMerge/>
            <w:vAlign w:val="center"/>
          </w:tcPr>
          <w:p w14:paraId="5E0477C0"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6C72F7BC"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1196D23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ogółem</w:t>
            </w:r>
          </w:p>
        </w:tc>
        <w:tc>
          <w:tcPr>
            <w:tcW w:w="1488" w:type="pct"/>
            <w:vAlign w:val="center"/>
          </w:tcPr>
          <w:p w14:paraId="620B8FF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rok</w:t>
            </w:r>
          </w:p>
        </w:tc>
      </w:tr>
      <w:tr w:rsidR="00E02F30" w:rsidRPr="00E02F30" w14:paraId="55BEE51A" w14:textId="77777777" w:rsidTr="00A1631B">
        <w:trPr>
          <w:trHeight w:val="268"/>
        </w:trPr>
        <w:tc>
          <w:tcPr>
            <w:tcW w:w="231" w:type="pct"/>
            <w:vMerge/>
            <w:vAlign w:val="center"/>
          </w:tcPr>
          <w:p w14:paraId="27193168"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0C8931AF"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0643C45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1488" w:type="pct"/>
            <w:vAlign w:val="center"/>
          </w:tcPr>
          <w:p w14:paraId="70CF24A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6 miesięcy</w:t>
            </w:r>
          </w:p>
        </w:tc>
      </w:tr>
      <w:tr w:rsidR="00E02F30" w:rsidRPr="00E02F30" w14:paraId="180DACAE" w14:textId="77777777" w:rsidTr="00A1631B">
        <w:trPr>
          <w:trHeight w:val="96"/>
        </w:trPr>
        <w:tc>
          <w:tcPr>
            <w:tcW w:w="231" w:type="pct"/>
            <w:vMerge w:val="restart"/>
            <w:vAlign w:val="center"/>
          </w:tcPr>
          <w:p w14:paraId="1767F1C9"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5.</w:t>
            </w:r>
          </w:p>
        </w:tc>
        <w:tc>
          <w:tcPr>
            <w:tcW w:w="1721" w:type="pct"/>
            <w:vMerge w:val="restart"/>
            <w:vAlign w:val="center"/>
          </w:tcPr>
          <w:p w14:paraId="09B36F9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E-5/Z</w:t>
            </w:r>
          </w:p>
        </w:tc>
        <w:tc>
          <w:tcPr>
            <w:tcW w:w="1560" w:type="pct"/>
          </w:tcPr>
          <w:p w14:paraId="43CD610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(styren)</w:t>
            </w:r>
          </w:p>
        </w:tc>
        <w:tc>
          <w:tcPr>
            <w:tcW w:w="1488" w:type="pct"/>
            <w:vAlign w:val="center"/>
          </w:tcPr>
          <w:p w14:paraId="390F391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6 miesięcy</w:t>
            </w:r>
          </w:p>
        </w:tc>
      </w:tr>
      <w:tr w:rsidR="00E02F30" w:rsidRPr="00E02F30" w14:paraId="6A98F9D4" w14:textId="77777777" w:rsidTr="00A1631B">
        <w:trPr>
          <w:trHeight w:val="93"/>
        </w:trPr>
        <w:tc>
          <w:tcPr>
            <w:tcW w:w="231" w:type="pct"/>
            <w:vMerge/>
            <w:vAlign w:val="center"/>
          </w:tcPr>
          <w:p w14:paraId="5FA63EB7"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07C0D278"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0B56ECD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ogółem</w:t>
            </w:r>
          </w:p>
        </w:tc>
        <w:tc>
          <w:tcPr>
            <w:tcW w:w="1488" w:type="pct"/>
            <w:vAlign w:val="center"/>
          </w:tcPr>
          <w:p w14:paraId="20C96E4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rok</w:t>
            </w:r>
          </w:p>
        </w:tc>
      </w:tr>
      <w:tr w:rsidR="00E02F30" w:rsidRPr="00E02F30" w14:paraId="3EF40F91" w14:textId="77777777" w:rsidTr="00A1631B">
        <w:trPr>
          <w:trHeight w:val="93"/>
        </w:trPr>
        <w:tc>
          <w:tcPr>
            <w:tcW w:w="231" w:type="pct"/>
            <w:vMerge/>
            <w:vAlign w:val="center"/>
          </w:tcPr>
          <w:p w14:paraId="09B517E8"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0362C340"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7EE928EA"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1488" w:type="pct"/>
            <w:vAlign w:val="center"/>
          </w:tcPr>
          <w:p w14:paraId="51D3A1D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6 miesięcy</w:t>
            </w:r>
          </w:p>
        </w:tc>
      </w:tr>
      <w:tr w:rsidR="00E02F30" w:rsidRPr="00E02F30" w14:paraId="1225B619" w14:textId="77777777" w:rsidTr="00A1631B">
        <w:trPr>
          <w:trHeight w:val="276"/>
        </w:trPr>
        <w:tc>
          <w:tcPr>
            <w:tcW w:w="231" w:type="pct"/>
            <w:vMerge w:val="restart"/>
            <w:vAlign w:val="center"/>
          </w:tcPr>
          <w:p w14:paraId="34060771"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6.</w:t>
            </w:r>
          </w:p>
        </w:tc>
        <w:tc>
          <w:tcPr>
            <w:tcW w:w="1721" w:type="pct"/>
            <w:vMerge w:val="restart"/>
            <w:vAlign w:val="center"/>
          </w:tcPr>
          <w:p w14:paraId="665844C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E-6/Z</w:t>
            </w:r>
          </w:p>
        </w:tc>
        <w:tc>
          <w:tcPr>
            <w:tcW w:w="1560" w:type="pct"/>
          </w:tcPr>
          <w:p w14:paraId="63527D9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amoniak</w:t>
            </w:r>
          </w:p>
        </w:tc>
        <w:tc>
          <w:tcPr>
            <w:tcW w:w="1488" w:type="pct"/>
            <w:vMerge w:val="restart"/>
            <w:vAlign w:val="center"/>
          </w:tcPr>
          <w:p w14:paraId="6EAA30F9"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6 miesięcy</w:t>
            </w:r>
          </w:p>
        </w:tc>
      </w:tr>
      <w:tr w:rsidR="00E02F30" w:rsidRPr="00E02F30" w14:paraId="6C984264" w14:textId="77777777" w:rsidTr="00A1631B">
        <w:trPr>
          <w:trHeight w:val="267"/>
        </w:trPr>
        <w:tc>
          <w:tcPr>
            <w:tcW w:w="231" w:type="pct"/>
            <w:vMerge/>
            <w:vAlign w:val="center"/>
          </w:tcPr>
          <w:p w14:paraId="4BC79773"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430A03B9"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vAlign w:val="center"/>
          </w:tcPr>
          <w:p w14:paraId="723DAE17"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(benzen)</w:t>
            </w:r>
          </w:p>
        </w:tc>
        <w:tc>
          <w:tcPr>
            <w:tcW w:w="1488" w:type="pct"/>
            <w:vMerge/>
            <w:vAlign w:val="center"/>
          </w:tcPr>
          <w:p w14:paraId="434C990C"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0E5FFA1C" w14:textId="77777777" w:rsidTr="00A1631B">
        <w:trPr>
          <w:trHeight w:val="284"/>
        </w:trPr>
        <w:tc>
          <w:tcPr>
            <w:tcW w:w="231" w:type="pct"/>
            <w:vMerge/>
            <w:vAlign w:val="center"/>
          </w:tcPr>
          <w:p w14:paraId="2837D8C9"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01846493"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4F130ECD"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(styren + toluen)</w:t>
            </w:r>
          </w:p>
        </w:tc>
        <w:tc>
          <w:tcPr>
            <w:tcW w:w="1488" w:type="pct"/>
            <w:vMerge/>
            <w:vAlign w:val="center"/>
          </w:tcPr>
          <w:p w14:paraId="292BBF8B"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2BA624B4" w14:textId="77777777" w:rsidTr="00A1631B">
        <w:trPr>
          <w:trHeight w:val="275"/>
        </w:trPr>
        <w:tc>
          <w:tcPr>
            <w:tcW w:w="231" w:type="pct"/>
            <w:vMerge/>
            <w:vAlign w:val="center"/>
          </w:tcPr>
          <w:p w14:paraId="130ACA02"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1FF46D4B"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7F11A36B"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toluen</w:t>
            </w:r>
          </w:p>
        </w:tc>
        <w:tc>
          <w:tcPr>
            <w:tcW w:w="1488" w:type="pct"/>
            <w:vMerge/>
            <w:vAlign w:val="center"/>
          </w:tcPr>
          <w:p w14:paraId="62B74385"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07C78431" w14:textId="77777777" w:rsidTr="00A1631B">
        <w:trPr>
          <w:trHeight w:val="131"/>
        </w:trPr>
        <w:tc>
          <w:tcPr>
            <w:tcW w:w="231" w:type="pct"/>
            <w:vMerge/>
            <w:vAlign w:val="center"/>
          </w:tcPr>
          <w:p w14:paraId="1FDAC9A3"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27762731"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7ACA466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1488" w:type="pct"/>
            <w:vMerge/>
            <w:vAlign w:val="center"/>
          </w:tcPr>
          <w:p w14:paraId="3CFB17A9"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2857079B" w14:textId="77777777" w:rsidTr="00A1631B">
        <w:trPr>
          <w:trHeight w:val="307"/>
        </w:trPr>
        <w:tc>
          <w:tcPr>
            <w:tcW w:w="231" w:type="pct"/>
            <w:vMerge w:val="restart"/>
            <w:vAlign w:val="center"/>
          </w:tcPr>
          <w:p w14:paraId="0C26FE75"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7.</w:t>
            </w:r>
          </w:p>
        </w:tc>
        <w:tc>
          <w:tcPr>
            <w:tcW w:w="1721" w:type="pct"/>
            <w:vMerge w:val="restart"/>
            <w:vAlign w:val="center"/>
          </w:tcPr>
          <w:p w14:paraId="4EFC79E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E-7/Z</w:t>
            </w:r>
          </w:p>
        </w:tc>
        <w:tc>
          <w:tcPr>
            <w:tcW w:w="1560" w:type="pct"/>
            <w:vAlign w:val="center"/>
          </w:tcPr>
          <w:p w14:paraId="46DCD9D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 styren + toluen)</w:t>
            </w:r>
          </w:p>
        </w:tc>
        <w:tc>
          <w:tcPr>
            <w:tcW w:w="1488" w:type="pct"/>
            <w:vMerge w:val="restart"/>
            <w:vAlign w:val="center"/>
          </w:tcPr>
          <w:p w14:paraId="219D3DC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6 miesięcy</w:t>
            </w:r>
          </w:p>
        </w:tc>
      </w:tr>
      <w:tr w:rsidR="00E02F30" w:rsidRPr="00E02F30" w14:paraId="769938FB" w14:textId="77777777" w:rsidTr="00A1631B">
        <w:trPr>
          <w:trHeight w:val="269"/>
        </w:trPr>
        <w:tc>
          <w:tcPr>
            <w:tcW w:w="231" w:type="pct"/>
            <w:vMerge/>
            <w:vAlign w:val="center"/>
          </w:tcPr>
          <w:p w14:paraId="2DCB8DC4"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750A647A"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2ABD9914"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toluen</w:t>
            </w:r>
          </w:p>
        </w:tc>
        <w:tc>
          <w:tcPr>
            <w:tcW w:w="1488" w:type="pct"/>
            <w:vMerge/>
            <w:vAlign w:val="center"/>
          </w:tcPr>
          <w:p w14:paraId="46A65860"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07A1C630" w14:textId="77777777" w:rsidTr="00A1631B">
        <w:trPr>
          <w:trHeight w:val="344"/>
        </w:trPr>
        <w:tc>
          <w:tcPr>
            <w:tcW w:w="231" w:type="pct"/>
            <w:vMerge/>
            <w:vAlign w:val="center"/>
          </w:tcPr>
          <w:p w14:paraId="6F2BFAC7"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05409F67"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1B2FF6A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1488" w:type="pct"/>
            <w:vMerge/>
            <w:vAlign w:val="center"/>
          </w:tcPr>
          <w:p w14:paraId="1A1736E6"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2A07030B" w14:textId="77777777" w:rsidTr="00A1631B">
        <w:trPr>
          <w:trHeight w:val="190"/>
        </w:trPr>
        <w:tc>
          <w:tcPr>
            <w:tcW w:w="231" w:type="pct"/>
            <w:vMerge w:val="restart"/>
            <w:vAlign w:val="center"/>
          </w:tcPr>
          <w:p w14:paraId="643CCE7E"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8.</w:t>
            </w:r>
          </w:p>
        </w:tc>
        <w:tc>
          <w:tcPr>
            <w:tcW w:w="1721" w:type="pct"/>
            <w:vMerge w:val="restart"/>
            <w:vAlign w:val="center"/>
          </w:tcPr>
          <w:p w14:paraId="0BCA9450"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E-8/Z</w:t>
            </w:r>
          </w:p>
        </w:tc>
        <w:tc>
          <w:tcPr>
            <w:tcW w:w="1560" w:type="pct"/>
          </w:tcPr>
          <w:p w14:paraId="75A8810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amoniak</w:t>
            </w:r>
          </w:p>
        </w:tc>
        <w:tc>
          <w:tcPr>
            <w:tcW w:w="1488" w:type="pct"/>
          </w:tcPr>
          <w:p w14:paraId="5C6BAE3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6 miesięcy</w:t>
            </w:r>
          </w:p>
        </w:tc>
      </w:tr>
      <w:tr w:rsidR="00E02F30" w:rsidRPr="00E02F30" w14:paraId="0588DB43" w14:textId="77777777" w:rsidTr="00A1631B">
        <w:trPr>
          <w:trHeight w:val="294"/>
        </w:trPr>
        <w:tc>
          <w:tcPr>
            <w:tcW w:w="231" w:type="pct"/>
            <w:vMerge/>
            <w:vAlign w:val="center"/>
          </w:tcPr>
          <w:p w14:paraId="6A0C8407"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7D31E1DF"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7DB32656"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pył ogółem</w:t>
            </w:r>
          </w:p>
        </w:tc>
        <w:tc>
          <w:tcPr>
            <w:tcW w:w="1488" w:type="pct"/>
          </w:tcPr>
          <w:p w14:paraId="5CD2BB09" w14:textId="77777777" w:rsidR="00E02F30" w:rsidRPr="00E02F30" w:rsidRDefault="00E02F30" w:rsidP="00E02F30">
            <w:pPr>
              <w:spacing w:after="0" w:line="240" w:lineRule="auto"/>
              <w:jc w:val="center"/>
              <w:rPr>
                <w:rFonts w:eastAsia="Times New Roman" w:cs="Arial"/>
                <w:sz w:val="20"/>
                <w:szCs w:val="20"/>
                <w:lang w:eastAsia="pl-PL"/>
              </w:rPr>
            </w:pPr>
          </w:p>
          <w:p w14:paraId="1B5E239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rok</w:t>
            </w:r>
          </w:p>
        </w:tc>
      </w:tr>
      <w:tr w:rsidR="00E02F30" w:rsidRPr="00E02F30" w14:paraId="79E62011" w14:textId="77777777" w:rsidTr="00A1631B">
        <w:trPr>
          <w:trHeight w:val="77"/>
        </w:trPr>
        <w:tc>
          <w:tcPr>
            <w:tcW w:w="231" w:type="pct"/>
            <w:vMerge/>
            <w:vAlign w:val="center"/>
          </w:tcPr>
          <w:p w14:paraId="6E5046AB"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18B40A34"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4DF83EF0"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1488" w:type="pct"/>
          </w:tcPr>
          <w:p w14:paraId="4793530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6 miesięcy</w:t>
            </w:r>
          </w:p>
        </w:tc>
      </w:tr>
      <w:tr w:rsidR="00E02F30" w:rsidRPr="00E02F30" w14:paraId="4922AD0E" w14:textId="77777777" w:rsidTr="00A1631B">
        <w:trPr>
          <w:trHeight w:val="205"/>
        </w:trPr>
        <w:tc>
          <w:tcPr>
            <w:tcW w:w="231" w:type="pct"/>
            <w:vMerge w:val="restart"/>
            <w:vAlign w:val="center"/>
          </w:tcPr>
          <w:p w14:paraId="0C69202B" w14:textId="77777777" w:rsidR="00E02F30" w:rsidRPr="00E02F30" w:rsidRDefault="00E02F30" w:rsidP="00E02F30">
            <w:pPr>
              <w:spacing w:after="0" w:line="240" w:lineRule="auto"/>
              <w:jc w:val="center"/>
              <w:rPr>
                <w:rFonts w:eastAsia="Times New Roman" w:cs="Times New Roman"/>
                <w:szCs w:val="24"/>
                <w:lang w:eastAsia="pl-PL"/>
              </w:rPr>
            </w:pPr>
            <w:r w:rsidRPr="00E02F30">
              <w:rPr>
                <w:rFonts w:eastAsia="Times New Roman" w:cs="Times New Roman"/>
                <w:szCs w:val="24"/>
                <w:lang w:eastAsia="pl-PL"/>
              </w:rPr>
              <w:t>9.</w:t>
            </w:r>
          </w:p>
        </w:tc>
        <w:tc>
          <w:tcPr>
            <w:tcW w:w="1721" w:type="pct"/>
            <w:vMerge w:val="restart"/>
            <w:vAlign w:val="center"/>
          </w:tcPr>
          <w:p w14:paraId="3803CBFE"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E-9/Z</w:t>
            </w:r>
          </w:p>
        </w:tc>
        <w:tc>
          <w:tcPr>
            <w:tcW w:w="1560" w:type="pct"/>
          </w:tcPr>
          <w:p w14:paraId="04B595DC"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LZO(benzen)</w:t>
            </w:r>
          </w:p>
        </w:tc>
        <w:tc>
          <w:tcPr>
            <w:tcW w:w="1488" w:type="pct"/>
            <w:vMerge w:val="restart"/>
          </w:tcPr>
          <w:p w14:paraId="4542D072" w14:textId="77777777" w:rsidR="00E02F30" w:rsidRPr="00E02F30" w:rsidRDefault="00E02F30" w:rsidP="00E02F30">
            <w:pPr>
              <w:spacing w:after="0" w:line="240" w:lineRule="auto"/>
              <w:jc w:val="center"/>
              <w:rPr>
                <w:rFonts w:eastAsia="Times New Roman" w:cs="Arial"/>
                <w:sz w:val="20"/>
                <w:szCs w:val="20"/>
                <w:lang w:eastAsia="pl-PL"/>
              </w:rPr>
            </w:pPr>
          </w:p>
          <w:p w14:paraId="2F436FB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Raz na 6 miesięcy</w:t>
            </w:r>
          </w:p>
        </w:tc>
      </w:tr>
      <w:tr w:rsidR="00E02F30" w:rsidRPr="00E02F30" w14:paraId="03CCE5A0" w14:textId="77777777" w:rsidTr="00A1631B">
        <w:trPr>
          <w:trHeight w:val="203"/>
        </w:trPr>
        <w:tc>
          <w:tcPr>
            <w:tcW w:w="231" w:type="pct"/>
            <w:vMerge/>
            <w:vAlign w:val="center"/>
          </w:tcPr>
          <w:p w14:paraId="5255D48A"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41C7A5E6"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23343462"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LZO (styren)</w:t>
            </w:r>
          </w:p>
        </w:tc>
        <w:tc>
          <w:tcPr>
            <w:tcW w:w="1488" w:type="pct"/>
            <w:vMerge/>
          </w:tcPr>
          <w:p w14:paraId="24CA668D"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68C37A12" w14:textId="77777777" w:rsidTr="00A1631B">
        <w:trPr>
          <w:trHeight w:val="203"/>
        </w:trPr>
        <w:tc>
          <w:tcPr>
            <w:tcW w:w="231" w:type="pct"/>
            <w:vMerge/>
            <w:vAlign w:val="center"/>
          </w:tcPr>
          <w:p w14:paraId="6691D9A7" w14:textId="77777777" w:rsidR="00E02F30" w:rsidRPr="00E02F30" w:rsidRDefault="00E02F30" w:rsidP="00E02F30">
            <w:pPr>
              <w:spacing w:after="0" w:line="240" w:lineRule="auto"/>
              <w:jc w:val="center"/>
              <w:rPr>
                <w:rFonts w:eastAsia="Times New Roman" w:cs="Times New Roman"/>
                <w:szCs w:val="24"/>
                <w:lang w:eastAsia="pl-PL"/>
              </w:rPr>
            </w:pPr>
          </w:p>
        </w:tc>
        <w:tc>
          <w:tcPr>
            <w:tcW w:w="1721" w:type="pct"/>
            <w:vMerge/>
            <w:vAlign w:val="center"/>
          </w:tcPr>
          <w:p w14:paraId="0457D428" w14:textId="77777777" w:rsidR="00E02F30" w:rsidRPr="00E02F30" w:rsidRDefault="00E02F30" w:rsidP="00E02F30">
            <w:pPr>
              <w:spacing w:after="0" w:line="240" w:lineRule="auto"/>
              <w:jc w:val="center"/>
              <w:rPr>
                <w:rFonts w:eastAsia="Times New Roman" w:cs="Arial"/>
                <w:sz w:val="20"/>
                <w:szCs w:val="20"/>
                <w:lang w:eastAsia="pl-PL"/>
              </w:rPr>
            </w:pPr>
          </w:p>
        </w:tc>
        <w:tc>
          <w:tcPr>
            <w:tcW w:w="1560" w:type="pct"/>
          </w:tcPr>
          <w:p w14:paraId="3872B901"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TVOC</w:t>
            </w:r>
          </w:p>
        </w:tc>
        <w:tc>
          <w:tcPr>
            <w:tcW w:w="1488" w:type="pct"/>
            <w:vMerge/>
          </w:tcPr>
          <w:p w14:paraId="2430373A" w14:textId="77777777" w:rsidR="00E02F30" w:rsidRPr="00E02F30" w:rsidRDefault="00E02F30" w:rsidP="00E02F30">
            <w:pPr>
              <w:spacing w:after="0" w:line="240" w:lineRule="auto"/>
              <w:jc w:val="center"/>
              <w:rPr>
                <w:rFonts w:eastAsia="Times New Roman" w:cs="Arial"/>
                <w:sz w:val="20"/>
                <w:szCs w:val="20"/>
                <w:lang w:eastAsia="pl-PL"/>
              </w:rPr>
            </w:pPr>
          </w:p>
        </w:tc>
      </w:tr>
    </w:tbl>
    <w:p w14:paraId="2E2EE1C0" w14:textId="77777777" w:rsidR="00E02F30" w:rsidRPr="00E02F30" w:rsidRDefault="00E02F30" w:rsidP="00E02F30">
      <w:pPr>
        <w:autoSpaceDE w:val="0"/>
        <w:autoSpaceDN w:val="0"/>
        <w:adjustRightInd w:val="0"/>
        <w:spacing w:after="0" w:line="276" w:lineRule="auto"/>
        <w:jc w:val="both"/>
        <w:rPr>
          <w:rFonts w:eastAsia="Calibri" w:cs="Arial"/>
          <w:b/>
          <w:szCs w:val="24"/>
        </w:rPr>
      </w:pPr>
    </w:p>
    <w:p w14:paraId="57975B17" w14:textId="77777777" w:rsidR="00E02F30" w:rsidRPr="00E02F30" w:rsidRDefault="00E02F30" w:rsidP="00E02F30">
      <w:pPr>
        <w:autoSpaceDE w:val="0"/>
        <w:autoSpaceDN w:val="0"/>
        <w:adjustRightInd w:val="0"/>
        <w:spacing w:after="0" w:line="276" w:lineRule="auto"/>
        <w:jc w:val="both"/>
        <w:rPr>
          <w:rFonts w:eastAsia="Calibri" w:cs="Arial"/>
          <w:szCs w:val="24"/>
        </w:rPr>
      </w:pPr>
      <w:r w:rsidRPr="00E02F30">
        <w:rPr>
          <w:rFonts w:eastAsia="Calibri" w:cs="Arial"/>
          <w:b/>
          <w:szCs w:val="24"/>
        </w:rPr>
        <w:t>VI.2.4.</w:t>
      </w:r>
      <w:r w:rsidRPr="00E02F30">
        <w:rPr>
          <w:rFonts w:eastAsia="Calibri" w:cs="Arial"/>
          <w:szCs w:val="24"/>
        </w:rPr>
        <w:t xml:space="preserve">Pomiary emisji zanieczyszczeń do środowiska należy wykonywać dostępnymi metodykami, umożliwiającymi wykonanie oznaczenia powyżej granicy oznaczalności metody. </w:t>
      </w:r>
    </w:p>
    <w:p w14:paraId="648E611D" w14:textId="77777777" w:rsidR="00E02F30" w:rsidRPr="00E02F30" w:rsidRDefault="00E02F30" w:rsidP="00E02F30">
      <w:pPr>
        <w:spacing w:after="0" w:line="276" w:lineRule="auto"/>
        <w:contextualSpacing/>
        <w:jc w:val="both"/>
        <w:rPr>
          <w:rFonts w:eastAsia="Times New Roman" w:cs="Arial"/>
          <w:szCs w:val="24"/>
          <w:lang w:eastAsia="pl-PL"/>
        </w:rPr>
      </w:pPr>
      <w:r w:rsidRPr="00E02F30">
        <w:rPr>
          <w:rFonts w:eastAsia="Times New Roman" w:cs="Arial"/>
          <w:b/>
          <w:szCs w:val="24"/>
          <w:lang w:eastAsia="pl-PL"/>
        </w:rPr>
        <w:t xml:space="preserve">VI.2.5. </w:t>
      </w:r>
      <w:r w:rsidRPr="00E02F30">
        <w:rPr>
          <w:rFonts w:eastAsia="Times New Roman" w:cs="Arial"/>
          <w:szCs w:val="24"/>
          <w:lang w:eastAsia="pl-PL"/>
        </w:rPr>
        <w:t>W przypadku awarii należy postępować zgodnie z zatwierdzonymi instrukcjami stanowiskowymi bhp i obsługi poszczególnych urządzeń, z uwzględnieniem warunków niniejszej decyzji.</w:t>
      </w:r>
    </w:p>
    <w:p w14:paraId="4530749F" w14:textId="77777777" w:rsidR="00E02F30" w:rsidRPr="00E02F30" w:rsidRDefault="00E02F30" w:rsidP="00E02F30">
      <w:pPr>
        <w:spacing w:after="0" w:line="276" w:lineRule="auto"/>
        <w:contextualSpacing/>
        <w:jc w:val="both"/>
        <w:rPr>
          <w:rFonts w:eastAsia="Times New Roman" w:cs="Arial"/>
          <w:szCs w:val="24"/>
          <w:lang w:eastAsia="pl-PL"/>
        </w:rPr>
      </w:pPr>
      <w:r w:rsidRPr="00E02F30">
        <w:rPr>
          <w:rFonts w:eastAsia="Times New Roman" w:cs="Arial"/>
          <w:b/>
          <w:szCs w:val="24"/>
          <w:lang w:eastAsia="pl-PL"/>
        </w:rPr>
        <w:t xml:space="preserve">VI.2.6. </w:t>
      </w:r>
      <w:r w:rsidRPr="00E02F30">
        <w:rPr>
          <w:rFonts w:eastAsia="Times New Roman" w:cs="Arial"/>
          <w:szCs w:val="24"/>
          <w:lang w:eastAsia="pl-PL"/>
        </w:rPr>
        <w:t>Stanowiska do monitorowania wielkości emisji do powietrza będą w pełni sprawne, umożliwiające prawidłowe wykonywanie pomiarów, zapewniające zachowanie wymogów BHP.</w:t>
      </w:r>
    </w:p>
    <w:p w14:paraId="6EF6BE7E"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 xml:space="preserve">VI.2.7. </w:t>
      </w:r>
      <w:r w:rsidRPr="00E02F30">
        <w:rPr>
          <w:rFonts w:eastAsia="Times New Roman" w:cs="Arial"/>
          <w:szCs w:val="24"/>
          <w:lang w:eastAsia="pl-PL"/>
        </w:rPr>
        <w:t>Prowadzona będzie analiza danych uzyskiwanych z monitoringu oraz podejmowane będą stosowne działania z niej wynikające, a wyniki analiz będą rejestrowane.</w:t>
      </w:r>
    </w:p>
    <w:bookmarkEnd w:id="10"/>
    <w:p w14:paraId="0AF6D399" w14:textId="77777777" w:rsidR="00E02F30" w:rsidRPr="00E02F30" w:rsidRDefault="00E02F30" w:rsidP="00E02F30">
      <w:pPr>
        <w:spacing w:after="0" w:line="276" w:lineRule="auto"/>
        <w:contextualSpacing/>
        <w:jc w:val="both"/>
        <w:rPr>
          <w:rFonts w:eastAsia="Times New Roman" w:cs="Arial"/>
          <w:szCs w:val="24"/>
          <w:lang w:eastAsia="pl-PL"/>
        </w:rPr>
      </w:pPr>
      <w:r w:rsidRPr="00E02F30">
        <w:rPr>
          <w:rFonts w:eastAsia="Times New Roman" w:cs="Arial"/>
          <w:b/>
          <w:szCs w:val="24"/>
          <w:lang w:eastAsia="pl-PL"/>
        </w:rPr>
        <w:t xml:space="preserve">VI.2.8. </w:t>
      </w:r>
      <w:r w:rsidRPr="00E02F30">
        <w:rPr>
          <w:rFonts w:eastAsia="Times New Roman" w:cs="Arial"/>
          <w:szCs w:val="24"/>
          <w:lang w:eastAsia="pl-PL"/>
        </w:rPr>
        <w:t xml:space="preserve">Wyniki pomiarów emisji pyłów i gazów do powietrza prowadzący instalację będzie przedkładał Marszałkowi Województwa Podkarpackiego oraz Podkarpackiemu Wojewódzkiemu Inspektorowi Ochrony Środowiska w Rzeszowie w terminach określonych w przepisach szczegółowych. Dodatkowo wyniki pomiarów  powinny zawierać dane dotyczące warunków prowadzenia pomiarów, w tym: obciążenie źródła emisji w czasie pobierania próbek, opis zmienności procesu. </w:t>
      </w:r>
    </w:p>
    <w:p w14:paraId="3A2056BF" w14:textId="77777777" w:rsidR="00E02F30" w:rsidRPr="00E02F30" w:rsidRDefault="00E02F30" w:rsidP="00E02F30">
      <w:pPr>
        <w:keepNext/>
        <w:widowControl w:val="0"/>
        <w:adjustRightInd w:val="0"/>
        <w:spacing w:after="0" w:line="360" w:lineRule="auto"/>
        <w:textAlignment w:val="baseline"/>
        <w:outlineLvl w:val="2"/>
        <w:rPr>
          <w:rFonts w:eastAsia="Calibri" w:cs="Times New Roman"/>
          <w:b/>
          <w:szCs w:val="20"/>
        </w:rPr>
      </w:pPr>
      <w:r w:rsidRPr="00E02F30">
        <w:rPr>
          <w:rFonts w:eastAsia="Calibri" w:cs="Times New Roman"/>
          <w:b/>
          <w:szCs w:val="20"/>
        </w:rPr>
        <w:t>VI.3. Monitoring emisji hałasu do środowiska</w:t>
      </w:r>
    </w:p>
    <w:p w14:paraId="05AC9FC7" w14:textId="77777777" w:rsidR="00E02F30" w:rsidRPr="00E02F30" w:rsidRDefault="00E02F30" w:rsidP="00E02F30">
      <w:pPr>
        <w:autoSpaceDE w:val="0"/>
        <w:autoSpaceDN w:val="0"/>
        <w:adjustRightInd w:val="0"/>
        <w:spacing w:after="0" w:line="276" w:lineRule="auto"/>
        <w:contextualSpacing/>
        <w:jc w:val="both"/>
        <w:rPr>
          <w:rFonts w:eastAsia="Times New Roman" w:cs="Arial"/>
          <w:szCs w:val="24"/>
          <w:lang w:eastAsia="pl-PL"/>
        </w:rPr>
      </w:pPr>
      <w:r w:rsidRPr="00E02F30">
        <w:rPr>
          <w:rFonts w:eastAsia="Times New Roman" w:cs="Arial"/>
          <w:b/>
          <w:szCs w:val="24"/>
          <w:lang w:eastAsia="pl-PL"/>
        </w:rPr>
        <w:t>VI.3.1</w:t>
      </w:r>
      <w:r w:rsidRPr="00E02F30">
        <w:rPr>
          <w:rFonts w:eastAsia="Times New Roman" w:cs="Arial"/>
          <w:szCs w:val="24"/>
          <w:lang w:eastAsia="pl-PL"/>
        </w:rPr>
        <w:t>. Pomiary emisji hałasu, określające oddziaływanie instalacji objętej niniejszym pozwoleniem zintegrowanym na tereny chronione akustycznie będą prowadzone metodą obliczeniową w oparciu o dane dotyczące wszystkich źródeł hałasu określonych w Tabeli nr 8.</w:t>
      </w:r>
    </w:p>
    <w:p w14:paraId="4A7A4639" w14:textId="77777777" w:rsidR="00E02F30" w:rsidRPr="00E02F30" w:rsidRDefault="00E02F30" w:rsidP="00E02F30">
      <w:pPr>
        <w:autoSpaceDE w:val="0"/>
        <w:autoSpaceDN w:val="0"/>
        <w:adjustRightInd w:val="0"/>
        <w:spacing w:after="0" w:line="276" w:lineRule="auto"/>
        <w:contextualSpacing/>
        <w:jc w:val="both"/>
        <w:rPr>
          <w:rFonts w:eastAsia="Times New Roman" w:cs="Arial"/>
          <w:szCs w:val="24"/>
          <w:lang w:eastAsia="pl-PL"/>
        </w:rPr>
      </w:pPr>
      <w:r w:rsidRPr="00E02F30">
        <w:rPr>
          <w:rFonts w:eastAsia="Times New Roman" w:cs="Arial"/>
          <w:b/>
          <w:bCs/>
          <w:szCs w:val="24"/>
          <w:lang w:eastAsia="pl-PL"/>
        </w:rPr>
        <w:t>VI.3.2.</w:t>
      </w:r>
      <w:r w:rsidRPr="00E02F30">
        <w:rPr>
          <w:rFonts w:eastAsia="Times New Roman" w:cs="Arial"/>
          <w:szCs w:val="24"/>
          <w:lang w:eastAsia="pl-PL"/>
        </w:rPr>
        <w:t xml:space="preserve"> </w:t>
      </w:r>
      <w:r w:rsidRPr="00E02F30">
        <w:rPr>
          <w:rFonts w:eastAsia="Calibri" w:cs="Arial"/>
          <w:color w:val="000000"/>
        </w:rPr>
        <w:t xml:space="preserve">Na podstawie otrzymanych wyników z przeprowadzonych pomiarów zgodnie z punktem VI.3.1. niniejszej decyzji </w:t>
      </w:r>
      <w:r w:rsidRPr="00E02F30">
        <w:rPr>
          <w:rFonts w:eastAsia="Times New Roman" w:cs="Arial"/>
          <w:szCs w:val="24"/>
          <w:lang w:eastAsia="pl-PL"/>
        </w:rPr>
        <w:t>należy określić oddziaływanie akustyczne instalacji w następujących punktach kontrolnych o współrzędnych geograficznych:</w:t>
      </w:r>
    </w:p>
    <w:p w14:paraId="4FE4C3A2" w14:textId="77777777" w:rsidR="00E02F30" w:rsidRPr="00E02F30" w:rsidRDefault="00E02F30" w:rsidP="00E02F30">
      <w:pPr>
        <w:keepNext/>
        <w:widowControl w:val="0"/>
        <w:adjustRightInd w:val="0"/>
        <w:spacing w:after="0" w:line="360" w:lineRule="auto"/>
        <w:textAlignment w:val="baseline"/>
        <w:outlineLvl w:val="4"/>
        <w:rPr>
          <w:rFonts w:eastAsia="Times New Roman" w:cs="Times New Roman"/>
          <w:szCs w:val="20"/>
          <w:lang w:eastAsia="pl-PL"/>
        </w:rPr>
      </w:pPr>
      <w:r w:rsidRPr="00E02F30">
        <w:rPr>
          <w:rFonts w:eastAsia="Times New Roman" w:cs="Times New Roman"/>
          <w:szCs w:val="20"/>
          <w:lang w:eastAsia="pl-PL"/>
        </w:rPr>
        <w:t>Tabela nr 12</w:t>
      </w:r>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Description w:val="Przedstawia 6 punktów kontrolnych, ich adres oraz współrzędne geograficzne."/>
      </w:tblPr>
      <w:tblGrid>
        <w:gridCol w:w="1418"/>
        <w:gridCol w:w="3544"/>
        <w:gridCol w:w="4110"/>
      </w:tblGrid>
      <w:tr w:rsidR="00E02F30" w:rsidRPr="00E02F30" w14:paraId="33345FFC" w14:textId="77777777" w:rsidTr="00A1631B">
        <w:trPr>
          <w:trHeight w:val="422"/>
        </w:trPr>
        <w:tc>
          <w:tcPr>
            <w:tcW w:w="1418" w:type="dxa"/>
            <w:vMerge w:val="restart"/>
            <w:shd w:val="clear" w:color="auto" w:fill="FFFFFF"/>
            <w:vAlign w:val="center"/>
          </w:tcPr>
          <w:p w14:paraId="16321045"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Oznaczenie punktu</w:t>
            </w:r>
          </w:p>
        </w:tc>
        <w:tc>
          <w:tcPr>
            <w:tcW w:w="7654" w:type="dxa"/>
            <w:gridSpan w:val="2"/>
            <w:shd w:val="clear" w:color="auto" w:fill="FFFFFF"/>
            <w:vAlign w:val="center"/>
          </w:tcPr>
          <w:p w14:paraId="19A6E88E"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z w:val="20"/>
                <w:szCs w:val="20"/>
                <w:lang w:eastAsia="pl-PL"/>
              </w:rPr>
              <w:t xml:space="preserve">Współrzędne geograficzne </w:t>
            </w:r>
          </w:p>
        </w:tc>
      </w:tr>
      <w:tr w:rsidR="00E02F30" w:rsidRPr="00E02F30" w14:paraId="5250A0A1" w14:textId="77777777" w:rsidTr="00A1631B">
        <w:trPr>
          <w:trHeight w:val="422"/>
        </w:trPr>
        <w:tc>
          <w:tcPr>
            <w:tcW w:w="1418" w:type="dxa"/>
            <w:vMerge/>
            <w:shd w:val="clear" w:color="auto" w:fill="FFFFFF"/>
            <w:vAlign w:val="center"/>
            <w:hideMark/>
          </w:tcPr>
          <w:p w14:paraId="7B531C90" w14:textId="77777777" w:rsidR="00E02F30" w:rsidRPr="00E02F30" w:rsidRDefault="00E02F30" w:rsidP="00E02F30">
            <w:pPr>
              <w:spacing w:after="0" w:line="276" w:lineRule="auto"/>
              <w:jc w:val="center"/>
              <w:rPr>
                <w:rFonts w:eastAsia="Times New Roman" w:cs="Arial"/>
                <w:b/>
                <w:sz w:val="20"/>
                <w:szCs w:val="20"/>
                <w:lang w:eastAsia="pl-PL"/>
              </w:rPr>
            </w:pPr>
          </w:p>
        </w:tc>
        <w:tc>
          <w:tcPr>
            <w:tcW w:w="3544" w:type="dxa"/>
            <w:shd w:val="clear" w:color="auto" w:fill="FFFFFF"/>
            <w:vAlign w:val="center"/>
            <w:hideMark/>
          </w:tcPr>
          <w:p w14:paraId="3E7BAE3C"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napToGrid w:val="0"/>
                <w:sz w:val="20"/>
                <w:szCs w:val="20"/>
                <w:lang w:eastAsia="pl-PL"/>
              </w:rPr>
              <w:t>szerokość</w:t>
            </w:r>
          </w:p>
          <w:p w14:paraId="29D7F942"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napToGrid w:val="0"/>
                <w:sz w:val="20"/>
                <w:szCs w:val="20"/>
                <w:lang w:eastAsia="pl-PL"/>
              </w:rPr>
              <w:t>(hdd</w:t>
            </w:r>
            <w:r w:rsidRPr="00E02F30">
              <w:rPr>
                <w:rFonts w:eastAsia="Times New Roman" w:cs="Arial"/>
                <w:b/>
                <w:snapToGrid w:val="0"/>
                <w:sz w:val="20"/>
                <w:szCs w:val="20"/>
                <w:vertAlign w:val="superscript"/>
                <w:lang w:eastAsia="pl-PL"/>
              </w:rPr>
              <w:t>0</w:t>
            </w:r>
            <w:r w:rsidRPr="00E02F30">
              <w:rPr>
                <w:rFonts w:eastAsia="Times New Roman" w:cs="Arial"/>
                <w:b/>
                <w:snapToGrid w:val="0"/>
                <w:sz w:val="20"/>
                <w:szCs w:val="20"/>
                <w:lang w:eastAsia="pl-PL"/>
              </w:rPr>
              <w:t>mm</w:t>
            </w:r>
            <w:r w:rsidRPr="00E02F30">
              <w:rPr>
                <w:rFonts w:eastAsia="Times New Roman" w:cs="Arial"/>
                <w:b/>
                <w:snapToGrid w:val="0"/>
                <w:sz w:val="20"/>
                <w:szCs w:val="20"/>
                <w:vertAlign w:val="superscript"/>
                <w:lang w:eastAsia="pl-PL"/>
              </w:rPr>
              <w:t>’</w:t>
            </w:r>
            <w:r w:rsidRPr="00E02F30">
              <w:rPr>
                <w:rFonts w:eastAsia="Times New Roman" w:cs="Arial"/>
                <w:b/>
                <w:snapToGrid w:val="0"/>
                <w:sz w:val="20"/>
                <w:szCs w:val="20"/>
                <w:lang w:eastAsia="pl-PL"/>
              </w:rPr>
              <w:t>ss.s”)</w:t>
            </w:r>
          </w:p>
        </w:tc>
        <w:tc>
          <w:tcPr>
            <w:tcW w:w="4110" w:type="dxa"/>
            <w:shd w:val="clear" w:color="auto" w:fill="FFFFFF"/>
            <w:vAlign w:val="center"/>
            <w:hideMark/>
          </w:tcPr>
          <w:p w14:paraId="5D821B10"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napToGrid w:val="0"/>
                <w:sz w:val="20"/>
                <w:szCs w:val="20"/>
                <w:lang w:eastAsia="pl-PL"/>
              </w:rPr>
              <w:t>długość</w:t>
            </w:r>
          </w:p>
          <w:p w14:paraId="63551698" w14:textId="77777777" w:rsidR="00E02F30" w:rsidRPr="00E02F30" w:rsidRDefault="00E02F30" w:rsidP="00E02F30">
            <w:pPr>
              <w:spacing w:after="0" w:line="276" w:lineRule="auto"/>
              <w:jc w:val="center"/>
              <w:rPr>
                <w:rFonts w:eastAsia="Times New Roman" w:cs="Arial"/>
                <w:b/>
                <w:sz w:val="20"/>
                <w:szCs w:val="20"/>
                <w:lang w:eastAsia="pl-PL"/>
              </w:rPr>
            </w:pPr>
            <w:r w:rsidRPr="00E02F30">
              <w:rPr>
                <w:rFonts w:eastAsia="Times New Roman" w:cs="Arial"/>
                <w:b/>
                <w:snapToGrid w:val="0"/>
                <w:sz w:val="20"/>
                <w:szCs w:val="20"/>
                <w:lang w:eastAsia="pl-PL"/>
              </w:rPr>
              <w:t>(hdd</w:t>
            </w:r>
            <w:r w:rsidRPr="00E02F30">
              <w:rPr>
                <w:rFonts w:eastAsia="Times New Roman" w:cs="Arial"/>
                <w:b/>
                <w:snapToGrid w:val="0"/>
                <w:sz w:val="20"/>
                <w:szCs w:val="20"/>
                <w:vertAlign w:val="superscript"/>
                <w:lang w:eastAsia="pl-PL"/>
              </w:rPr>
              <w:t>0</w:t>
            </w:r>
            <w:r w:rsidRPr="00E02F30">
              <w:rPr>
                <w:rFonts w:eastAsia="Times New Roman" w:cs="Arial"/>
                <w:b/>
                <w:snapToGrid w:val="0"/>
                <w:sz w:val="20"/>
                <w:szCs w:val="20"/>
                <w:lang w:eastAsia="pl-PL"/>
              </w:rPr>
              <w:t>mm</w:t>
            </w:r>
            <w:r w:rsidRPr="00E02F30">
              <w:rPr>
                <w:rFonts w:eastAsia="Times New Roman" w:cs="Arial"/>
                <w:b/>
                <w:snapToGrid w:val="0"/>
                <w:sz w:val="20"/>
                <w:szCs w:val="20"/>
                <w:vertAlign w:val="superscript"/>
                <w:lang w:eastAsia="pl-PL"/>
              </w:rPr>
              <w:t>’</w:t>
            </w:r>
            <w:r w:rsidRPr="00E02F30">
              <w:rPr>
                <w:rFonts w:eastAsia="Times New Roman" w:cs="Arial"/>
                <w:b/>
                <w:snapToGrid w:val="0"/>
                <w:sz w:val="20"/>
                <w:szCs w:val="20"/>
                <w:lang w:eastAsia="pl-PL"/>
              </w:rPr>
              <w:t>ss.s”)</w:t>
            </w:r>
          </w:p>
        </w:tc>
      </w:tr>
      <w:tr w:rsidR="00E02F30" w:rsidRPr="00E02F30" w14:paraId="20BC9D83" w14:textId="77777777" w:rsidTr="00A1631B">
        <w:trPr>
          <w:cantSplit/>
          <w:trHeight w:val="2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7A2F3167"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PP1</w:t>
            </w:r>
          </w:p>
        </w:tc>
        <w:tc>
          <w:tcPr>
            <w:tcW w:w="3544" w:type="dxa"/>
            <w:tcBorders>
              <w:top w:val="nil"/>
              <w:left w:val="single" w:sz="4" w:space="0" w:color="000000"/>
              <w:bottom w:val="single" w:sz="4" w:space="0" w:color="000000"/>
              <w:right w:val="single" w:sz="4" w:space="0" w:color="000000"/>
            </w:tcBorders>
            <w:shd w:val="clear" w:color="auto" w:fill="auto"/>
            <w:vAlign w:val="center"/>
            <w:hideMark/>
          </w:tcPr>
          <w:p w14:paraId="7F87325A"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50°19′31.988″</w:t>
            </w:r>
          </w:p>
        </w:tc>
        <w:tc>
          <w:tcPr>
            <w:tcW w:w="4110" w:type="dxa"/>
            <w:tcBorders>
              <w:top w:val="nil"/>
              <w:left w:val="nil"/>
              <w:bottom w:val="single" w:sz="4" w:space="0" w:color="000000"/>
              <w:right w:val="single" w:sz="4" w:space="0" w:color="000000"/>
            </w:tcBorders>
            <w:shd w:val="clear" w:color="auto" w:fill="auto"/>
            <w:vAlign w:val="center"/>
            <w:hideMark/>
          </w:tcPr>
          <w:p w14:paraId="00A3A34E"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22°20′6.463″</w:t>
            </w:r>
          </w:p>
        </w:tc>
      </w:tr>
      <w:tr w:rsidR="00E02F30" w:rsidRPr="00E02F30" w14:paraId="0C7379D2" w14:textId="77777777" w:rsidTr="00A1631B">
        <w:trPr>
          <w:cantSplit/>
          <w:trHeight w:val="2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7EF36A94"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PP2</w:t>
            </w:r>
          </w:p>
        </w:tc>
        <w:tc>
          <w:tcPr>
            <w:tcW w:w="3544" w:type="dxa"/>
            <w:tcBorders>
              <w:top w:val="nil"/>
              <w:left w:val="single" w:sz="4" w:space="0" w:color="000000"/>
              <w:bottom w:val="single" w:sz="4" w:space="0" w:color="000000"/>
              <w:right w:val="single" w:sz="4" w:space="0" w:color="000000"/>
            </w:tcBorders>
            <w:shd w:val="clear" w:color="auto" w:fill="auto"/>
            <w:vAlign w:val="center"/>
            <w:hideMark/>
          </w:tcPr>
          <w:p w14:paraId="5B4C99C0"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50°19′15.985″</w:t>
            </w:r>
          </w:p>
        </w:tc>
        <w:tc>
          <w:tcPr>
            <w:tcW w:w="4110" w:type="dxa"/>
            <w:tcBorders>
              <w:top w:val="nil"/>
              <w:left w:val="nil"/>
              <w:bottom w:val="single" w:sz="4" w:space="0" w:color="000000"/>
              <w:right w:val="single" w:sz="4" w:space="0" w:color="000000"/>
            </w:tcBorders>
            <w:shd w:val="clear" w:color="auto" w:fill="auto"/>
            <w:vAlign w:val="center"/>
            <w:hideMark/>
          </w:tcPr>
          <w:p w14:paraId="24B3453A"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22°19′55.406″</w:t>
            </w:r>
          </w:p>
        </w:tc>
      </w:tr>
      <w:tr w:rsidR="00E02F30" w:rsidRPr="00E02F30" w14:paraId="50328E07" w14:textId="77777777" w:rsidTr="00A1631B">
        <w:trPr>
          <w:cantSplit/>
          <w:trHeight w:val="298"/>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45152629"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PP3</w:t>
            </w:r>
          </w:p>
        </w:tc>
        <w:tc>
          <w:tcPr>
            <w:tcW w:w="3544" w:type="dxa"/>
            <w:tcBorders>
              <w:top w:val="nil"/>
              <w:left w:val="single" w:sz="4" w:space="0" w:color="000000"/>
              <w:bottom w:val="single" w:sz="4" w:space="0" w:color="000000"/>
              <w:right w:val="single" w:sz="4" w:space="0" w:color="000000"/>
            </w:tcBorders>
            <w:shd w:val="clear" w:color="auto" w:fill="auto"/>
            <w:vAlign w:val="center"/>
            <w:hideMark/>
          </w:tcPr>
          <w:p w14:paraId="5765C790"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50°19′1.509″</w:t>
            </w:r>
          </w:p>
        </w:tc>
        <w:tc>
          <w:tcPr>
            <w:tcW w:w="4110" w:type="dxa"/>
            <w:tcBorders>
              <w:top w:val="nil"/>
              <w:left w:val="nil"/>
              <w:bottom w:val="single" w:sz="4" w:space="0" w:color="000000"/>
              <w:right w:val="single" w:sz="4" w:space="0" w:color="000000"/>
            </w:tcBorders>
            <w:shd w:val="clear" w:color="auto" w:fill="auto"/>
            <w:vAlign w:val="center"/>
            <w:hideMark/>
          </w:tcPr>
          <w:p w14:paraId="76A5C2E4"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22°19′51.287″</w:t>
            </w:r>
          </w:p>
        </w:tc>
      </w:tr>
      <w:tr w:rsidR="00E02F30" w:rsidRPr="00E02F30" w14:paraId="6C30FBF2" w14:textId="77777777" w:rsidTr="00A1631B">
        <w:trPr>
          <w:cantSplit/>
          <w:trHeight w:val="298"/>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3E7F7D48"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PP4</w:t>
            </w:r>
          </w:p>
        </w:tc>
        <w:tc>
          <w:tcPr>
            <w:tcW w:w="3544" w:type="dxa"/>
            <w:tcBorders>
              <w:top w:val="nil"/>
              <w:left w:val="single" w:sz="4" w:space="0" w:color="000000"/>
              <w:bottom w:val="single" w:sz="4" w:space="0" w:color="000000"/>
              <w:right w:val="single" w:sz="4" w:space="0" w:color="000000"/>
            </w:tcBorders>
            <w:shd w:val="clear" w:color="auto" w:fill="auto"/>
            <w:vAlign w:val="center"/>
            <w:hideMark/>
          </w:tcPr>
          <w:p w14:paraId="3BF60BB9"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50°18′47.579″</w:t>
            </w:r>
          </w:p>
        </w:tc>
        <w:tc>
          <w:tcPr>
            <w:tcW w:w="4110" w:type="dxa"/>
            <w:tcBorders>
              <w:top w:val="nil"/>
              <w:left w:val="nil"/>
              <w:bottom w:val="single" w:sz="4" w:space="0" w:color="000000"/>
              <w:right w:val="single" w:sz="4" w:space="0" w:color="000000"/>
            </w:tcBorders>
            <w:shd w:val="clear" w:color="auto" w:fill="auto"/>
            <w:vAlign w:val="center"/>
            <w:hideMark/>
          </w:tcPr>
          <w:p w14:paraId="692C8681"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22°19′50.036″</w:t>
            </w:r>
          </w:p>
        </w:tc>
      </w:tr>
      <w:tr w:rsidR="00E02F30" w:rsidRPr="00E02F30" w14:paraId="27CA246A" w14:textId="77777777" w:rsidTr="00A1631B">
        <w:trPr>
          <w:cantSplit/>
          <w:trHeight w:val="298"/>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2E3E6123"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PP5</w:t>
            </w:r>
          </w:p>
        </w:tc>
        <w:tc>
          <w:tcPr>
            <w:tcW w:w="3544" w:type="dxa"/>
            <w:tcBorders>
              <w:top w:val="nil"/>
              <w:left w:val="single" w:sz="4" w:space="0" w:color="000000"/>
              <w:bottom w:val="single" w:sz="4" w:space="0" w:color="000000"/>
              <w:right w:val="single" w:sz="4" w:space="0" w:color="000000"/>
            </w:tcBorders>
            <w:shd w:val="clear" w:color="auto" w:fill="auto"/>
            <w:vAlign w:val="center"/>
            <w:hideMark/>
          </w:tcPr>
          <w:p w14:paraId="2A2136AF"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50°18′32.263″</w:t>
            </w:r>
          </w:p>
        </w:tc>
        <w:tc>
          <w:tcPr>
            <w:tcW w:w="4110" w:type="dxa"/>
            <w:tcBorders>
              <w:top w:val="nil"/>
              <w:left w:val="nil"/>
              <w:bottom w:val="single" w:sz="4" w:space="0" w:color="000000"/>
              <w:right w:val="single" w:sz="4" w:space="0" w:color="000000"/>
            </w:tcBorders>
            <w:shd w:val="clear" w:color="auto" w:fill="auto"/>
            <w:vAlign w:val="center"/>
            <w:hideMark/>
          </w:tcPr>
          <w:p w14:paraId="573BAF8A"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22°19′43.180″</w:t>
            </w:r>
          </w:p>
        </w:tc>
      </w:tr>
      <w:tr w:rsidR="00E02F30" w:rsidRPr="00E02F30" w14:paraId="63F88379" w14:textId="77777777" w:rsidTr="00A1631B">
        <w:trPr>
          <w:cantSplit/>
          <w:trHeight w:val="298"/>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14:paraId="10E3C3D6"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PP6</w:t>
            </w:r>
          </w:p>
        </w:tc>
        <w:tc>
          <w:tcPr>
            <w:tcW w:w="3544" w:type="dxa"/>
            <w:tcBorders>
              <w:top w:val="nil"/>
              <w:left w:val="single" w:sz="4" w:space="0" w:color="000000"/>
              <w:bottom w:val="single" w:sz="4" w:space="0" w:color="000000"/>
              <w:right w:val="single" w:sz="4" w:space="0" w:color="000000"/>
            </w:tcBorders>
            <w:shd w:val="clear" w:color="auto" w:fill="auto"/>
            <w:vAlign w:val="center"/>
            <w:hideMark/>
          </w:tcPr>
          <w:p w14:paraId="0CDCAD9B"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50°18′38.102″</w:t>
            </w:r>
          </w:p>
        </w:tc>
        <w:tc>
          <w:tcPr>
            <w:tcW w:w="4110" w:type="dxa"/>
            <w:tcBorders>
              <w:top w:val="nil"/>
              <w:left w:val="nil"/>
              <w:bottom w:val="single" w:sz="4" w:space="0" w:color="000000"/>
              <w:right w:val="single" w:sz="4" w:space="0" w:color="000000"/>
            </w:tcBorders>
            <w:shd w:val="clear" w:color="auto" w:fill="auto"/>
            <w:vAlign w:val="center"/>
            <w:hideMark/>
          </w:tcPr>
          <w:p w14:paraId="08FCC404" w14:textId="77777777" w:rsidR="00E02F30" w:rsidRPr="00E02F30" w:rsidRDefault="00E02F30" w:rsidP="00E02F30">
            <w:pPr>
              <w:spacing w:after="0" w:line="276" w:lineRule="auto"/>
              <w:jc w:val="center"/>
              <w:rPr>
                <w:rFonts w:eastAsia="Times New Roman" w:cs="Arial"/>
                <w:sz w:val="20"/>
                <w:szCs w:val="20"/>
                <w:lang w:eastAsia="pl-PL"/>
              </w:rPr>
            </w:pPr>
            <w:r w:rsidRPr="00E02F30">
              <w:rPr>
                <w:rFonts w:eastAsia="Times New Roman" w:cs="Arial"/>
                <w:sz w:val="20"/>
                <w:szCs w:val="20"/>
                <w:lang w:eastAsia="pl-PL"/>
              </w:rPr>
              <w:t>22°18′12.198″</w:t>
            </w:r>
          </w:p>
        </w:tc>
      </w:tr>
    </w:tbl>
    <w:p w14:paraId="4FD8B7BC" w14:textId="77777777" w:rsidR="00E02F30" w:rsidRPr="00E02F30" w:rsidRDefault="00E02F30" w:rsidP="00E02F30">
      <w:pPr>
        <w:autoSpaceDE w:val="0"/>
        <w:autoSpaceDN w:val="0"/>
        <w:adjustRightInd w:val="0"/>
        <w:spacing w:after="0" w:line="276" w:lineRule="auto"/>
        <w:contextualSpacing/>
        <w:jc w:val="both"/>
        <w:rPr>
          <w:rFonts w:eastAsia="Times New Roman" w:cs="Arial"/>
          <w:sz w:val="23"/>
          <w:szCs w:val="23"/>
          <w:lang w:eastAsia="pl-PL"/>
        </w:rPr>
      </w:pPr>
    </w:p>
    <w:p w14:paraId="480D8E06"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VI.3.2.</w:t>
      </w:r>
      <w:r w:rsidRPr="00E02F30">
        <w:rPr>
          <w:rFonts w:eastAsia="Times New Roman" w:cs="Arial"/>
          <w:szCs w:val="24"/>
          <w:lang w:eastAsia="pl-PL"/>
        </w:rPr>
        <w:t xml:space="preserve"> Sposób wykonania badań monitoringowych i ich częstotliwość będą zgodne z wymogami określonymi w obowiązującymi w tym zakresie przepisami szczegółowymi.</w:t>
      </w:r>
    </w:p>
    <w:p w14:paraId="4B0E5724"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VI.3.3.</w:t>
      </w:r>
      <w:r w:rsidRPr="00E02F30">
        <w:rPr>
          <w:rFonts w:eastAsia="Times New Roman" w:cs="Arial"/>
          <w:szCs w:val="24"/>
          <w:lang w:eastAsia="pl-PL"/>
        </w:rPr>
        <w:t xml:space="preserve"> Dodatkowo pomiary hałasu w środowisku będą przeprowadzane po każdej zmianie procedury pracy instalacji lub wymianie urządzeń określonych w tabeli nr 8.</w:t>
      </w:r>
    </w:p>
    <w:p w14:paraId="0031ED8D" w14:textId="77777777" w:rsidR="00E02F30" w:rsidRPr="00E02F30" w:rsidRDefault="00E02F30" w:rsidP="00E02F30">
      <w:pPr>
        <w:keepNext/>
        <w:widowControl w:val="0"/>
        <w:adjustRightInd w:val="0"/>
        <w:spacing w:after="0" w:line="360" w:lineRule="auto"/>
        <w:textAlignment w:val="baseline"/>
        <w:outlineLvl w:val="2"/>
        <w:rPr>
          <w:rFonts w:eastAsia="Calibri" w:cs="Times New Roman"/>
          <w:b/>
          <w:szCs w:val="20"/>
          <w:lang w:val="da-DK"/>
        </w:rPr>
      </w:pPr>
      <w:r w:rsidRPr="00E02F30">
        <w:rPr>
          <w:rFonts w:eastAsia="Calibri" w:cs="Times New Roman"/>
          <w:b/>
          <w:szCs w:val="20"/>
          <w:lang w:val="da-DK"/>
        </w:rPr>
        <w:t>VI.4. Monitoring poboru wody</w:t>
      </w:r>
    </w:p>
    <w:p w14:paraId="1672FC2A"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val="da-DK" w:eastAsia="pl-PL"/>
        </w:rPr>
        <w:t>VI.4.1.</w:t>
      </w:r>
      <w:r w:rsidRPr="00E02F30">
        <w:rPr>
          <w:rFonts w:eastAsia="Times New Roman" w:cs="Arial"/>
          <w:szCs w:val="24"/>
          <w:lang w:val="da-DK" w:eastAsia="pl-PL"/>
        </w:rPr>
        <w:t xml:space="preserve"> </w:t>
      </w:r>
      <w:r w:rsidRPr="00E02F30">
        <w:rPr>
          <w:rFonts w:eastAsia="Times New Roman" w:cs="Arial"/>
          <w:szCs w:val="24"/>
          <w:lang w:eastAsia="pl-PL"/>
        </w:rPr>
        <w:t>Kontrola zużycia wody prowadzona będzie w oparciu o odczyty wodomierzy zainstalowanych na przyłączach do poszczególnych instalacji. Prowadzona będzie ewidencja zużycia wody w zakresie całkowitego zużycia wody w danej instalacji oraz z podziałem: na cele technologiczne, chłodnicze i pozostałe wraz z uwzględnieniem  źródła jej poboru.</w:t>
      </w:r>
    </w:p>
    <w:p w14:paraId="544084BD" w14:textId="77777777" w:rsidR="00E02F30" w:rsidRPr="00E02F30" w:rsidRDefault="00E02F30" w:rsidP="00E02F30">
      <w:pPr>
        <w:autoSpaceDE w:val="0"/>
        <w:autoSpaceDN w:val="0"/>
        <w:adjustRightInd w:val="0"/>
        <w:spacing w:after="0" w:line="276" w:lineRule="auto"/>
        <w:ind w:left="641" w:hanging="641"/>
        <w:jc w:val="both"/>
        <w:rPr>
          <w:rFonts w:eastAsia="Times New Roman" w:cs="Arial"/>
          <w:szCs w:val="24"/>
          <w:lang w:eastAsia="pl-PL"/>
        </w:rPr>
      </w:pPr>
      <w:r w:rsidRPr="00E02F30">
        <w:rPr>
          <w:rFonts w:eastAsia="Times New Roman" w:cs="Arial"/>
          <w:b/>
          <w:szCs w:val="24"/>
          <w:lang w:eastAsia="pl-PL"/>
        </w:rPr>
        <w:t>VI.4.2.</w:t>
      </w:r>
      <w:r w:rsidRPr="00E02F30">
        <w:rPr>
          <w:rFonts w:eastAsia="Times New Roman" w:cs="Arial"/>
          <w:szCs w:val="24"/>
          <w:lang w:eastAsia="pl-PL"/>
        </w:rPr>
        <w:t xml:space="preserve"> Wyniki odczytów wodomierzy będą rejestrowane nie rzadziej, niż co miesiąc.</w:t>
      </w:r>
    </w:p>
    <w:p w14:paraId="4A3138AF" w14:textId="77777777" w:rsidR="00E02F30" w:rsidRPr="00E02F30" w:rsidRDefault="00E02F30" w:rsidP="00E02F30">
      <w:pPr>
        <w:keepNext/>
        <w:widowControl w:val="0"/>
        <w:adjustRightInd w:val="0"/>
        <w:spacing w:after="0" w:line="360" w:lineRule="auto"/>
        <w:textAlignment w:val="baseline"/>
        <w:outlineLvl w:val="2"/>
        <w:rPr>
          <w:rFonts w:eastAsia="Calibri" w:cs="Times New Roman"/>
          <w:b/>
          <w:szCs w:val="20"/>
        </w:rPr>
      </w:pPr>
      <w:r w:rsidRPr="00E02F30">
        <w:rPr>
          <w:rFonts w:eastAsia="Calibri" w:cs="Times New Roman"/>
          <w:b/>
          <w:szCs w:val="20"/>
        </w:rPr>
        <w:t>VI.5. Monitoring odprowadzanych ścieków</w:t>
      </w:r>
    </w:p>
    <w:p w14:paraId="5D585E73" w14:textId="77777777" w:rsidR="00E02F30" w:rsidRPr="00E02F30" w:rsidRDefault="00E02F30" w:rsidP="00E02F30">
      <w:pPr>
        <w:spacing w:after="0" w:line="276" w:lineRule="auto"/>
        <w:jc w:val="both"/>
        <w:rPr>
          <w:rFonts w:eastAsia="Times New Roman" w:cs="Arial"/>
          <w:szCs w:val="24"/>
          <w:lang w:eastAsia="pl-PL"/>
        </w:rPr>
      </w:pPr>
      <w:r w:rsidRPr="00E02F30">
        <w:rPr>
          <w:rFonts w:eastAsia="Calibri" w:cs="Arial"/>
          <w:b/>
          <w:bCs/>
          <w:szCs w:val="24"/>
        </w:rPr>
        <w:t>VI.5.1</w:t>
      </w:r>
      <w:r w:rsidRPr="00E02F30">
        <w:rPr>
          <w:rFonts w:eastAsia="Times New Roman" w:cs="Arial"/>
          <w:szCs w:val="24"/>
          <w:lang w:eastAsia="pl-PL"/>
        </w:rPr>
        <w:t>. Ilość odprowadzanych ścieków przemysłowych z instalacji będzie określana na podstawie pomiarów, wykonywanych w punktach lub zgodnie z metodyką, określonych w Tabeli nr 13 z częstotliwością raz w miesiącu.</w:t>
      </w:r>
    </w:p>
    <w:p w14:paraId="222C498E" w14:textId="77777777" w:rsidR="00E02F30" w:rsidRPr="00E02F30" w:rsidRDefault="00E02F30" w:rsidP="00E02F30">
      <w:pPr>
        <w:spacing w:after="0" w:line="276" w:lineRule="auto"/>
        <w:jc w:val="both"/>
        <w:rPr>
          <w:rFonts w:eastAsia="Times New Roman" w:cs="Arial"/>
          <w:szCs w:val="24"/>
          <w:lang w:eastAsia="pl-PL"/>
        </w:rPr>
      </w:pPr>
      <w:r w:rsidRPr="00E02F30">
        <w:rPr>
          <w:rFonts w:eastAsia="Calibri" w:cs="Arial"/>
          <w:b/>
          <w:bCs/>
          <w:szCs w:val="24"/>
        </w:rPr>
        <w:t>VI.5.2</w:t>
      </w:r>
      <w:r w:rsidRPr="00E02F30">
        <w:rPr>
          <w:rFonts w:eastAsia="Times New Roman" w:cs="Arial"/>
          <w:szCs w:val="24"/>
          <w:lang w:eastAsia="pl-PL"/>
        </w:rPr>
        <w:t xml:space="preserve">. Pomiary jakości odprowadzanych ścieków przemysłowych z poszczególnych instalacji Zakładu będą wykonywane co najmniej raz w roku  w punktach określonych w Tabeli nr 13 we wskaźnikach określonych w Tabeli nr 3  niniejszej decyzji. </w:t>
      </w:r>
    </w:p>
    <w:p w14:paraId="180E9605" w14:textId="77777777" w:rsidR="00E02F30" w:rsidRPr="00E02F30" w:rsidRDefault="00E02F30" w:rsidP="00E02F30">
      <w:pPr>
        <w:spacing w:after="0" w:line="276" w:lineRule="auto"/>
        <w:jc w:val="both"/>
        <w:rPr>
          <w:rFonts w:eastAsia="Times New Roman" w:cs="Arial"/>
          <w:szCs w:val="24"/>
          <w:lang w:eastAsia="pl-PL"/>
        </w:rPr>
      </w:pPr>
      <w:r w:rsidRPr="00E02F30">
        <w:rPr>
          <w:rFonts w:eastAsia="Calibri" w:cs="Arial"/>
          <w:b/>
          <w:bCs/>
          <w:szCs w:val="24"/>
        </w:rPr>
        <w:t>VI.5.3</w:t>
      </w:r>
      <w:r w:rsidRPr="00E02F30">
        <w:rPr>
          <w:rFonts w:eastAsia="Times New Roman" w:cs="Arial"/>
          <w:szCs w:val="24"/>
          <w:lang w:eastAsia="pl-PL"/>
        </w:rPr>
        <w:t xml:space="preserve">. Miejsca poboru próbek jakości ścieków oraz miejsca pomiaru ilości ścieków będą w sposób trwały oznakowane. </w:t>
      </w:r>
    </w:p>
    <w:p w14:paraId="029DF199" w14:textId="77777777" w:rsidR="00E02F30" w:rsidRPr="00E02F30" w:rsidRDefault="00E02F30" w:rsidP="00E02F30">
      <w:pPr>
        <w:spacing w:after="0" w:line="276" w:lineRule="auto"/>
        <w:jc w:val="both"/>
        <w:rPr>
          <w:rFonts w:eastAsia="Times New Roman" w:cs="Arial"/>
          <w:szCs w:val="24"/>
          <w:lang w:eastAsia="pl-PL"/>
        </w:rPr>
      </w:pPr>
      <w:r w:rsidRPr="00E02F30">
        <w:rPr>
          <w:rFonts w:eastAsia="Calibri" w:cs="Arial"/>
          <w:b/>
          <w:bCs/>
          <w:szCs w:val="24"/>
        </w:rPr>
        <w:t>VI.5.4</w:t>
      </w:r>
      <w:r w:rsidRPr="00E02F30">
        <w:rPr>
          <w:rFonts w:eastAsia="Times New Roman" w:cs="Arial"/>
          <w:szCs w:val="24"/>
          <w:lang w:eastAsia="pl-PL"/>
        </w:rPr>
        <w:t>. Wyniki powinny być zapisywane i archiwizowane przez co najmniej 5 lat.</w:t>
      </w:r>
    </w:p>
    <w:p w14:paraId="004A1B68" w14:textId="77777777" w:rsidR="00E02F30" w:rsidRPr="00E02F30" w:rsidRDefault="00E02F30" w:rsidP="00E02F30">
      <w:pPr>
        <w:keepNext/>
        <w:widowControl w:val="0"/>
        <w:adjustRightInd w:val="0"/>
        <w:spacing w:after="0" w:line="360" w:lineRule="auto"/>
        <w:textAlignment w:val="baseline"/>
        <w:outlineLvl w:val="4"/>
        <w:rPr>
          <w:rFonts w:eastAsia="Times New Roman" w:cs="Times New Roman"/>
          <w:szCs w:val="20"/>
          <w:lang w:eastAsia="pl-PL"/>
        </w:rPr>
      </w:pPr>
      <w:r w:rsidRPr="00E02F30">
        <w:rPr>
          <w:rFonts w:eastAsia="Times New Roman" w:cs="Times New Roman"/>
          <w:szCs w:val="20"/>
          <w:lang w:eastAsia="pl-PL"/>
        </w:rPr>
        <w:t>Tabela nr 13</w:t>
      </w: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Description w:val="Przedstawia źródła emisji ścieków w obiekcie 524 oraz 501, podane są punkty poboru Z1 i Z2 oraz podany jest sposób określania ilości wytwarzanych ścieków."/>
      </w:tblPr>
      <w:tblGrid>
        <w:gridCol w:w="2943"/>
        <w:gridCol w:w="2292"/>
        <w:gridCol w:w="4111"/>
      </w:tblGrid>
      <w:tr w:rsidR="00E02F30" w:rsidRPr="00E02F30" w14:paraId="2A9BF1C7" w14:textId="77777777" w:rsidTr="00A1631B">
        <w:tc>
          <w:tcPr>
            <w:tcW w:w="2943" w:type="dxa"/>
            <w:shd w:val="clear" w:color="auto" w:fill="auto"/>
            <w:vAlign w:val="center"/>
          </w:tcPr>
          <w:p w14:paraId="360A0754"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b/>
                <w:bCs/>
                <w:sz w:val="20"/>
                <w:szCs w:val="20"/>
                <w:lang w:eastAsia="pl-PL"/>
              </w:rPr>
              <w:t>Instalacja / źródło emisji /strumień ścieków</w:t>
            </w:r>
          </w:p>
        </w:tc>
        <w:tc>
          <w:tcPr>
            <w:tcW w:w="2292" w:type="dxa"/>
            <w:shd w:val="clear" w:color="auto" w:fill="auto"/>
            <w:vAlign w:val="center"/>
          </w:tcPr>
          <w:p w14:paraId="39C7E1E0"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b/>
                <w:bCs/>
                <w:sz w:val="20"/>
                <w:szCs w:val="20"/>
                <w:lang w:eastAsia="pl-PL"/>
              </w:rPr>
              <w:t>Punkty kontroli jakości ścieków dla celów technologicznych</w:t>
            </w:r>
          </w:p>
        </w:tc>
        <w:tc>
          <w:tcPr>
            <w:tcW w:w="4111" w:type="dxa"/>
            <w:shd w:val="clear" w:color="auto" w:fill="auto"/>
            <w:vAlign w:val="center"/>
          </w:tcPr>
          <w:p w14:paraId="44311914"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b/>
                <w:bCs/>
                <w:sz w:val="20"/>
                <w:szCs w:val="20"/>
                <w:lang w:eastAsia="pl-PL"/>
              </w:rPr>
              <w:t xml:space="preserve">Urządzenia do pomiaru ilości odprowadzanych ścieków/ sposób określenia ilości wytworzonych ścieków </w:t>
            </w:r>
          </w:p>
        </w:tc>
      </w:tr>
      <w:tr w:rsidR="00E02F30" w:rsidRPr="00E02F30" w14:paraId="31ABB3B7" w14:textId="77777777" w:rsidTr="00A1631B">
        <w:tc>
          <w:tcPr>
            <w:tcW w:w="9346" w:type="dxa"/>
            <w:gridSpan w:val="3"/>
            <w:shd w:val="clear" w:color="auto" w:fill="auto"/>
          </w:tcPr>
          <w:p w14:paraId="3B972D25"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b/>
                <w:sz w:val="20"/>
                <w:szCs w:val="20"/>
                <w:lang w:eastAsia="pl-PL"/>
              </w:rPr>
              <w:t>Instalacja Nienasyconych Żywic Poliestrowych</w:t>
            </w:r>
          </w:p>
        </w:tc>
      </w:tr>
      <w:tr w:rsidR="00E02F30" w:rsidRPr="00E02F30" w14:paraId="4417C8D2" w14:textId="77777777" w:rsidTr="00A1631B">
        <w:tc>
          <w:tcPr>
            <w:tcW w:w="9346" w:type="dxa"/>
            <w:gridSpan w:val="3"/>
            <w:shd w:val="clear" w:color="auto" w:fill="auto"/>
          </w:tcPr>
          <w:p w14:paraId="231A5411"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b/>
                <w:sz w:val="20"/>
                <w:szCs w:val="20"/>
                <w:lang w:eastAsia="pl-PL"/>
              </w:rPr>
              <w:t xml:space="preserve">Obiekt 524 - </w:t>
            </w:r>
            <w:r w:rsidRPr="00E02F30">
              <w:rPr>
                <w:rFonts w:eastAsia="Times New Roman" w:cs="Arial"/>
                <w:sz w:val="20"/>
                <w:szCs w:val="20"/>
                <w:lang w:eastAsia="pl-PL"/>
              </w:rPr>
              <w:t>reakcja polikondensacji</w:t>
            </w:r>
          </w:p>
        </w:tc>
      </w:tr>
      <w:tr w:rsidR="00E02F30" w:rsidRPr="00E02F30" w14:paraId="012D4781" w14:textId="77777777" w:rsidTr="00A1631B">
        <w:tc>
          <w:tcPr>
            <w:tcW w:w="2943" w:type="dxa"/>
            <w:shd w:val="clear" w:color="auto" w:fill="auto"/>
            <w:vAlign w:val="center"/>
          </w:tcPr>
          <w:p w14:paraId="5F80066A"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sz w:val="20"/>
                <w:szCs w:val="20"/>
                <w:lang w:eastAsia="pl-PL"/>
              </w:rPr>
              <w:t>Ścieki z łapacza komorowego szlamów, ścieki z pomp próżniowych i hermetyzacji kwaśnej</w:t>
            </w:r>
          </w:p>
        </w:tc>
        <w:tc>
          <w:tcPr>
            <w:tcW w:w="2292" w:type="dxa"/>
            <w:vMerge w:val="restart"/>
            <w:shd w:val="clear" w:color="auto" w:fill="auto"/>
            <w:vAlign w:val="center"/>
          </w:tcPr>
          <w:p w14:paraId="4D830073"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sz w:val="20"/>
                <w:szCs w:val="20"/>
                <w:lang w:eastAsia="pl-PL"/>
              </w:rPr>
              <w:t xml:space="preserve">Punkt poboru Z-1 </w:t>
            </w:r>
          </w:p>
        </w:tc>
        <w:tc>
          <w:tcPr>
            <w:tcW w:w="4111" w:type="dxa"/>
            <w:shd w:val="clear" w:color="auto" w:fill="auto"/>
            <w:vAlign w:val="center"/>
          </w:tcPr>
          <w:p w14:paraId="35B523DB"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sz w:val="20"/>
                <w:szCs w:val="20"/>
                <w:lang w:eastAsia="pl-PL"/>
              </w:rPr>
              <w:t>Przy wyprodukowaniu 1 Mg wyrobu powstaje około 0,1 m</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ścieków poreakcyjnych oraz około  0,8 m</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ścieków z pomp i hermetyzacji. Maksymalna zdolność produkcyjna wynosi 25000 Mg, co daje 22500 m</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ścieków. Z tego </w:t>
            </w:r>
            <w:proofErr w:type="spellStart"/>
            <w:r w:rsidRPr="00E02F30">
              <w:rPr>
                <w:rFonts w:eastAsia="Times New Roman" w:cs="Arial"/>
                <w:sz w:val="20"/>
                <w:szCs w:val="20"/>
                <w:lang w:eastAsia="pl-PL"/>
              </w:rPr>
              <w:t>Qśrd</w:t>
            </w:r>
            <w:proofErr w:type="spellEnd"/>
            <w:r w:rsidRPr="00E02F30">
              <w:rPr>
                <w:rFonts w:eastAsia="Times New Roman" w:cs="Arial"/>
                <w:sz w:val="20"/>
                <w:szCs w:val="20"/>
                <w:lang w:eastAsia="pl-PL"/>
              </w:rPr>
              <w:t xml:space="preserve"> = 22500m</w:t>
            </w:r>
            <w:r w:rsidRPr="00E02F30">
              <w:rPr>
                <w:rFonts w:eastAsia="Times New Roman" w:cs="Arial"/>
                <w:sz w:val="20"/>
                <w:szCs w:val="20"/>
                <w:vertAlign w:val="superscript"/>
                <w:lang w:eastAsia="pl-PL"/>
              </w:rPr>
              <w:t>3</w:t>
            </w:r>
            <w:r w:rsidRPr="00E02F30">
              <w:rPr>
                <w:rFonts w:eastAsia="Times New Roman" w:cs="Arial"/>
                <w:sz w:val="20"/>
                <w:szCs w:val="20"/>
                <w:lang w:eastAsia="pl-PL"/>
              </w:rPr>
              <w:t>/365 dni 61,6 m</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Maksymalnie w ciągu doby można zrzucić do kanalizacji przemysłowej ściek poreakcyjne z 4 aparatów </w:t>
            </w:r>
            <w:proofErr w:type="spellStart"/>
            <w:r w:rsidRPr="00E02F30">
              <w:rPr>
                <w:rFonts w:eastAsia="Times New Roman" w:cs="Arial"/>
                <w:sz w:val="20"/>
                <w:szCs w:val="20"/>
                <w:lang w:eastAsia="pl-PL"/>
              </w:rPr>
              <w:t>Q</w:t>
            </w:r>
            <w:r w:rsidRPr="00E02F30">
              <w:rPr>
                <w:rFonts w:eastAsia="Times New Roman" w:cs="Arial"/>
                <w:sz w:val="20"/>
                <w:szCs w:val="20"/>
                <w:vertAlign w:val="subscript"/>
                <w:lang w:eastAsia="pl-PL"/>
              </w:rPr>
              <w:t>maxd</w:t>
            </w:r>
            <w:proofErr w:type="spellEnd"/>
            <w:r w:rsidRPr="00E02F30">
              <w:rPr>
                <w:rFonts w:eastAsia="Times New Roman" w:cs="Arial"/>
                <w:sz w:val="20"/>
                <w:szCs w:val="20"/>
                <w:lang w:eastAsia="pl-PL"/>
              </w:rPr>
              <w:t xml:space="preserve"> = 83 Mg * (0,1+0,8) m</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 74,7 m</w:t>
            </w:r>
            <w:r w:rsidRPr="00E02F30">
              <w:rPr>
                <w:rFonts w:eastAsia="Times New Roman" w:cs="Arial"/>
                <w:sz w:val="20"/>
                <w:szCs w:val="20"/>
                <w:vertAlign w:val="superscript"/>
                <w:lang w:eastAsia="pl-PL"/>
              </w:rPr>
              <w:t>3</w:t>
            </w:r>
            <w:r w:rsidRPr="00E02F30">
              <w:rPr>
                <w:rFonts w:eastAsia="Times New Roman" w:cs="Arial"/>
                <w:sz w:val="20"/>
                <w:szCs w:val="20"/>
                <w:lang w:eastAsia="pl-PL"/>
              </w:rPr>
              <w:t>.</w:t>
            </w:r>
          </w:p>
        </w:tc>
      </w:tr>
      <w:tr w:rsidR="00E02F30" w:rsidRPr="00E02F30" w14:paraId="1EE274B8" w14:textId="77777777" w:rsidTr="00A1631B">
        <w:tc>
          <w:tcPr>
            <w:tcW w:w="2943" w:type="dxa"/>
            <w:shd w:val="clear" w:color="auto" w:fill="auto"/>
            <w:vAlign w:val="center"/>
          </w:tcPr>
          <w:p w14:paraId="411CC328"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sz w:val="20"/>
                <w:szCs w:val="20"/>
                <w:lang w:eastAsia="pl-PL"/>
              </w:rPr>
              <w:t>Ścieki z mis zbiorników magazynowych i pomp z etapu kondensacji żywic (</w:t>
            </w:r>
            <w:proofErr w:type="spellStart"/>
            <w:r w:rsidRPr="00E02F30">
              <w:rPr>
                <w:rFonts w:eastAsia="Times New Roman" w:cs="Arial"/>
                <w:sz w:val="20"/>
                <w:szCs w:val="20"/>
                <w:lang w:eastAsia="pl-PL"/>
              </w:rPr>
              <w:t>alkdów</w:t>
            </w:r>
            <w:proofErr w:type="spellEnd"/>
            <w:r w:rsidRPr="00E02F30">
              <w:rPr>
                <w:rFonts w:eastAsia="Times New Roman" w:cs="Arial"/>
                <w:sz w:val="20"/>
                <w:szCs w:val="20"/>
                <w:lang w:eastAsia="pl-PL"/>
              </w:rPr>
              <w:t>)</w:t>
            </w:r>
          </w:p>
        </w:tc>
        <w:tc>
          <w:tcPr>
            <w:tcW w:w="2292" w:type="dxa"/>
            <w:vMerge/>
            <w:shd w:val="clear" w:color="auto" w:fill="auto"/>
            <w:vAlign w:val="center"/>
          </w:tcPr>
          <w:p w14:paraId="07779E37" w14:textId="77777777" w:rsidR="00E02F30" w:rsidRPr="00E02F30" w:rsidRDefault="00E02F30" w:rsidP="00E02F30">
            <w:pPr>
              <w:spacing w:before="60" w:after="60" w:line="276" w:lineRule="auto"/>
              <w:jc w:val="both"/>
              <w:rPr>
                <w:rFonts w:eastAsia="Times New Roman" w:cs="Arial"/>
                <w:b/>
                <w:sz w:val="20"/>
                <w:szCs w:val="20"/>
                <w:lang w:eastAsia="pl-PL"/>
              </w:rPr>
            </w:pPr>
          </w:p>
        </w:tc>
        <w:tc>
          <w:tcPr>
            <w:tcW w:w="4111" w:type="dxa"/>
            <w:shd w:val="clear" w:color="auto" w:fill="auto"/>
            <w:vAlign w:val="center"/>
          </w:tcPr>
          <w:p w14:paraId="12FD6A44"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sz w:val="20"/>
                <w:szCs w:val="20"/>
                <w:lang w:eastAsia="pl-PL"/>
              </w:rPr>
              <w:t>Ilość ścieków określana jest w odniesieniu do powierzchni misy magazynowej oraz ścieków powstających podczas myć posadzek na instalacji oraz ścieków z mycia zbiorników magazynowych.</w:t>
            </w:r>
          </w:p>
        </w:tc>
      </w:tr>
      <w:tr w:rsidR="00E02F30" w:rsidRPr="00E02F30" w14:paraId="6EB4FBC7" w14:textId="77777777" w:rsidTr="00A1631B">
        <w:tc>
          <w:tcPr>
            <w:tcW w:w="9346" w:type="dxa"/>
            <w:gridSpan w:val="3"/>
            <w:shd w:val="clear" w:color="auto" w:fill="auto"/>
          </w:tcPr>
          <w:p w14:paraId="70A46B4A"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b/>
                <w:sz w:val="20"/>
                <w:szCs w:val="20"/>
                <w:lang w:eastAsia="pl-PL"/>
              </w:rPr>
              <w:t xml:space="preserve">Obiekt 501 - </w:t>
            </w:r>
            <w:r w:rsidRPr="00E02F30">
              <w:rPr>
                <w:rFonts w:eastAsia="Times New Roman" w:cs="Arial"/>
                <w:sz w:val="20"/>
                <w:szCs w:val="20"/>
                <w:lang w:eastAsia="pl-PL"/>
              </w:rPr>
              <w:t>reakcja kondesacji</w:t>
            </w:r>
          </w:p>
        </w:tc>
      </w:tr>
      <w:tr w:rsidR="00E02F30" w:rsidRPr="00E02F30" w14:paraId="1826BACC" w14:textId="77777777" w:rsidTr="00A1631B">
        <w:tc>
          <w:tcPr>
            <w:tcW w:w="2943" w:type="dxa"/>
            <w:shd w:val="clear" w:color="auto" w:fill="auto"/>
            <w:vAlign w:val="center"/>
          </w:tcPr>
          <w:p w14:paraId="302BF1E9"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sz w:val="20"/>
                <w:szCs w:val="20"/>
                <w:lang w:eastAsia="pl-PL"/>
              </w:rPr>
              <w:t>Ścieki - woda poreakcyjna z produkcji poliestru nasyconego, z produkcji żywic KN</w:t>
            </w:r>
          </w:p>
        </w:tc>
        <w:tc>
          <w:tcPr>
            <w:tcW w:w="2292" w:type="dxa"/>
            <w:shd w:val="clear" w:color="auto" w:fill="auto"/>
            <w:vAlign w:val="center"/>
          </w:tcPr>
          <w:p w14:paraId="20EC51C9"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sz w:val="20"/>
                <w:szCs w:val="20"/>
                <w:lang w:eastAsia="pl-PL"/>
              </w:rPr>
              <w:t>Punkt poboru Z-2</w:t>
            </w:r>
          </w:p>
        </w:tc>
        <w:tc>
          <w:tcPr>
            <w:tcW w:w="4111" w:type="dxa"/>
            <w:shd w:val="clear" w:color="auto" w:fill="auto"/>
          </w:tcPr>
          <w:p w14:paraId="250A5334" w14:textId="77777777" w:rsidR="00E02F30" w:rsidRPr="00E02F30" w:rsidRDefault="00E02F30" w:rsidP="00E02F30">
            <w:pPr>
              <w:spacing w:before="60" w:after="60" w:line="276" w:lineRule="auto"/>
              <w:jc w:val="both"/>
              <w:rPr>
                <w:rFonts w:eastAsia="Times New Roman" w:cs="Arial"/>
                <w:b/>
                <w:sz w:val="20"/>
                <w:szCs w:val="20"/>
                <w:lang w:eastAsia="pl-PL"/>
              </w:rPr>
            </w:pPr>
            <w:r w:rsidRPr="00E02F30">
              <w:rPr>
                <w:rFonts w:eastAsia="Times New Roman" w:cs="Arial"/>
                <w:sz w:val="20"/>
                <w:szCs w:val="20"/>
                <w:lang w:eastAsia="pl-PL"/>
              </w:rPr>
              <w:t>Przy wyprodukowaniu 1 Mg wyrobu powstaje około 0,13 m</w:t>
            </w:r>
            <w:r w:rsidRPr="00E02F30">
              <w:rPr>
                <w:rFonts w:eastAsia="Times New Roman" w:cs="Arial"/>
                <w:sz w:val="20"/>
                <w:szCs w:val="20"/>
                <w:vertAlign w:val="superscript"/>
                <w:lang w:eastAsia="pl-PL"/>
              </w:rPr>
              <w:t xml:space="preserve">3 </w:t>
            </w:r>
            <w:r w:rsidRPr="00E02F30">
              <w:rPr>
                <w:rFonts w:eastAsia="Times New Roman" w:cs="Arial"/>
                <w:sz w:val="20"/>
                <w:szCs w:val="20"/>
                <w:lang w:eastAsia="pl-PL"/>
              </w:rPr>
              <w:t>ścieków poreakcyjnych. Maksymalna zdolność produkcyjna wynosi 3300 Mg (bez uwzględnienia żelkotów), co daje 434m</w:t>
            </w:r>
            <w:r w:rsidRPr="00E02F30">
              <w:rPr>
                <w:rFonts w:eastAsia="Times New Roman" w:cs="Arial"/>
                <w:sz w:val="20"/>
                <w:szCs w:val="20"/>
                <w:vertAlign w:val="superscript"/>
                <w:lang w:eastAsia="pl-PL"/>
              </w:rPr>
              <w:t xml:space="preserve">3 </w:t>
            </w:r>
            <w:r w:rsidRPr="00E02F30">
              <w:rPr>
                <w:rFonts w:eastAsia="Times New Roman" w:cs="Arial"/>
                <w:sz w:val="20"/>
                <w:szCs w:val="20"/>
                <w:lang w:eastAsia="pl-PL"/>
              </w:rPr>
              <w:t xml:space="preserve">ścieków. Z tego </w:t>
            </w:r>
            <w:proofErr w:type="spellStart"/>
            <w:r w:rsidRPr="00E02F30">
              <w:rPr>
                <w:rFonts w:eastAsia="Times New Roman" w:cs="Arial"/>
                <w:sz w:val="20"/>
                <w:szCs w:val="20"/>
                <w:lang w:eastAsia="pl-PL"/>
              </w:rPr>
              <w:t>Qśrd</w:t>
            </w:r>
            <w:proofErr w:type="spellEnd"/>
            <w:r w:rsidRPr="00E02F30">
              <w:rPr>
                <w:rFonts w:eastAsia="Times New Roman" w:cs="Arial"/>
                <w:sz w:val="20"/>
                <w:szCs w:val="20"/>
                <w:lang w:eastAsia="pl-PL"/>
              </w:rPr>
              <w:t xml:space="preserve"> = 434m</w:t>
            </w:r>
            <w:r w:rsidRPr="00E02F30">
              <w:rPr>
                <w:rFonts w:eastAsia="Times New Roman" w:cs="Arial"/>
                <w:sz w:val="20"/>
                <w:szCs w:val="20"/>
                <w:vertAlign w:val="superscript"/>
                <w:lang w:eastAsia="pl-PL"/>
              </w:rPr>
              <w:t>3</w:t>
            </w:r>
            <w:r w:rsidRPr="00E02F30">
              <w:rPr>
                <w:rFonts w:eastAsia="Times New Roman" w:cs="Arial"/>
                <w:sz w:val="20"/>
                <w:szCs w:val="20"/>
                <w:lang w:eastAsia="pl-PL"/>
              </w:rPr>
              <w:t>/365 dni = 1,2 m</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Maksymalnie w ciągu doby można zrzucić do kanalizacji przemysłowej ściek poreakcyjne z 5 aparatów </w:t>
            </w:r>
            <w:proofErr w:type="spellStart"/>
            <w:r w:rsidRPr="00E02F30">
              <w:rPr>
                <w:rFonts w:eastAsia="Times New Roman" w:cs="Arial"/>
                <w:sz w:val="20"/>
                <w:szCs w:val="20"/>
                <w:lang w:eastAsia="pl-PL"/>
              </w:rPr>
              <w:t>Qmaxd</w:t>
            </w:r>
            <w:proofErr w:type="spellEnd"/>
            <w:r w:rsidRPr="00E02F30">
              <w:rPr>
                <w:rFonts w:eastAsia="Times New Roman" w:cs="Arial"/>
                <w:sz w:val="20"/>
                <w:szCs w:val="20"/>
                <w:lang w:eastAsia="pl-PL"/>
              </w:rPr>
              <w:t xml:space="preserve"> = 10,6 Mg * 0,13 m</w:t>
            </w:r>
            <w:r w:rsidRPr="00E02F30">
              <w:rPr>
                <w:rFonts w:eastAsia="Times New Roman" w:cs="Arial"/>
                <w:sz w:val="20"/>
                <w:szCs w:val="20"/>
                <w:vertAlign w:val="superscript"/>
                <w:lang w:eastAsia="pl-PL"/>
              </w:rPr>
              <w:t xml:space="preserve">3 </w:t>
            </w:r>
            <w:r w:rsidRPr="00E02F30">
              <w:rPr>
                <w:rFonts w:eastAsia="Times New Roman" w:cs="Arial"/>
                <w:sz w:val="20"/>
                <w:szCs w:val="20"/>
                <w:lang w:eastAsia="pl-PL"/>
              </w:rPr>
              <w:t>= 1,4 m</w:t>
            </w:r>
            <w:r w:rsidRPr="00E02F30">
              <w:rPr>
                <w:rFonts w:eastAsia="Times New Roman" w:cs="Arial"/>
                <w:sz w:val="20"/>
                <w:szCs w:val="20"/>
                <w:vertAlign w:val="superscript"/>
                <w:lang w:eastAsia="pl-PL"/>
              </w:rPr>
              <w:t>3</w:t>
            </w:r>
            <w:r w:rsidRPr="00E02F30">
              <w:rPr>
                <w:rFonts w:eastAsia="Times New Roman" w:cs="Arial"/>
                <w:sz w:val="20"/>
                <w:szCs w:val="20"/>
                <w:lang w:eastAsia="pl-PL"/>
              </w:rPr>
              <w:t>.</w:t>
            </w:r>
          </w:p>
        </w:tc>
      </w:tr>
      <w:tr w:rsidR="00E02F30" w:rsidRPr="00E02F30" w14:paraId="76DABDF8" w14:textId="77777777" w:rsidTr="00A1631B">
        <w:tc>
          <w:tcPr>
            <w:tcW w:w="2943" w:type="dxa"/>
            <w:shd w:val="clear" w:color="auto" w:fill="auto"/>
            <w:vAlign w:val="center"/>
          </w:tcPr>
          <w:p w14:paraId="20D8F3D6" w14:textId="77777777" w:rsidR="00E02F30" w:rsidRPr="00E02F30" w:rsidRDefault="00E02F30" w:rsidP="00E02F30">
            <w:pPr>
              <w:spacing w:before="60" w:after="0" w:line="276" w:lineRule="auto"/>
              <w:jc w:val="both"/>
              <w:rPr>
                <w:rFonts w:eastAsia="Times New Roman" w:cs="Arial"/>
                <w:sz w:val="20"/>
                <w:szCs w:val="20"/>
                <w:lang w:eastAsia="pl-PL"/>
              </w:rPr>
            </w:pPr>
            <w:r w:rsidRPr="00E02F30">
              <w:rPr>
                <w:rFonts w:eastAsia="Times New Roman" w:cs="Arial"/>
                <w:sz w:val="20"/>
                <w:szCs w:val="20"/>
                <w:lang w:eastAsia="pl-PL"/>
              </w:rPr>
              <w:t>Ścieki (woda poreakcyjna) z produkcji żywic na bazie DCPD</w:t>
            </w:r>
          </w:p>
        </w:tc>
        <w:tc>
          <w:tcPr>
            <w:tcW w:w="2292" w:type="dxa"/>
            <w:shd w:val="clear" w:color="auto" w:fill="auto"/>
            <w:vAlign w:val="center"/>
          </w:tcPr>
          <w:p w14:paraId="3E0F1669" w14:textId="77777777" w:rsidR="00E02F30" w:rsidRPr="00E02F30" w:rsidRDefault="00E02F30" w:rsidP="00E02F30">
            <w:pPr>
              <w:spacing w:before="60" w:after="0" w:line="276" w:lineRule="auto"/>
              <w:jc w:val="both"/>
              <w:rPr>
                <w:rFonts w:eastAsia="Times New Roman" w:cs="Arial"/>
                <w:sz w:val="20"/>
                <w:szCs w:val="20"/>
                <w:lang w:eastAsia="pl-PL"/>
              </w:rPr>
            </w:pPr>
            <w:r w:rsidRPr="00E02F30">
              <w:rPr>
                <w:rFonts w:eastAsia="Times New Roman" w:cs="Arial"/>
                <w:sz w:val="20"/>
                <w:szCs w:val="20"/>
                <w:lang w:eastAsia="pl-PL"/>
              </w:rPr>
              <w:t>W pojemniku jednostkowym</w:t>
            </w:r>
          </w:p>
        </w:tc>
        <w:tc>
          <w:tcPr>
            <w:tcW w:w="4111" w:type="dxa"/>
            <w:shd w:val="clear" w:color="auto" w:fill="auto"/>
            <w:vAlign w:val="center"/>
          </w:tcPr>
          <w:p w14:paraId="63DB806D" w14:textId="77777777" w:rsidR="00E02F30" w:rsidRPr="00E02F30" w:rsidRDefault="00E02F30" w:rsidP="00E02F30">
            <w:pPr>
              <w:spacing w:before="60" w:after="0" w:line="276" w:lineRule="auto"/>
              <w:jc w:val="both"/>
              <w:rPr>
                <w:rFonts w:eastAsia="Times New Roman" w:cs="Arial"/>
                <w:sz w:val="20"/>
                <w:szCs w:val="20"/>
                <w:lang w:eastAsia="pl-PL"/>
              </w:rPr>
            </w:pPr>
            <w:r w:rsidRPr="00E02F30">
              <w:rPr>
                <w:rFonts w:eastAsia="Times New Roman" w:cs="Arial"/>
                <w:sz w:val="20"/>
                <w:szCs w:val="20"/>
                <w:lang w:eastAsia="pl-PL"/>
              </w:rPr>
              <w:t xml:space="preserve">Ilość ścieków z produkcji żywic na </w:t>
            </w:r>
            <w:proofErr w:type="spellStart"/>
            <w:r w:rsidRPr="00E02F30">
              <w:rPr>
                <w:rFonts w:eastAsia="Times New Roman" w:cs="Arial"/>
                <w:sz w:val="20"/>
                <w:szCs w:val="20"/>
                <w:lang w:eastAsia="pl-PL"/>
              </w:rPr>
              <w:t>dicyklopentadienie</w:t>
            </w:r>
            <w:proofErr w:type="spellEnd"/>
            <w:r w:rsidRPr="00E02F30">
              <w:rPr>
                <w:rFonts w:eastAsia="Times New Roman" w:cs="Arial"/>
                <w:sz w:val="20"/>
                <w:szCs w:val="20"/>
                <w:lang w:eastAsia="pl-PL"/>
              </w:rPr>
              <w:t xml:space="preserve"> określana jest wagowo w pojemnikach jednostkowych.</w:t>
            </w:r>
          </w:p>
        </w:tc>
      </w:tr>
    </w:tbl>
    <w:p w14:paraId="40B6D445" w14:textId="77777777" w:rsidR="00E02F30" w:rsidRPr="00E02F30" w:rsidRDefault="00E02F30" w:rsidP="00E02F30">
      <w:pPr>
        <w:keepNext/>
        <w:widowControl w:val="0"/>
        <w:adjustRightInd w:val="0"/>
        <w:spacing w:after="0" w:line="276" w:lineRule="auto"/>
        <w:jc w:val="both"/>
        <w:textAlignment w:val="baseline"/>
        <w:outlineLvl w:val="2"/>
        <w:rPr>
          <w:rFonts w:eastAsia="Times New Roman" w:cs="Times New Roman"/>
          <w:b/>
          <w:szCs w:val="20"/>
          <w:lang w:eastAsia="pl-PL"/>
        </w:rPr>
      </w:pPr>
      <w:r w:rsidRPr="00E02F30">
        <w:rPr>
          <w:rFonts w:eastAsia="Calibri" w:cs="Times New Roman"/>
          <w:b/>
          <w:szCs w:val="20"/>
        </w:rPr>
        <w:t>VI.6. Monitoring zanieczyszczeń gleby, ziemi i wód podziemnych substancjami powodującymi ryzyko</w:t>
      </w:r>
      <w:r w:rsidRPr="00E02F30">
        <w:rPr>
          <w:rFonts w:eastAsia="Times New Roman" w:cs="Times New Roman"/>
          <w:b/>
          <w:szCs w:val="20"/>
          <w:lang w:eastAsia="pl-PL"/>
        </w:rPr>
        <w:t>, które mogą znajdować się na terenie zakładu, w związku z eksploatacją instalacji.</w:t>
      </w:r>
    </w:p>
    <w:p w14:paraId="40FA3A9A" w14:textId="77777777" w:rsidR="00E02F30" w:rsidRPr="00E02F30" w:rsidRDefault="00E02F30" w:rsidP="00E02F30">
      <w:pPr>
        <w:spacing w:after="0" w:line="276" w:lineRule="auto"/>
        <w:jc w:val="both"/>
        <w:rPr>
          <w:rFonts w:eastAsia="Times New Roman" w:cs="Arial"/>
          <w:b/>
          <w:szCs w:val="24"/>
          <w:lang w:val="da-DK" w:eastAsia="pl-PL"/>
        </w:rPr>
      </w:pPr>
      <w:bookmarkStart w:id="12" w:name="_Hlk164078409"/>
      <w:r w:rsidRPr="00E02F30">
        <w:rPr>
          <w:rFonts w:eastAsia="Times New Roman" w:cs="Arial"/>
          <w:b/>
          <w:szCs w:val="24"/>
          <w:lang w:val="da-DK" w:eastAsia="pl-PL"/>
        </w:rPr>
        <w:t>VI.6.1. Monitoring gleby i ziemi</w:t>
      </w:r>
    </w:p>
    <w:p w14:paraId="5AA6F01F"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val="da-DK" w:eastAsia="pl-PL"/>
        </w:rPr>
        <w:t>VI.6.1.1.</w:t>
      </w:r>
      <w:r w:rsidRPr="00E02F30">
        <w:rPr>
          <w:rFonts w:eastAsia="Times New Roman" w:cs="Arial"/>
          <w:szCs w:val="24"/>
          <w:lang w:val="da-DK" w:eastAsia="pl-PL"/>
        </w:rPr>
        <w:t xml:space="preserve"> </w:t>
      </w:r>
      <w:r w:rsidRPr="00E02F30">
        <w:rPr>
          <w:rFonts w:eastAsia="Times New Roman" w:cs="Arial"/>
          <w:szCs w:val="24"/>
          <w:lang w:eastAsia="pl-PL"/>
        </w:rPr>
        <w:t>Badania jakości gruntów na terenie instalacji wykonywane będą w strefie powierzchniowej w 3 sekcjach o numerach: nr 15, nr 19 i nr 21 w częściach obejmujących nieruchomości Spółki. Zgodnie z obowiązującą metodyką, próbka przygotowana do analizy z każdej sekcji będzie próbką uśrednioną w sposób zapewniający ich reprezentatywność.</w:t>
      </w:r>
    </w:p>
    <w:p w14:paraId="5156CEB8"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Ponadto badania wykonywane będą w jednym otworze badawczym</w:t>
      </w:r>
      <w:bookmarkStart w:id="13" w:name="_Hlk166149480"/>
      <w:r w:rsidRPr="00E02F30">
        <w:rPr>
          <w:rFonts w:eastAsia="Times New Roman" w:cs="Arial"/>
          <w:szCs w:val="24"/>
          <w:lang w:eastAsia="pl-PL"/>
        </w:rPr>
        <w:t xml:space="preserve"> o numerze PG5 o współrzędnych geograficznych: </w:t>
      </w:r>
      <w:bookmarkEnd w:id="13"/>
      <w:r w:rsidRPr="00E02F30">
        <w:rPr>
          <w:rFonts w:eastAsia="ArialMT" w:cs="Arial"/>
          <w:szCs w:val="24"/>
          <w:lang w:eastAsia="pl-PL"/>
        </w:rPr>
        <w:t>N 50°19'10.94" E 22°19'18.17"</w:t>
      </w:r>
      <w:r w:rsidRPr="00E02F30">
        <w:rPr>
          <w:rFonts w:eastAsia="Times New Roman" w:cs="Arial"/>
          <w:szCs w:val="24"/>
          <w:lang w:eastAsia="pl-PL"/>
        </w:rPr>
        <w:t>, po jednym z każdej sekcji, pobieranych z przedziału głębokości poniżej 0,25 m p.p.t. tj.:</w:t>
      </w:r>
    </w:p>
    <w:p w14:paraId="0A45538C"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- 0,5 m p.p.t. (4 próbki)</w:t>
      </w:r>
    </w:p>
    <w:p w14:paraId="20A2C826"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- 1 m p.p.t. (4 próbki).</w:t>
      </w:r>
    </w:p>
    <w:p w14:paraId="1FE52CAD" w14:textId="77777777" w:rsidR="00E02F30" w:rsidRPr="00E02F30" w:rsidRDefault="00E02F30" w:rsidP="00E02F30">
      <w:pPr>
        <w:spacing w:before="60" w:after="0" w:line="276" w:lineRule="auto"/>
        <w:jc w:val="both"/>
        <w:rPr>
          <w:rFonts w:eastAsia="Times New Roman" w:cs="Arial"/>
          <w:szCs w:val="24"/>
          <w:lang w:eastAsia="pl-PL"/>
        </w:rPr>
      </w:pPr>
      <w:r w:rsidRPr="00E02F30">
        <w:rPr>
          <w:rFonts w:eastAsia="Times New Roman" w:cs="Arial"/>
          <w:b/>
          <w:szCs w:val="24"/>
          <w:lang w:eastAsia="pl-PL"/>
        </w:rPr>
        <w:t>VI.6.1.2.</w:t>
      </w:r>
      <w:r w:rsidRPr="00E02F30">
        <w:rPr>
          <w:rFonts w:eastAsia="Times New Roman" w:cs="Arial"/>
          <w:szCs w:val="24"/>
          <w:lang w:eastAsia="pl-PL"/>
        </w:rPr>
        <w:t xml:space="preserve"> Monitoring jakości gruntów prowadzony będzie z częstotliwością </w:t>
      </w:r>
      <w:r w:rsidRPr="00E02F30">
        <w:rPr>
          <w:rFonts w:eastAsia="Times New Roman" w:cs="Arial"/>
          <w:b/>
          <w:szCs w:val="24"/>
          <w:lang w:eastAsia="pl-PL"/>
        </w:rPr>
        <w:t xml:space="preserve">1 raz na 10 lat </w:t>
      </w:r>
      <w:r w:rsidRPr="00E02F30">
        <w:rPr>
          <w:rFonts w:eastAsia="Times New Roman" w:cs="Arial"/>
          <w:szCs w:val="24"/>
          <w:lang w:val="x-none" w:eastAsia="pl-PL"/>
        </w:rPr>
        <w:t>zgodnie z zobowiązującym rozporządzeniem Ministra Środowiska sprawie sposobu prowadzenia oceny zanieczyszczenia powierzchni ziemi w zakresie</w:t>
      </w:r>
      <w:r w:rsidRPr="00E02F30">
        <w:rPr>
          <w:rFonts w:eastAsia="Times New Roman" w:cs="Arial"/>
          <w:szCs w:val="24"/>
          <w:lang w:eastAsia="pl-PL"/>
        </w:rPr>
        <w:t>:</w:t>
      </w:r>
    </w:p>
    <w:p w14:paraId="35EFBEA4" w14:textId="77777777" w:rsidR="00E02F30" w:rsidRPr="00E02F30" w:rsidRDefault="00E02F30">
      <w:pPr>
        <w:numPr>
          <w:ilvl w:val="0"/>
          <w:numId w:val="91"/>
        </w:numPr>
        <w:spacing w:before="60" w:after="0" w:line="276" w:lineRule="auto"/>
        <w:jc w:val="both"/>
        <w:rPr>
          <w:rFonts w:eastAsia="Times New Roman" w:cs="Arial"/>
          <w:szCs w:val="24"/>
          <w:lang w:eastAsia="pl-PL"/>
        </w:rPr>
      </w:pPr>
      <w:bookmarkStart w:id="14" w:name="_Hlk166150500"/>
      <w:r w:rsidRPr="00E02F30">
        <w:rPr>
          <w:rFonts w:eastAsia="Times New Roman" w:cs="Arial"/>
          <w:szCs w:val="24"/>
          <w:lang w:eastAsia="pl-PL"/>
        </w:rPr>
        <w:t>Węglowodory aromatyczne: ksylen, toulen, styren;</w:t>
      </w:r>
    </w:p>
    <w:p w14:paraId="49717298" w14:textId="77777777" w:rsidR="00E02F30" w:rsidRPr="00E02F30" w:rsidRDefault="00E02F30">
      <w:pPr>
        <w:numPr>
          <w:ilvl w:val="0"/>
          <w:numId w:val="91"/>
        </w:numPr>
        <w:spacing w:before="60" w:after="0" w:line="276" w:lineRule="auto"/>
        <w:jc w:val="both"/>
        <w:rPr>
          <w:rFonts w:eastAsia="Times New Roman" w:cs="Arial"/>
          <w:szCs w:val="24"/>
          <w:lang w:eastAsia="pl-PL"/>
        </w:rPr>
      </w:pPr>
      <w:r w:rsidRPr="00E02F30">
        <w:rPr>
          <w:rFonts w:eastAsia="Times New Roman" w:cs="Arial"/>
          <w:szCs w:val="24"/>
          <w:lang w:eastAsia="pl-PL"/>
        </w:rPr>
        <w:t>Węglowodory ropopochodne: Oleje (C12 – C35), Benzyny (C6 – C12);</w:t>
      </w:r>
    </w:p>
    <w:p w14:paraId="204602F8" w14:textId="77777777" w:rsidR="00E02F30" w:rsidRPr="00E02F30" w:rsidRDefault="00E02F30">
      <w:pPr>
        <w:numPr>
          <w:ilvl w:val="0"/>
          <w:numId w:val="91"/>
        </w:numPr>
        <w:spacing w:before="60" w:after="0" w:line="276" w:lineRule="auto"/>
        <w:jc w:val="both"/>
        <w:rPr>
          <w:rFonts w:eastAsia="Times New Roman" w:cs="Arial"/>
          <w:szCs w:val="24"/>
          <w:lang w:eastAsia="pl-PL"/>
        </w:rPr>
      </w:pPr>
      <w:r w:rsidRPr="00E02F30">
        <w:rPr>
          <w:rFonts w:eastAsia="Times New Roman" w:cs="Arial"/>
          <w:szCs w:val="24"/>
          <w:lang w:eastAsia="pl-PL"/>
        </w:rPr>
        <w:t>Metale ciężkie (As, Ba, Cr, Sn, Zn, Cd, Co, Cu, Mo, Ni, Pb, Hg);</w:t>
      </w:r>
    </w:p>
    <w:p w14:paraId="38EC9E17" w14:textId="77777777" w:rsidR="00E02F30" w:rsidRPr="00E02F30" w:rsidRDefault="00E02F30">
      <w:pPr>
        <w:numPr>
          <w:ilvl w:val="0"/>
          <w:numId w:val="91"/>
        </w:numPr>
        <w:spacing w:before="60" w:after="0" w:line="276" w:lineRule="auto"/>
        <w:jc w:val="both"/>
        <w:rPr>
          <w:rFonts w:eastAsia="Times New Roman" w:cs="Arial"/>
          <w:szCs w:val="24"/>
          <w:lang w:eastAsia="pl-PL"/>
        </w:rPr>
      </w:pPr>
      <w:r w:rsidRPr="00E02F30">
        <w:rPr>
          <w:rFonts w:eastAsia="Times New Roman" w:cs="Arial"/>
          <w:szCs w:val="24"/>
          <w:lang w:eastAsia="pl-PL"/>
        </w:rPr>
        <w:t xml:space="preserve">Glikole: glikol </w:t>
      </w:r>
      <w:proofErr w:type="spellStart"/>
      <w:r w:rsidRPr="00E02F30">
        <w:rPr>
          <w:rFonts w:eastAsia="Times New Roman" w:cs="Arial"/>
          <w:szCs w:val="24"/>
          <w:lang w:eastAsia="pl-PL"/>
        </w:rPr>
        <w:t>dietylenowy</w:t>
      </w:r>
      <w:proofErr w:type="spellEnd"/>
      <w:r w:rsidRPr="00E02F30">
        <w:rPr>
          <w:rFonts w:eastAsia="Times New Roman" w:cs="Arial"/>
          <w:szCs w:val="24"/>
          <w:lang w:eastAsia="pl-PL"/>
        </w:rPr>
        <w:t xml:space="preserve">, glikol propylenowy; glikol etylenowy, glikol </w:t>
      </w:r>
      <w:proofErr w:type="spellStart"/>
      <w:r w:rsidRPr="00E02F30">
        <w:rPr>
          <w:rFonts w:eastAsia="Times New Roman" w:cs="Arial"/>
          <w:szCs w:val="24"/>
          <w:lang w:eastAsia="pl-PL"/>
        </w:rPr>
        <w:t>neopentylowy</w:t>
      </w:r>
      <w:proofErr w:type="spellEnd"/>
      <w:r w:rsidRPr="00E02F30">
        <w:rPr>
          <w:rFonts w:eastAsia="Times New Roman" w:cs="Arial"/>
          <w:szCs w:val="24"/>
          <w:lang w:eastAsia="pl-PL"/>
        </w:rPr>
        <w:t xml:space="preserve">, glikol </w:t>
      </w:r>
      <w:proofErr w:type="spellStart"/>
      <w:r w:rsidRPr="00E02F30">
        <w:rPr>
          <w:rFonts w:eastAsia="Times New Roman" w:cs="Arial"/>
          <w:szCs w:val="24"/>
          <w:lang w:eastAsia="pl-PL"/>
        </w:rPr>
        <w:t>MPdiol</w:t>
      </w:r>
      <w:proofErr w:type="spellEnd"/>
      <w:r w:rsidRPr="00E02F30">
        <w:rPr>
          <w:rFonts w:eastAsia="Times New Roman" w:cs="Arial"/>
          <w:szCs w:val="24"/>
          <w:lang w:eastAsia="pl-PL"/>
        </w:rPr>
        <w:t>;</w:t>
      </w:r>
    </w:p>
    <w:p w14:paraId="6879A275" w14:textId="77777777" w:rsidR="00E02F30" w:rsidRPr="00E02F30" w:rsidRDefault="00E02F30">
      <w:pPr>
        <w:numPr>
          <w:ilvl w:val="0"/>
          <w:numId w:val="91"/>
        </w:numPr>
        <w:spacing w:before="60" w:after="0" w:line="276" w:lineRule="auto"/>
        <w:jc w:val="both"/>
        <w:rPr>
          <w:rFonts w:eastAsia="Times New Roman" w:cs="Arial"/>
          <w:szCs w:val="24"/>
          <w:lang w:eastAsia="pl-PL"/>
        </w:rPr>
      </w:pPr>
      <w:r w:rsidRPr="00E02F30">
        <w:rPr>
          <w:rFonts w:eastAsia="Times New Roman" w:cs="Arial"/>
          <w:szCs w:val="24"/>
          <w:lang w:eastAsia="pl-PL"/>
        </w:rPr>
        <w:t xml:space="preserve">Inne substancje: Bezwodnik kwasu maleinowego; Bezwodnik ftalowy, Bezwodnik </w:t>
      </w:r>
      <w:proofErr w:type="spellStart"/>
      <w:r w:rsidRPr="00E02F30">
        <w:rPr>
          <w:rFonts w:eastAsia="Times New Roman" w:cs="Arial"/>
          <w:szCs w:val="24"/>
          <w:lang w:eastAsia="pl-PL"/>
        </w:rPr>
        <w:t>tereftalowy</w:t>
      </w:r>
      <w:proofErr w:type="spellEnd"/>
      <w:r w:rsidRPr="00E02F30">
        <w:rPr>
          <w:rFonts w:eastAsia="Times New Roman" w:cs="Arial"/>
          <w:szCs w:val="24"/>
          <w:lang w:eastAsia="pl-PL"/>
        </w:rPr>
        <w:t xml:space="preserve">, Alkohol dwuacetonowy, Aceton, Kwas octowy, . krezoli, Epichlorohydryna, </w:t>
      </w:r>
      <w:proofErr w:type="spellStart"/>
      <w:r w:rsidRPr="00E02F30">
        <w:rPr>
          <w:rFonts w:eastAsia="Times New Roman" w:cs="Arial"/>
          <w:szCs w:val="24"/>
          <w:lang w:eastAsia="pl-PL"/>
        </w:rPr>
        <w:t>Izopropanol</w:t>
      </w:r>
      <w:proofErr w:type="spellEnd"/>
      <w:r w:rsidRPr="00E02F30">
        <w:rPr>
          <w:rFonts w:eastAsia="Times New Roman" w:cs="Arial"/>
          <w:szCs w:val="24"/>
          <w:lang w:eastAsia="pl-PL"/>
        </w:rPr>
        <w:t xml:space="preserve">, Indeks fenolowy, Fenol, Formaldehyd, </w:t>
      </w:r>
      <w:proofErr w:type="spellStart"/>
      <w:r w:rsidRPr="00E02F30">
        <w:rPr>
          <w:rFonts w:eastAsia="Times New Roman" w:cs="Arial"/>
          <w:szCs w:val="24"/>
          <w:lang w:eastAsia="pl-PL"/>
        </w:rPr>
        <w:t>Dicyklopentadien</w:t>
      </w:r>
      <w:proofErr w:type="spellEnd"/>
      <w:r w:rsidRPr="00E02F30">
        <w:rPr>
          <w:rFonts w:eastAsia="Times New Roman" w:cs="Arial"/>
          <w:szCs w:val="24"/>
          <w:lang w:eastAsia="pl-PL"/>
        </w:rPr>
        <w:t>, Chlorki;</w:t>
      </w:r>
    </w:p>
    <w:p w14:paraId="1D5A54FF" w14:textId="77777777" w:rsidR="00E02F30" w:rsidRPr="00E02F30" w:rsidRDefault="00E02F30">
      <w:pPr>
        <w:numPr>
          <w:ilvl w:val="0"/>
          <w:numId w:val="91"/>
        </w:numPr>
        <w:spacing w:before="60" w:after="0" w:line="276" w:lineRule="auto"/>
        <w:jc w:val="both"/>
        <w:rPr>
          <w:rFonts w:eastAsia="Times New Roman" w:cs="Arial"/>
          <w:szCs w:val="24"/>
          <w:lang w:eastAsia="pl-PL"/>
        </w:rPr>
      </w:pPr>
      <w:r w:rsidRPr="00E02F30">
        <w:rPr>
          <w:rFonts w:eastAsia="Times New Roman" w:cs="Arial"/>
          <w:szCs w:val="24"/>
          <w:lang w:eastAsia="pl-PL"/>
        </w:rPr>
        <w:t xml:space="preserve">Parametry </w:t>
      </w:r>
      <w:proofErr w:type="spellStart"/>
      <w:r w:rsidRPr="00E02F30">
        <w:rPr>
          <w:rFonts w:eastAsia="Times New Roman" w:cs="Arial"/>
          <w:szCs w:val="24"/>
          <w:lang w:eastAsia="pl-PL"/>
        </w:rPr>
        <w:t>fizochemiczne</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CHZTCr</w:t>
      </w:r>
      <w:proofErr w:type="spellEnd"/>
      <w:r w:rsidRPr="00E02F30">
        <w:rPr>
          <w:rFonts w:eastAsia="Times New Roman" w:cs="Arial"/>
          <w:szCs w:val="24"/>
          <w:lang w:eastAsia="pl-PL"/>
        </w:rPr>
        <w:t xml:space="preserve">, Utlenialność, Przewodność, </w:t>
      </w:r>
      <w:proofErr w:type="spellStart"/>
      <w:r w:rsidRPr="00E02F30">
        <w:rPr>
          <w:rFonts w:eastAsia="Times New Roman" w:cs="Arial"/>
          <w:szCs w:val="24"/>
          <w:lang w:eastAsia="pl-PL"/>
        </w:rPr>
        <w:t>pH</w:t>
      </w:r>
      <w:proofErr w:type="spellEnd"/>
      <w:r w:rsidRPr="00E02F30">
        <w:rPr>
          <w:rFonts w:eastAsia="Times New Roman" w:cs="Arial"/>
          <w:szCs w:val="24"/>
          <w:lang w:eastAsia="pl-PL"/>
        </w:rPr>
        <w:t>.</w:t>
      </w:r>
    </w:p>
    <w:bookmarkEnd w:id="14"/>
    <w:p w14:paraId="2D7B8318" w14:textId="77777777" w:rsidR="00E02F30" w:rsidRPr="00E02F30" w:rsidRDefault="00E02F30" w:rsidP="00E02F30">
      <w:pPr>
        <w:spacing w:before="60" w:after="0" w:line="276" w:lineRule="auto"/>
        <w:jc w:val="both"/>
        <w:rPr>
          <w:rFonts w:eastAsia="Times New Roman" w:cs="Arial"/>
          <w:szCs w:val="24"/>
          <w:lang w:eastAsia="pl-PL"/>
        </w:rPr>
      </w:pPr>
      <w:r w:rsidRPr="00E02F30">
        <w:rPr>
          <w:rFonts w:eastAsia="Times New Roman" w:cs="Arial"/>
          <w:b/>
          <w:szCs w:val="24"/>
          <w:lang w:eastAsia="pl-PL"/>
        </w:rPr>
        <w:t>VI.6.1.3.</w:t>
      </w:r>
      <w:r w:rsidRPr="00E02F30">
        <w:rPr>
          <w:rFonts w:eastAsia="Times New Roman" w:cs="Arial"/>
          <w:szCs w:val="24"/>
          <w:lang w:eastAsia="pl-PL"/>
        </w:rPr>
        <w:t xml:space="preserve"> Pobory prób do badań oraz badania jakości gleby i ziemi wykonane będą przez laboratoria akredytowane, zgodnie z zapisami obowiązujących przepisów szczegółowych w zakresie oceny zanieczyszczenia powierzchni ziemi </w:t>
      </w:r>
      <w:r w:rsidRPr="00E02F30">
        <w:rPr>
          <w:rFonts w:eastAsia="Times New Roman" w:cs="Arial"/>
          <w:szCs w:val="24"/>
          <w:lang w:eastAsia="pl-PL"/>
        </w:rPr>
        <w:br/>
        <w:t>i obowiązującymi metodykami.</w:t>
      </w:r>
    </w:p>
    <w:p w14:paraId="7660FBFE" w14:textId="77777777" w:rsidR="00E02F30" w:rsidRPr="00E02F30" w:rsidRDefault="00E02F30" w:rsidP="00E02F30">
      <w:pPr>
        <w:spacing w:before="60" w:after="0" w:line="276" w:lineRule="auto"/>
        <w:jc w:val="both"/>
        <w:rPr>
          <w:rFonts w:eastAsia="Times New Roman" w:cs="Arial"/>
          <w:szCs w:val="24"/>
          <w:lang w:eastAsia="pl-PL"/>
        </w:rPr>
      </w:pPr>
      <w:bookmarkStart w:id="15" w:name="_Hlk164079073"/>
      <w:bookmarkEnd w:id="12"/>
      <w:r w:rsidRPr="00E02F30">
        <w:rPr>
          <w:rFonts w:eastAsia="Times New Roman" w:cs="Arial"/>
          <w:b/>
          <w:bCs/>
          <w:szCs w:val="24"/>
          <w:lang w:eastAsia="pl-PL"/>
        </w:rPr>
        <w:t>VI.6.1.4.</w:t>
      </w:r>
      <w:r w:rsidRPr="00E02F30">
        <w:rPr>
          <w:rFonts w:eastAsia="Times New Roman" w:cs="Arial"/>
          <w:szCs w:val="24"/>
          <w:lang w:eastAsia="pl-PL"/>
        </w:rPr>
        <w:t xml:space="preserve"> Prowadzący instalację dokona kontrolnego badania gleby na każde żądanie organu ochrony środowiska.</w:t>
      </w:r>
    </w:p>
    <w:p w14:paraId="01B03C08"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 xml:space="preserve">VI.6.1.5. </w:t>
      </w:r>
      <w:r w:rsidRPr="00E02F30">
        <w:rPr>
          <w:rFonts w:eastAsia="Times New Roman" w:cs="Arial"/>
          <w:szCs w:val="24"/>
          <w:lang w:eastAsia="pl-PL"/>
        </w:rPr>
        <w:t>Badanie wskaźników jakości gleby należy wykonywać zgodnie z metodyką referencyjną wskazaną w obowiązującym przepisie szczególnym.</w:t>
      </w:r>
    </w:p>
    <w:p w14:paraId="60FBC304"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szCs w:val="24"/>
          <w:lang w:eastAsia="pl-PL"/>
        </w:rPr>
        <w:t>VI.6.1.6.</w:t>
      </w:r>
      <w:r w:rsidRPr="00E02F30">
        <w:rPr>
          <w:rFonts w:eastAsia="Times New Roman" w:cs="Arial"/>
          <w:szCs w:val="24"/>
          <w:lang w:eastAsia="pl-PL"/>
        </w:rPr>
        <w:t xml:space="preserve"> Prowadzący instalację będzie rejestrował i przechowywał wyniki analiz gleby w „Rejestrze monitoringu instalacji ....” oraz okazywał do wglądu na każde żądanie organu ochrony środowiska. W terminie do końca I kwartału 2035 roku prowadzący instalację przekaże do Podkarpackiego Wojewódzkiego Inspektora Ochrony Środowiska wyniki monitoringu w formie „Raportu z monitoringu instalacji za lata 2024 – 2034”. Raport z monitoringu powinien zawierać: zbiorcze zestawienie wyników analiz ( wskaźnik, metodyka, tło, data, wynik ), ocenę stanu jakościowego gleby w porównaniu do ustalonego stanu pierwotnego tła hydrogeochemicznego, ocenę trendu przemian chemizmu gleby poziomu tła i zmian wartości dopuszczalnej wskaźnika), prezentację wyników zgodną z wymogami stawianymi w aktualnie obowiązujących przepisach szczególnych, wnioski oraz zalecenia dla celowości dalszego prowadzenia monitoringu gleby / zakresu jego zmian /  jego zakończenia  wraz z uzasadnieniem. Raport ten należy analogicznie przedkładać kolejno co 10 lat do czasu obowiązywania pozwolenia.</w:t>
      </w:r>
      <w:bookmarkEnd w:id="15"/>
    </w:p>
    <w:p w14:paraId="35754E91" w14:textId="77777777" w:rsidR="00E02F30" w:rsidRPr="00E02F30" w:rsidRDefault="00E02F30" w:rsidP="00E02F30">
      <w:pPr>
        <w:spacing w:after="0" w:line="276" w:lineRule="auto"/>
        <w:jc w:val="both"/>
        <w:rPr>
          <w:rFonts w:eastAsia="Times New Roman" w:cs="Arial"/>
          <w:szCs w:val="24"/>
          <w:lang w:val="da-DK" w:eastAsia="it-IT"/>
        </w:rPr>
      </w:pPr>
      <w:r w:rsidRPr="00E02F30">
        <w:rPr>
          <w:rFonts w:eastAsia="Times New Roman" w:cs="Arial"/>
          <w:b/>
          <w:szCs w:val="24"/>
          <w:lang w:val="da-DK" w:eastAsia="pl-PL"/>
        </w:rPr>
        <w:t xml:space="preserve">VI.6.2. Monitoring </w:t>
      </w:r>
      <w:r w:rsidRPr="00E02F30">
        <w:rPr>
          <w:rFonts w:eastAsia="Times New Roman" w:cs="Arial"/>
          <w:b/>
          <w:szCs w:val="24"/>
          <w:lang w:val="da-DK" w:eastAsia="it-IT"/>
        </w:rPr>
        <w:t>wód gruntowych</w:t>
      </w:r>
    </w:p>
    <w:p w14:paraId="7053E08C"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val="da-DK" w:eastAsia="pl-PL"/>
        </w:rPr>
        <w:t>VI.6.2.1.</w:t>
      </w:r>
      <w:r w:rsidRPr="00E02F30">
        <w:rPr>
          <w:rFonts w:eastAsia="Times New Roman" w:cs="Arial"/>
          <w:szCs w:val="24"/>
          <w:lang w:val="da-DK" w:eastAsia="pl-PL"/>
        </w:rPr>
        <w:t xml:space="preserve"> </w:t>
      </w:r>
      <w:r w:rsidRPr="00E02F30">
        <w:rPr>
          <w:rFonts w:eastAsia="Times New Roman" w:cs="Arial"/>
          <w:szCs w:val="24"/>
          <w:lang w:eastAsia="pl-PL"/>
        </w:rPr>
        <w:t>Prowadzony będzie monitoring wpływu instalacji na jakość wód gruntowych na terenie zakładu.</w:t>
      </w:r>
    </w:p>
    <w:p w14:paraId="5CDA4CD3"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 xml:space="preserve">VI.6.2.2. </w:t>
      </w:r>
      <w:r w:rsidRPr="00E02F30">
        <w:rPr>
          <w:rFonts w:eastAsia="Times New Roman" w:cs="Arial"/>
          <w:szCs w:val="24"/>
          <w:lang w:eastAsia="pl-PL"/>
        </w:rPr>
        <w:t xml:space="preserve">Monitoring prowadzony będzie z wykorzystaniem reprezentatywnych dla tych instalacji piezometrów i otworów sozologicznych w istniejącej sieci. </w:t>
      </w:r>
    </w:p>
    <w:p w14:paraId="3DC21F22" w14:textId="77777777" w:rsidR="00E02F30" w:rsidRPr="00E02F30" w:rsidRDefault="00E02F30" w:rsidP="00E02F30">
      <w:pPr>
        <w:spacing w:after="0" w:line="276" w:lineRule="auto"/>
        <w:jc w:val="both"/>
        <w:rPr>
          <w:rFonts w:eastAsia="Times New Roman" w:cs="Arial"/>
          <w:b/>
          <w:szCs w:val="24"/>
          <w:lang w:eastAsia="pl-PL"/>
        </w:rPr>
      </w:pPr>
      <w:r w:rsidRPr="00E02F30">
        <w:rPr>
          <w:rFonts w:eastAsia="Times New Roman" w:cs="Arial"/>
          <w:b/>
          <w:bCs/>
          <w:szCs w:val="24"/>
          <w:lang w:eastAsia="pl-PL"/>
        </w:rPr>
        <w:t>VI.6.2.3.</w:t>
      </w:r>
      <w:r w:rsidRPr="00E02F30">
        <w:rPr>
          <w:rFonts w:eastAsia="Times New Roman" w:cs="Arial"/>
          <w:szCs w:val="24"/>
          <w:lang w:eastAsia="pl-PL"/>
        </w:rPr>
        <w:t xml:space="preserve"> Sposób prowadzenia monitoringu wpływu instalacji na wody podziemne:</w:t>
      </w:r>
    </w:p>
    <w:p w14:paraId="5B312514"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u w:val="single"/>
          <w:lang w:eastAsia="pl-PL"/>
        </w:rPr>
        <w:t>Punkty pomiarowe dla monitorowania  jakości wód podziemnych</w:t>
      </w:r>
      <w:r w:rsidRPr="00E02F30">
        <w:rPr>
          <w:rFonts w:eastAsia="Times New Roman" w:cs="Arial"/>
          <w:szCs w:val="24"/>
          <w:lang w:eastAsia="pl-PL"/>
        </w:rPr>
        <w:t xml:space="preserve">: </w:t>
      </w:r>
    </w:p>
    <w:p w14:paraId="07686648" w14:textId="77777777" w:rsidR="00E02F30" w:rsidRPr="00E02F30" w:rsidRDefault="00E02F30">
      <w:pPr>
        <w:numPr>
          <w:ilvl w:val="0"/>
          <w:numId w:val="44"/>
        </w:numPr>
        <w:spacing w:after="0" w:line="276" w:lineRule="auto"/>
        <w:jc w:val="both"/>
        <w:rPr>
          <w:rFonts w:eastAsia="Times New Roman" w:cs="Arial"/>
          <w:szCs w:val="24"/>
          <w:lang w:eastAsia="pl-PL"/>
        </w:rPr>
      </w:pPr>
      <w:r w:rsidRPr="00E02F30">
        <w:rPr>
          <w:rFonts w:eastAsia="Times New Roman" w:cs="Arial"/>
          <w:szCs w:val="24"/>
          <w:lang w:eastAsia="pl-PL"/>
        </w:rPr>
        <w:t>piezometr nr: P-48ab</w:t>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t>( na napływie tych wód ),</w:t>
      </w:r>
    </w:p>
    <w:p w14:paraId="4B288EDB" w14:textId="77777777" w:rsidR="00E02F30" w:rsidRPr="00E02F30" w:rsidRDefault="00E02F30">
      <w:pPr>
        <w:numPr>
          <w:ilvl w:val="0"/>
          <w:numId w:val="44"/>
        </w:numPr>
        <w:spacing w:after="0" w:line="276" w:lineRule="auto"/>
        <w:jc w:val="both"/>
        <w:rPr>
          <w:rFonts w:eastAsia="Times New Roman" w:cs="Arial"/>
          <w:szCs w:val="24"/>
          <w:lang w:eastAsia="pl-PL"/>
        </w:rPr>
      </w:pPr>
      <w:r w:rsidRPr="00E02F30">
        <w:rPr>
          <w:rFonts w:eastAsia="Times New Roman" w:cs="Arial"/>
          <w:szCs w:val="24"/>
          <w:lang w:eastAsia="pl-PL"/>
        </w:rPr>
        <w:t>otwory sozologiczne nr: SO7 i SO8</w:t>
      </w:r>
      <w:r w:rsidRPr="00E02F30">
        <w:rPr>
          <w:rFonts w:eastAsia="Times New Roman" w:cs="Arial"/>
          <w:szCs w:val="24"/>
          <w:lang w:eastAsia="pl-PL"/>
        </w:rPr>
        <w:tab/>
      </w:r>
      <w:r w:rsidRPr="00E02F30">
        <w:rPr>
          <w:rFonts w:eastAsia="Times New Roman" w:cs="Arial"/>
          <w:szCs w:val="24"/>
          <w:lang w:eastAsia="pl-PL"/>
        </w:rPr>
        <w:tab/>
      </w:r>
      <w:r w:rsidRPr="00E02F30">
        <w:rPr>
          <w:rFonts w:eastAsia="Times New Roman" w:cs="Arial"/>
          <w:szCs w:val="24"/>
          <w:lang w:eastAsia="pl-PL"/>
        </w:rPr>
        <w:tab/>
        <w:t>( na odpływie tych wód ).</w:t>
      </w:r>
    </w:p>
    <w:p w14:paraId="6DFD31F6"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u w:val="single"/>
          <w:lang w:eastAsia="pl-PL"/>
        </w:rPr>
        <w:t>Badania wskaźników jakości wody</w:t>
      </w:r>
      <w:r w:rsidRPr="00E02F30">
        <w:rPr>
          <w:rFonts w:eastAsia="Times New Roman" w:cs="Arial"/>
          <w:szCs w:val="24"/>
          <w:lang w:eastAsia="pl-PL"/>
        </w:rPr>
        <w:t xml:space="preserve"> wykonywane będą z częstotliwością </w:t>
      </w:r>
      <w:r w:rsidRPr="00E02F30">
        <w:rPr>
          <w:rFonts w:eastAsia="Times New Roman" w:cs="Arial"/>
          <w:b/>
          <w:bCs/>
          <w:szCs w:val="24"/>
          <w:lang w:eastAsia="pl-PL"/>
        </w:rPr>
        <w:t xml:space="preserve">1 raz na </w:t>
      </w:r>
      <w:r w:rsidRPr="00E02F30">
        <w:rPr>
          <w:rFonts w:eastAsia="Times New Roman" w:cs="Arial"/>
          <w:b/>
          <w:bCs/>
          <w:szCs w:val="24"/>
          <w:u w:val="single"/>
          <w:lang w:eastAsia="pl-PL"/>
        </w:rPr>
        <w:t>5 lat w zakresie:</w:t>
      </w:r>
    </w:p>
    <w:p w14:paraId="2572925F" w14:textId="77777777" w:rsidR="00E02F30" w:rsidRPr="00E02F30" w:rsidRDefault="00E02F30">
      <w:pPr>
        <w:numPr>
          <w:ilvl w:val="0"/>
          <w:numId w:val="91"/>
        </w:numPr>
        <w:spacing w:before="60" w:after="0" w:line="276" w:lineRule="auto"/>
        <w:ind w:left="426" w:hanging="426"/>
        <w:jc w:val="both"/>
        <w:rPr>
          <w:rFonts w:eastAsia="Times New Roman" w:cs="Arial"/>
          <w:szCs w:val="24"/>
          <w:lang w:eastAsia="pl-PL"/>
        </w:rPr>
      </w:pPr>
      <w:r w:rsidRPr="00E02F30">
        <w:rPr>
          <w:rFonts w:eastAsia="Times New Roman" w:cs="Arial"/>
          <w:szCs w:val="24"/>
          <w:lang w:eastAsia="pl-PL"/>
        </w:rPr>
        <w:t>Węglowodory aromatyczne: ksylen, toulen, styren;</w:t>
      </w:r>
    </w:p>
    <w:p w14:paraId="3765FE7C" w14:textId="77777777" w:rsidR="00E02F30" w:rsidRPr="00E02F30" w:rsidRDefault="00E02F30">
      <w:pPr>
        <w:numPr>
          <w:ilvl w:val="0"/>
          <w:numId w:val="91"/>
        </w:numPr>
        <w:spacing w:before="60" w:after="0" w:line="276" w:lineRule="auto"/>
        <w:ind w:left="426" w:hanging="426"/>
        <w:jc w:val="both"/>
        <w:rPr>
          <w:rFonts w:eastAsia="Times New Roman" w:cs="Arial"/>
          <w:szCs w:val="24"/>
          <w:lang w:eastAsia="pl-PL"/>
        </w:rPr>
      </w:pPr>
      <w:r w:rsidRPr="00E02F30">
        <w:rPr>
          <w:rFonts w:eastAsia="Times New Roman" w:cs="Arial"/>
          <w:szCs w:val="24"/>
          <w:lang w:eastAsia="pl-PL"/>
        </w:rPr>
        <w:t>Węglowodory ropopochodne: Oleje (C12 – C35), Benzyny (C6 – C12);</w:t>
      </w:r>
    </w:p>
    <w:p w14:paraId="5EE0A8D2" w14:textId="77777777" w:rsidR="00E02F30" w:rsidRPr="00E02F30" w:rsidRDefault="00E02F30">
      <w:pPr>
        <w:numPr>
          <w:ilvl w:val="0"/>
          <w:numId w:val="91"/>
        </w:numPr>
        <w:spacing w:before="60" w:after="0" w:line="276" w:lineRule="auto"/>
        <w:ind w:left="426" w:hanging="426"/>
        <w:jc w:val="both"/>
        <w:rPr>
          <w:rFonts w:eastAsia="Times New Roman" w:cs="Arial"/>
          <w:szCs w:val="24"/>
          <w:lang w:eastAsia="pl-PL"/>
        </w:rPr>
      </w:pPr>
      <w:r w:rsidRPr="00E02F30">
        <w:rPr>
          <w:rFonts w:eastAsia="Times New Roman" w:cs="Arial"/>
          <w:szCs w:val="24"/>
          <w:lang w:eastAsia="pl-PL"/>
        </w:rPr>
        <w:t>Metale ciężkie (As, Ba, Cr, Sn, Zn, Cd, Co, Cu, Mo, Ni, Pb, Hg);</w:t>
      </w:r>
    </w:p>
    <w:p w14:paraId="6BB96EF5" w14:textId="77777777" w:rsidR="00E02F30" w:rsidRPr="00E02F30" w:rsidRDefault="00E02F30">
      <w:pPr>
        <w:numPr>
          <w:ilvl w:val="0"/>
          <w:numId w:val="91"/>
        </w:numPr>
        <w:spacing w:before="60" w:after="0" w:line="276" w:lineRule="auto"/>
        <w:ind w:left="426" w:hanging="426"/>
        <w:jc w:val="both"/>
        <w:rPr>
          <w:rFonts w:eastAsia="Times New Roman" w:cs="Arial"/>
          <w:szCs w:val="24"/>
          <w:lang w:eastAsia="pl-PL"/>
        </w:rPr>
      </w:pPr>
      <w:r w:rsidRPr="00E02F30">
        <w:rPr>
          <w:rFonts w:eastAsia="Times New Roman" w:cs="Arial"/>
          <w:szCs w:val="24"/>
          <w:lang w:eastAsia="pl-PL"/>
        </w:rPr>
        <w:t xml:space="preserve">Glikole: glikol </w:t>
      </w:r>
      <w:proofErr w:type="spellStart"/>
      <w:r w:rsidRPr="00E02F30">
        <w:rPr>
          <w:rFonts w:eastAsia="Times New Roman" w:cs="Arial"/>
          <w:szCs w:val="24"/>
          <w:lang w:eastAsia="pl-PL"/>
        </w:rPr>
        <w:t>dietylenowy</w:t>
      </w:r>
      <w:proofErr w:type="spellEnd"/>
      <w:r w:rsidRPr="00E02F30">
        <w:rPr>
          <w:rFonts w:eastAsia="Times New Roman" w:cs="Arial"/>
          <w:szCs w:val="24"/>
          <w:lang w:eastAsia="pl-PL"/>
        </w:rPr>
        <w:t xml:space="preserve">, glikol propylenowy; glikol etylenowy, glikol </w:t>
      </w:r>
      <w:proofErr w:type="spellStart"/>
      <w:r w:rsidRPr="00E02F30">
        <w:rPr>
          <w:rFonts w:eastAsia="Times New Roman" w:cs="Arial"/>
          <w:szCs w:val="24"/>
          <w:lang w:eastAsia="pl-PL"/>
        </w:rPr>
        <w:t>neopentylowy</w:t>
      </w:r>
      <w:proofErr w:type="spellEnd"/>
      <w:r w:rsidRPr="00E02F30">
        <w:rPr>
          <w:rFonts w:eastAsia="Times New Roman" w:cs="Arial"/>
          <w:szCs w:val="24"/>
          <w:lang w:eastAsia="pl-PL"/>
        </w:rPr>
        <w:t xml:space="preserve">, glikol </w:t>
      </w:r>
      <w:proofErr w:type="spellStart"/>
      <w:r w:rsidRPr="00E02F30">
        <w:rPr>
          <w:rFonts w:eastAsia="Times New Roman" w:cs="Arial"/>
          <w:szCs w:val="24"/>
          <w:lang w:eastAsia="pl-PL"/>
        </w:rPr>
        <w:t>MPdiol</w:t>
      </w:r>
      <w:proofErr w:type="spellEnd"/>
      <w:r w:rsidRPr="00E02F30">
        <w:rPr>
          <w:rFonts w:eastAsia="Times New Roman" w:cs="Arial"/>
          <w:szCs w:val="24"/>
          <w:lang w:eastAsia="pl-PL"/>
        </w:rPr>
        <w:t>;</w:t>
      </w:r>
    </w:p>
    <w:p w14:paraId="43E291B5" w14:textId="77777777" w:rsidR="00E02F30" w:rsidRPr="00E02F30" w:rsidRDefault="00E02F30">
      <w:pPr>
        <w:numPr>
          <w:ilvl w:val="0"/>
          <w:numId w:val="91"/>
        </w:numPr>
        <w:spacing w:before="60" w:after="0" w:line="276" w:lineRule="auto"/>
        <w:ind w:left="426" w:hanging="426"/>
        <w:jc w:val="both"/>
        <w:rPr>
          <w:rFonts w:eastAsia="Times New Roman" w:cs="Arial"/>
          <w:szCs w:val="24"/>
          <w:lang w:eastAsia="pl-PL"/>
        </w:rPr>
      </w:pPr>
      <w:r w:rsidRPr="00E02F30">
        <w:rPr>
          <w:rFonts w:eastAsia="Times New Roman" w:cs="Arial"/>
          <w:szCs w:val="24"/>
          <w:lang w:eastAsia="pl-PL"/>
        </w:rPr>
        <w:t xml:space="preserve">Inne substancje: Bezwodnik kwasu maleinowego; Bezwodnik ftalowy, Bezwodnik </w:t>
      </w:r>
      <w:proofErr w:type="spellStart"/>
      <w:r w:rsidRPr="00E02F30">
        <w:rPr>
          <w:rFonts w:eastAsia="Times New Roman" w:cs="Arial"/>
          <w:szCs w:val="24"/>
          <w:lang w:eastAsia="pl-PL"/>
        </w:rPr>
        <w:t>tereftalowy</w:t>
      </w:r>
      <w:proofErr w:type="spellEnd"/>
      <w:r w:rsidRPr="00E02F30">
        <w:rPr>
          <w:rFonts w:eastAsia="Times New Roman" w:cs="Arial"/>
          <w:szCs w:val="24"/>
          <w:lang w:eastAsia="pl-PL"/>
        </w:rPr>
        <w:t xml:space="preserve">, Alkohol dwuacetonowy, Aceton, Kwas octowy, krezoli, Epichlorohydryna, </w:t>
      </w:r>
      <w:proofErr w:type="spellStart"/>
      <w:r w:rsidRPr="00E02F30">
        <w:rPr>
          <w:rFonts w:eastAsia="Times New Roman" w:cs="Arial"/>
          <w:szCs w:val="24"/>
          <w:lang w:eastAsia="pl-PL"/>
        </w:rPr>
        <w:t>Izopropanol</w:t>
      </w:r>
      <w:proofErr w:type="spellEnd"/>
      <w:r w:rsidRPr="00E02F30">
        <w:rPr>
          <w:rFonts w:eastAsia="Times New Roman" w:cs="Arial"/>
          <w:szCs w:val="24"/>
          <w:lang w:eastAsia="pl-PL"/>
        </w:rPr>
        <w:t xml:space="preserve">, Indeks fenolowy, Fenol, Formaldehyd, </w:t>
      </w:r>
      <w:proofErr w:type="spellStart"/>
      <w:r w:rsidRPr="00E02F30">
        <w:rPr>
          <w:rFonts w:eastAsia="Times New Roman" w:cs="Arial"/>
          <w:szCs w:val="24"/>
          <w:lang w:eastAsia="pl-PL"/>
        </w:rPr>
        <w:t>Dicyklopentadien</w:t>
      </w:r>
      <w:proofErr w:type="spellEnd"/>
      <w:r w:rsidRPr="00E02F30">
        <w:rPr>
          <w:rFonts w:eastAsia="Times New Roman" w:cs="Arial"/>
          <w:szCs w:val="24"/>
          <w:lang w:eastAsia="pl-PL"/>
        </w:rPr>
        <w:t>, Chlorki;</w:t>
      </w:r>
    </w:p>
    <w:p w14:paraId="65FCAB63" w14:textId="77777777" w:rsidR="00E02F30" w:rsidRPr="00E02F30" w:rsidRDefault="00E02F30">
      <w:pPr>
        <w:numPr>
          <w:ilvl w:val="0"/>
          <w:numId w:val="91"/>
        </w:numPr>
        <w:spacing w:before="60" w:after="0" w:line="276" w:lineRule="auto"/>
        <w:ind w:left="426" w:hanging="426"/>
        <w:jc w:val="both"/>
        <w:rPr>
          <w:rFonts w:eastAsia="Times New Roman" w:cs="Arial"/>
          <w:szCs w:val="24"/>
          <w:lang w:eastAsia="pl-PL"/>
        </w:rPr>
      </w:pPr>
      <w:r w:rsidRPr="00E02F30">
        <w:rPr>
          <w:rFonts w:eastAsia="Times New Roman" w:cs="Arial"/>
          <w:szCs w:val="24"/>
          <w:lang w:eastAsia="pl-PL"/>
        </w:rPr>
        <w:t xml:space="preserve">Parametry </w:t>
      </w:r>
      <w:proofErr w:type="spellStart"/>
      <w:r w:rsidRPr="00E02F30">
        <w:rPr>
          <w:rFonts w:eastAsia="Times New Roman" w:cs="Arial"/>
          <w:szCs w:val="24"/>
          <w:lang w:eastAsia="pl-PL"/>
        </w:rPr>
        <w:t>fizochemiczne</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CHZTCr</w:t>
      </w:r>
      <w:proofErr w:type="spellEnd"/>
      <w:r w:rsidRPr="00E02F30">
        <w:rPr>
          <w:rFonts w:eastAsia="Times New Roman" w:cs="Arial"/>
          <w:szCs w:val="24"/>
          <w:lang w:eastAsia="pl-PL"/>
        </w:rPr>
        <w:t xml:space="preserve">, Utlenialność, Przewodność, </w:t>
      </w:r>
      <w:proofErr w:type="spellStart"/>
      <w:r w:rsidRPr="00E02F30">
        <w:rPr>
          <w:rFonts w:eastAsia="Times New Roman" w:cs="Arial"/>
          <w:szCs w:val="24"/>
          <w:lang w:eastAsia="pl-PL"/>
        </w:rPr>
        <w:t>pH</w:t>
      </w:r>
      <w:proofErr w:type="spellEnd"/>
      <w:r w:rsidRPr="00E02F30">
        <w:rPr>
          <w:rFonts w:eastAsia="Times New Roman" w:cs="Arial"/>
          <w:szCs w:val="24"/>
          <w:lang w:eastAsia="pl-PL"/>
        </w:rPr>
        <w:t>.</w:t>
      </w:r>
    </w:p>
    <w:p w14:paraId="2947DE9E" w14:textId="77777777" w:rsidR="00E02F30" w:rsidRPr="00E02F30" w:rsidRDefault="00E02F30" w:rsidP="00E02F30">
      <w:pPr>
        <w:spacing w:after="0" w:line="276" w:lineRule="auto"/>
        <w:jc w:val="both"/>
        <w:rPr>
          <w:rFonts w:eastAsia="Times New Roman" w:cs="Arial"/>
          <w:szCs w:val="24"/>
          <w:lang w:eastAsia="pl-PL"/>
        </w:rPr>
      </w:pPr>
    </w:p>
    <w:p w14:paraId="45340B38"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szCs w:val="24"/>
          <w:lang w:eastAsia="pl-PL"/>
        </w:rPr>
        <w:t>VI.6.2.4.</w:t>
      </w:r>
      <w:r w:rsidRPr="00E02F30">
        <w:rPr>
          <w:rFonts w:eastAsia="Times New Roman" w:cs="Arial"/>
          <w:szCs w:val="24"/>
          <w:lang w:eastAsia="pl-PL"/>
        </w:rPr>
        <w:t xml:space="preserve"> Prowadzący instalację dokona kontrolnego badania jakości wody podziemnej na każde żądanie organu ochrony środowiska.</w:t>
      </w:r>
    </w:p>
    <w:p w14:paraId="789F498B"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szCs w:val="24"/>
          <w:lang w:eastAsia="pl-PL"/>
        </w:rPr>
        <w:t>VI.6.2.5.</w:t>
      </w:r>
      <w:r w:rsidRPr="00E02F30">
        <w:rPr>
          <w:rFonts w:eastAsia="Times New Roman" w:cs="Arial"/>
          <w:szCs w:val="24"/>
          <w:lang w:eastAsia="pl-PL"/>
        </w:rPr>
        <w:t xml:space="preserve"> Badanie wskaźników jakości wód podziemnych należy wykonywać zgodnie z metodyką referencyjną wskazaną w obowiązującym przepisie szczególnym.</w:t>
      </w:r>
    </w:p>
    <w:p w14:paraId="11D55069"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szCs w:val="24"/>
          <w:lang w:eastAsia="pl-PL"/>
        </w:rPr>
        <w:t>VI.6.2.6.</w:t>
      </w:r>
      <w:r w:rsidRPr="00E02F30">
        <w:rPr>
          <w:rFonts w:eastAsia="Times New Roman" w:cs="Arial"/>
          <w:szCs w:val="24"/>
          <w:lang w:eastAsia="pl-PL"/>
        </w:rPr>
        <w:t xml:space="preserve"> Prowadzący instalację będzie rejestrował i przechowywał wyniki analiz jakości wód podziemnych w „Rejestrze monitoringu instalacji ....” oraz okazywał do wglądu na każde żądanie organu ochrony środowiska. W terminie do końca I kwartału 2030 roku prowadzący instalację przekaże do Podkarpackiego Wojewódzkiego Inspektora Ochrony Środowiska wyniki monitoringu w formie „Raportu z monitoringu instalacji za lata 2024 – 2029”. Raport z monitoringu powinien zawierać: zbiorcze zestawienie wyników analiz ( wskaźnik, metodyka, tło, data, wynik ), ocenę stanu jakościowego wód w porównaniu do ustalonego stanu pierwotnego tła hydrogeochemicznego, ocenę trendu przemian chemizmu wód poziomu tła i zmian wartości dopuszczalnej wskaźnika, prezentację wyników zgodną z wymogami stawianymi w aktualnie obowiązujących przepisach szczególnych, wnioski oraz zalecenia dla celowości dalszego prowadzenia monitoringu / zakresu jego zmian / jego zakończenia wraz z uzasadnieniem. Raport ten należy analogicznie przedkładać kolejno co 5 lat do czasu obowiązywania pozwolenia.</w:t>
      </w:r>
    </w:p>
    <w:p w14:paraId="3F7A89D0" w14:textId="77777777" w:rsidR="00E02F30" w:rsidRPr="00E02F30" w:rsidRDefault="00E02F30" w:rsidP="00E02F30">
      <w:pPr>
        <w:keepNext/>
        <w:widowControl w:val="0"/>
        <w:adjustRightInd w:val="0"/>
        <w:spacing w:after="0" w:line="360" w:lineRule="auto"/>
        <w:textAlignment w:val="baseline"/>
        <w:outlineLvl w:val="2"/>
        <w:rPr>
          <w:rFonts w:eastAsia="Times New Roman" w:cs="Times New Roman"/>
          <w:b/>
          <w:szCs w:val="20"/>
          <w:lang w:eastAsia="pl-PL"/>
        </w:rPr>
      </w:pPr>
      <w:r w:rsidRPr="00E02F30">
        <w:rPr>
          <w:rFonts w:eastAsia="Times New Roman" w:cs="Times New Roman"/>
          <w:b/>
          <w:szCs w:val="20"/>
          <w:lang w:eastAsia="pl-PL"/>
        </w:rPr>
        <w:t xml:space="preserve">VI.7. Monitoring jakości wód powierzchniowych rzeki San </w:t>
      </w:r>
    </w:p>
    <w:p w14:paraId="5B05B6D8" w14:textId="77777777" w:rsidR="00E02F30" w:rsidRPr="00E02F30" w:rsidRDefault="00E02F30" w:rsidP="00E02F30">
      <w:pPr>
        <w:tabs>
          <w:tab w:val="left" w:pos="0"/>
        </w:tabs>
        <w:spacing w:after="0" w:line="276" w:lineRule="auto"/>
        <w:jc w:val="both"/>
        <w:rPr>
          <w:rFonts w:eastAsia="Times New Roman" w:cs="Arial"/>
          <w:szCs w:val="24"/>
          <w:lang w:eastAsia="pl-PL"/>
        </w:rPr>
      </w:pPr>
      <w:r w:rsidRPr="00E02F30">
        <w:rPr>
          <w:rFonts w:eastAsia="Times New Roman" w:cs="Arial"/>
          <w:szCs w:val="24"/>
          <w:lang w:eastAsia="pl-PL"/>
        </w:rPr>
        <w:t xml:space="preserve">Monitoring jakości wód powierzchniowych rzeki San prowadzony będzie w dwóch punktach: </w:t>
      </w:r>
    </w:p>
    <w:p w14:paraId="054464D9" w14:textId="77777777" w:rsidR="00E02F30" w:rsidRPr="00E02F30" w:rsidRDefault="00E02F30" w:rsidP="00E02F30">
      <w:pPr>
        <w:tabs>
          <w:tab w:val="left" w:pos="720"/>
        </w:tabs>
        <w:spacing w:after="0" w:line="276" w:lineRule="auto"/>
        <w:jc w:val="both"/>
        <w:rPr>
          <w:rFonts w:eastAsia="Times New Roman" w:cs="Arial"/>
          <w:szCs w:val="24"/>
          <w:lang w:eastAsia="pl-PL"/>
        </w:rPr>
      </w:pPr>
      <w:r w:rsidRPr="00E02F30">
        <w:rPr>
          <w:rFonts w:eastAsia="Times New Roman" w:cs="Arial"/>
          <w:szCs w:val="24"/>
          <w:lang w:eastAsia="pl-PL"/>
        </w:rPr>
        <w:t>W -1- około 100-150 m poniżej ujścia rzeki Trzebośnica,</w:t>
      </w:r>
    </w:p>
    <w:p w14:paraId="2BDD8D49" w14:textId="77777777" w:rsidR="00E02F30" w:rsidRPr="00E02F30" w:rsidRDefault="00E02F30" w:rsidP="00E02F30">
      <w:pPr>
        <w:tabs>
          <w:tab w:val="left" w:pos="720"/>
        </w:tabs>
        <w:spacing w:after="0" w:line="276" w:lineRule="auto"/>
        <w:jc w:val="both"/>
        <w:rPr>
          <w:rFonts w:eastAsia="Times New Roman" w:cs="Arial"/>
          <w:szCs w:val="24"/>
          <w:lang w:eastAsia="pl-PL"/>
        </w:rPr>
      </w:pPr>
      <w:r w:rsidRPr="00E02F30">
        <w:rPr>
          <w:rFonts w:eastAsia="Times New Roman" w:cs="Arial"/>
          <w:szCs w:val="24"/>
          <w:lang w:eastAsia="pl-PL"/>
        </w:rPr>
        <w:t>W -2- około 1000-1500 m poniżej ujścia rzeki Trzebośnica, we wskaźnikach:</w:t>
      </w:r>
    </w:p>
    <w:p w14:paraId="6D81E2B0" w14:textId="77777777" w:rsidR="00E02F30" w:rsidRPr="00E02F30" w:rsidRDefault="00E02F30" w:rsidP="00E02F30">
      <w:pPr>
        <w:keepNext/>
        <w:widowControl w:val="0"/>
        <w:adjustRightInd w:val="0"/>
        <w:spacing w:after="0" w:line="360" w:lineRule="auto"/>
        <w:textAlignment w:val="baseline"/>
        <w:outlineLvl w:val="4"/>
        <w:rPr>
          <w:rFonts w:eastAsia="Times New Roman" w:cs="Times New Roman"/>
          <w:szCs w:val="20"/>
          <w:lang w:eastAsia="pl-PL"/>
        </w:rPr>
      </w:pPr>
      <w:r w:rsidRPr="00E02F30">
        <w:rPr>
          <w:rFonts w:eastAsia="Times New Roman" w:cs="Times New Roman"/>
          <w:szCs w:val="20"/>
          <w:lang w:eastAsia="pl-PL"/>
        </w:rPr>
        <w:t>Tabela nr 14</w:t>
      </w:r>
    </w:p>
    <w:tbl>
      <w:tblPr>
        <w:tblW w:w="4911"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Przedstawia wskaźniki fizykochemiczne, badany element, liczbę badań z podziałem na cykl roczny oraz tygodniowy."/>
      </w:tblPr>
      <w:tblGrid>
        <w:gridCol w:w="3295"/>
        <w:gridCol w:w="2786"/>
        <w:gridCol w:w="2820"/>
      </w:tblGrid>
      <w:tr w:rsidR="00E02F30" w:rsidRPr="00E02F30" w14:paraId="033853BC" w14:textId="77777777" w:rsidTr="00A1631B">
        <w:trPr>
          <w:trHeight w:val="535"/>
        </w:trPr>
        <w:tc>
          <w:tcPr>
            <w:tcW w:w="1851" w:type="pct"/>
            <w:vMerge w:val="restart"/>
            <w:shd w:val="clear" w:color="auto" w:fill="auto"/>
            <w:vAlign w:val="center"/>
          </w:tcPr>
          <w:p w14:paraId="2AE26A7B" w14:textId="77777777" w:rsidR="00E02F30" w:rsidRPr="00E02F30" w:rsidRDefault="00E02F30" w:rsidP="00E02F30">
            <w:pPr>
              <w:spacing w:before="120" w:after="120" w:line="240" w:lineRule="auto"/>
              <w:jc w:val="center"/>
              <w:rPr>
                <w:rFonts w:eastAsia="Times New Roman" w:cs="Arial"/>
                <w:b/>
                <w:sz w:val="22"/>
                <w:lang w:eastAsia="pl-PL"/>
              </w:rPr>
            </w:pPr>
            <w:r w:rsidRPr="00E02F30">
              <w:rPr>
                <w:rFonts w:eastAsia="Times New Roman" w:cs="Arial"/>
                <w:b/>
                <w:sz w:val="22"/>
                <w:lang w:eastAsia="pl-PL"/>
              </w:rPr>
              <w:t>Badany element</w:t>
            </w:r>
          </w:p>
        </w:tc>
        <w:tc>
          <w:tcPr>
            <w:tcW w:w="3149" w:type="pct"/>
            <w:gridSpan w:val="2"/>
            <w:shd w:val="clear" w:color="auto" w:fill="auto"/>
            <w:vAlign w:val="center"/>
          </w:tcPr>
          <w:p w14:paraId="4B1BC3EE" w14:textId="77777777" w:rsidR="00E02F30" w:rsidRPr="00E02F30" w:rsidRDefault="00E02F30" w:rsidP="00E02F30">
            <w:pPr>
              <w:spacing w:before="120" w:after="120" w:line="240" w:lineRule="auto"/>
              <w:jc w:val="center"/>
              <w:rPr>
                <w:rFonts w:eastAsia="Times New Roman" w:cs="Arial"/>
                <w:b/>
                <w:sz w:val="22"/>
                <w:lang w:eastAsia="pl-PL"/>
              </w:rPr>
            </w:pPr>
            <w:r w:rsidRPr="00E02F30">
              <w:rPr>
                <w:rFonts w:eastAsia="Times New Roman" w:cs="Arial"/>
                <w:b/>
                <w:sz w:val="22"/>
                <w:lang w:eastAsia="pl-PL"/>
              </w:rPr>
              <w:t>Liczba badań</w:t>
            </w:r>
          </w:p>
        </w:tc>
      </w:tr>
      <w:tr w:rsidR="00E02F30" w:rsidRPr="00E02F30" w14:paraId="1C305398" w14:textId="77777777" w:rsidTr="00A1631B">
        <w:trPr>
          <w:trHeight w:val="423"/>
        </w:trPr>
        <w:tc>
          <w:tcPr>
            <w:tcW w:w="1851" w:type="pct"/>
            <w:vMerge/>
            <w:shd w:val="clear" w:color="auto" w:fill="auto"/>
            <w:vAlign w:val="center"/>
          </w:tcPr>
          <w:p w14:paraId="22F117B5" w14:textId="77777777" w:rsidR="00E02F30" w:rsidRPr="00E02F30" w:rsidRDefault="00E02F30" w:rsidP="00E02F30">
            <w:pPr>
              <w:spacing w:before="120" w:after="120" w:line="240" w:lineRule="auto"/>
              <w:jc w:val="center"/>
              <w:rPr>
                <w:rFonts w:eastAsia="Times New Roman" w:cs="Arial"/>
                <w:b/>
                <w:sz w:val="22"/>
                <w:lang w:eastAsia="pl-PL"/>
              </w:rPr>
            </w:pPr>
          </w:p>
        </w:tc>
        <w:tc>
          <w:tcPr>
            <w:tcW w:w="1565" w:type="pct"/>
            <w:shd w:val="clear" w:color="auto" w:fill="auto"/>
            <w:vAlign w:val="center"/>
          </w:tcPr>
          <w:p w14:paraId="16274E61" w14:textId="77777777" w:rsidR="00E02F30" w:rsidRPr="00E02F30" w:rsidRDefault="00E02F30" w:rsidP="00E02F30">
            <w:pPr>
              <w:spacing w:before="120" w:after="120" w:line="240" w:lineRule="auto"/>
              <w:jc w:val="center"/>
              <w:rPr>
                <w:rFonts w:eastAsia="Times New Roman" w:cs="Arial"/>
                <w:b/>
                <w:sz w:val="22"/>
                <w:lang w:eastAsia="pl-PL"/>
              </w:rPr>
            </w:pPr>
            <w:r w:rsidRPr="00E02F30">
              <w:rPr>
                <w:rFonts w:eastAsia="Times New Roman" w:cs="Arial"/>
                <w:b/>
                <w:sz w:val="22"/>
                <w:lang w:eastAsia="pl-PL"/>
              </w:rPr>
              <w:t>cykl roczny</w:t>
            </w:r>
          </w:p>
        </w:tc>
        <w:tc>
          <w:tcPr>
            <w:tcW w:w="1583" w:type="pct"/>
            <w:shd w:val="clear" w:color="auto" w:fill="auto"/>
            <w:vAlign w:val="center"/>
          </w:tcPr>
          <w:p w14:paraId="7CF69EA0" w14:textId="77777777" w:rsidR="00E02F30" w:rsidRPr="00E02F30" w:rsidRDefault="00E02F30" w:rsidP="00E02F30">
            <w:pPr>
              <w:spacing w:before="120" w:after="120" w:line="240" w:lineRule="auto"/>
              <w:jc w:val="center"/>
              <w:rPr>
                <w:rFonts w:eastAsia="Times New Roman" w:cs="Arial"/>
                <w:b/>
                <w:sz w:val="22"/>
                <w:lang w:eastAsia="pl-PL"/>
              </w:rPr>
            </w:pPr>
            <w:r w:rsidRPr="00E02F30">
              <w:rPr>
                <w:rFonts w:eastAsia="Times New Roman" w:cs="Arial"/>
                <w:b/>
                <w:sz w:val="22"/>
                <w:lang w:eastAsia="pl-PL"/>
              </w:rPr>
              <w:t>cykl tygodniowy</w:t>
            </w:r>
          </w:p>
        </w:tc>
      </w:tr>
    </w:tbl>
    <w:p w14:paraId="05039E40" w14:textId="77777777" w:rsidR="00E02F30" w:rsidRPr="00E02F30" w:rsidRDefault="00E02F30" w:rsidP="00E02F30">
      <w:pPr>
        <w:spacing w:after="0" w:line="240" w:lineRule="auto"/>
        <w:rPr>
          <w:rFonts w:eastAsia="Times New Roman" w:cs="Arial"/>
          <w:vanish/>
          <w:szCs w:val="24"/>
          <w:lang w:eastAsia="pl-PL"/>
        </w:rPr>
      </w:pPr>
    </w:p>
    <w:p w14:paraId="76DAC148" w14:textId="77777777" w:rsidR="00E02F30" w:rsidRPr="00E02F30" w:rsidRDefault="00E02F30" w:rsidP="00E02F30">
      <w:pPr>
        <w:spacing w:after="0" w:line="240" w:lineRule="auto"/>
        <w:rPr>
          <w:rFonts w:eastAsia="Times New Roman" w:cs="Arial"/>
          <w:vanish/>
          <w:color w:val="4472C4"/>
          <w:szCs w:val="24"/>
          <w:lang w:eastAsia="pl-PL"/>
        </w:rPr>
      </w:pPr>
    </w:p>
    <w:tbl>
      <w:tblPr>
        <w:tblW w:w="4911"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1"/>
        <w:gridCol w:w="2752"/>
        <w:gridCol w:w="2818"/>
      </w:tblGrid>
      <w:tr w:rsidR="00E02F30" w:rsidRPr="00E02F30" w14:paraId="4B920AD3" w14:textId="77777777" w:rsidTr="00A1631B">
        <w:trPr>
          <w:trHeight w:val="285"/>
        </w:trPr>
        <w:tc>
          <w:tcPr>
            <w:tcW w:w="5000" w:type="pct"/>
            <w:gridSpan w:val="3"/>
            <w:shd w:val="clear" w:color="auto" w:fill="auto"/>
            <w:vAlign w:val="center"/>
          </w:tcPr>
          <w:p w14:paraId="4135E4A9"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Wskaźniki fizykochemiczne</w:t>
            </w:r>
          </w:p>
        </w:tc>
      </w:tr>
      <w:tr w:rsidR="00E02F30" w:rsidRPr="00E02F30" w14:paraId="46F223EA" w14:textId="77777777" w:rsidTr="00A1631B">
        <w:trPr>
          <w:trHeight w:val="285"/>
        </w:trPr>
        <w:tc>
          <w:tcPr>
            <w:tcW w:w="1871" w:type="pct"/>
            <w:shd w:val="clear" w:color="auto" w:fill="auto"/>
            <w:vAlign w:val="center"/>
          </w:tcPr>
          <w:p w14:paraId="3CB61BEA"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 xml:space="preserve">Odczyn </w:t>
            </w:r>
            <w:proofErr w:type="spellStart"/>
            <w:r w:rsidRPr="00E02F30">
              <w:rPr>
                <w:rFonts w:eastAsia="Times New Roman" w:cs="Arial"/>
                <w:sz w:val="18"/>
                <w:szCs w:val="18"/>
                <w:lang w:eastAsia="pl-PL"/>
              </w:rPr>
              <w:t>pH</w:t>
            </w:r>
            <w:proofErr w:type="spellEnd"/>
          </w:p>
        </w:tc>
        <w:tc>
          <w:tcPr>
            <w:tcW w:w="1546" w:type="pct"/>
            <w:shd w:val="clear" w:color="auto" w:fill="auto"/>
            <w:vAlign w:val="center"/>
          </w:tcPr>
          <w:p w14:paraId="3159C2FD"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vAlign w:val="center"/>
          </w:tcPr>
          <w:p w14:paraId="5B9A3BBA"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06371149" w14:textId="77777777" w:rsidTr="00A1631B">
        <w:trPr>
          <w:trHeight w:val="285"/>
        </w:trPr>
        <w:tc>
          <w:tcPr>
            <w:tcW w:w="1871" w:type="pct"/>
            <w:shd w:val="clear" w:color="auto" w:fill="auto"/>
            <w:vAlign w:val="center"/>
          </w:tcPr>
          <w:p w14:paraId="52589D93"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Zawiesiny ogólne</w:t>
            </w:r>
          </w:p>
        </w:tc>
        <w:tc>
          <w:tcPr>
            <w:tcW w:w="1546" w:type="pct"/>
            <w:shd w:val="clear" w:color="auto" w:fill="auto"/>
            <w:vAlign w:val="center"/>
          </w:tcPr>
          <w:p w14:paraId="2CA1FAE0"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5D22417C"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6C29EA96" w14:textId="77777777" w:rsidTr="00A1631B">
        <w:trPr>
          <w:trHeight w:val="285"/>
        </w:trPr>
        <w:tc>
          <w:tcPr>
            <w:tcW w:w="1871" w:type="pct"/>
            <w:shd w:val="clear" w:color="auto" w:fill="auto"/>
            <w:vAlign w:val="center"/>
          </w:tcPr>
          <w:p w14:paraId="099ECBD4"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Tlen rozpuszczony</w:t>
            </w:r>
          </w:p>
        </w:tc>
        <w:tc>
          <w:tcPr>
            <w:tcW w:w="1546" w:type="pct"/>
            <w:shd w:val="clear" w:color="auto" w:fill="auto"/>
            <w:vAlign w:val="center"/>
          </w:tcPr>
          <w:p w14:paraId="2BFE413C"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54195DA2"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1E493B6A" w14:textId="77777777" w:rsidTr="00A1631B">
        <w:trPr>
          <w:trHeight w:val="285"/>
        </w:trPr>
        <w:tc>
          <w:tcPr>
            <w:tcW w:w="1871" w:type="pct"/>
            <w:shd w:val="clear" w:color="auto" w:fill="auto"/>
            <w:vAlign w:val="center"/>
          </w:tcPr>
          <w:p w14:paraId="1F197B6C"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Przewodność właściwa</w:t>
            </w:r>
          </w:p>
        </w:tc>
        <w:tc>
          <w:tcPr>
            <w:tcW w:w="1546" w:type="pct"/>
            <w:shd w:val="clear" w:color="auto" w:fill="auto"/>
            <w:vAlign w:val="center"/>
          </w:tcPr>
          <w:p w14:paraId="2FA0ACB0"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420D963B"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19A43A7F" w14:textId="77777777" w:rsidTr="00A1631B">
        <w:trPr>
          <w:trHeight w:val="285"/>
        </w:trPr>
        <w:tc>
          <w:tcPr>
            <w:tcW w:w="1871" w:type="pct"/>
            <w:shd w:val="clear" w:color="auto" w:fill="auto"/>
            <w:vAlign w:val="center"/>
          </w:tcPr>
          <w:p w14:paraId="7A790D26"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BZT5</w:t>
            </w:r>
          </w:p>
        </w:tc>
        <w:tc>
          <w:tcPr>
            <w:tcW w:w="1546" w:type="pct"/>
            <w:shd w:val="clear" w:color="auto" w:fill="auto"/>
            <w:vAlign w:val="center"/>
          </w:tcPr>
          <w:p w14:paraId="10FA5B20"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6F8698E3"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5D12DE02" w14:textId="77777777" w:rsidTr="00A1631B">
        <w:trPr>
          <w:trHeight w:val="285"/>
        </w:trPr>
        <w:tc>
          <w:tcPr>
            <w:tcW w:w="1871" w:type="pct"/>
            <w:shd w:val="clear" w:color="auto" w:fill="auto"/>
            <w:vAlign w:val="center"/>
          </w:tcPr>
          <w:p w14:paraId="4C64E1B1" w14:textId="77777777" w:rsidR="00E02F30" w:rsidRPr="00E02F30" w:rsidRDefault="00E02F30" w:rsidP="00E02F30">
            <w:pPr>
              <w:spacing w:after="0" w:line="240" w:lineRule="auto"/>
              <w:rPr>
                <w:rFonts w:eastAsia="Times New Roman" w:cs="Arial"/>
                <w:sz w:val="18"/>
                <w:szCs w:val="18"/>
                <w:lang w:eastAsia="pl-PL"/>
              </w:rPr>
            </w:pPr>
            <w:proofErr w:type="spellStart"/>
            <w:r w:rsidRPr="00E02F30">
              <w:rPr>
                <w:rFonts w:eastAsia="Times New Roman" w:cs="Arial"/>
                <w:sz w:val="18"/>
                <w:szCs w:val="18"/>
                <w:lang w:eastAsia="pl-PL"/>
              </w:rPr>
              <w:t>ChZTCr</w:t>
            </w:r>
            <w:proofErr w:type="spellEnd"/>
          </w:p>
        </w:tc>
        <w:tc>
          <w:tcPr>
            <w:tcW w:w="1546" w:type="pct"/>
            <w:shd w:val="clear" w:color="auto" w:fill="auto"/>
            <w:vAlign w:val="center"/>
          </w:tcPr>
          <w:p w14:paraId="55332F0C"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27A0C0D8"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419185AD" w14:textId="77777777" w:rsidTr="00A1631B">
        <w:trPr>
          <w:trHeight w:val="285"/>
        </w:trPr>
        <w:tc>
          <w:tcPr>
            <w:tcW w:w="1871" w:type="pct"/>
            <w:shd w:val="clear" w:color="auto" w:fill="auto"/>
            <w:vAlign w:val="center"/>
          </w:tcPr>
          <w:p w14:paraId="37DBCDC4"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Azot ogólny</w:t>
            </w:r>
          </w:p>
        </w:tc>
        <w:tc>
          <w:tcPr>
            <w:tcW w:w="1546" w:type="pct"/>
            <w:shd w:val="clear" w:color="auto" w:fill="auto"/>
            <w:vAlign w:val="center"/>
          </w:tcPr>
          <w:p w14:paraId="0671A648"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5104D5F9"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75938311" w14:textId="77777777" w:rsidTr="00A1631B">
        <w:trPr>
          <w:trHeight w:val="285"/>
        </w:trPr>
        <w:tc>
          <w:tcPr>
            <w:tcW w:w="1871" w:type="pct"/>
            <w:shd w:val="clear" w:color="auto" w:fill="auto"/>
            <w:vAlign w:val="center"/>
          </w:tcPr>
          <w:p w14:paraId="06C21DFC"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 xml:space="preserve">Azot </w:t>
            </w:r>
            <w:proofErr w:type="spellStart"/>
            <w:r w:rsidRPr="00E02F30">
              <w:rPr>
                <w:rFonts w:eastAsia="Times New Roman" w:cs="Arial"/>
                <w:sz w:val="18"/>
                <w:szCs w:val="18"/>
                <w:lang w:eastAsia="pl-PL"/>
              </w:rPr>
              <w:t>Kjeldahla</w:t>
            </w:r>
            <w:proofErr w:type="spellEnd"/>
          </w:p>
        </w:tc>
        <w:tc>
          <w:tcPr>
            <w:tcW w:w="1546" w:type="pct"/>
            <w:shd w:val="clear" w:color="auto" w:fill="auto"/>
            <w:vAlign w:val="center"/>
          </w:tcPr>
          <w:p w14:paraId="600501BF"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3B20D4E1"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64969646" w14:textId="77777777" w:rsidTr="00A1631B">
        <w:trPr>
          <w:trHeight w:val="285"/>
        </w:trPr>
        <w:tc>
          <w:tcPr>
            <w:tcW w:w="1871" w:type="pct"/>
            <w:shd w:val="clear" w:color="auto" w:fill="auto"/>
            <w:vAlign w:val="center"/>
          </w:tcPr>
          <w:p w14:paraId="37182062"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Azotany</w:t>
            </w:r>
          </w:p>
        </w:tc>
        <w:tc>
          <w:tcPr>
            <w:tcW w:w="1546" w:type="pct"/>
            <w:shd w:val="clear" w:color="auto" w:fill="auto"/>
            <w:vAlign w:val="center"/>
          </w:tcPr>
          <w:p w14:paraId="339F1729"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79484546"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4F441C82" w14:textId="77777777" w:rsidTr="00A1631B">
        <w:trPr>
          <w:trHeight w:val="285"/>
        </w:trPr>
        <w:tc>
          <w:tcPr>
            <w:tcW w:w="1871" w:type="pct"/>
            <w:shd w:val="clear" w:color="auto" w:fill="auto"/>
            <w:vAlign w:val="center"/>
          </w:tcPr>
          <w:p w14:paraId="000FE169"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Azotyny</w:t>
            </w:r>
          </w:p>
        </w:tc>
        <w:tc>
          <w:tcPr>
            <w:tcW w:w="1546" w:type="pct"/>
            <w:shd w:val="clear" w:color="auto" w:fill="auto"/>
            <w:vAlign w:val="center"/>
          </w:tcPr>
          <w:p w14:paraId="7C4734C9"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52C0F356"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2A727024" w14:textId="77777777" w:rsidTr="00A1631B">
        <w:trPr>
          <w:trHeight w:val="285"/>
        </w:trPr>
        <w:tc>
          <w:tcPr>
            <w:tcW w:w="1871" w:type="pct"/>
            <w:shd w:val="clear" w:color="auto" w:fill="auto"/>
            <w:vAlign w:val="center"/>
          </w:tcPr>
          <w:p w14:paraId="03068125"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Amoniak</w:t>
            </w:r>
          </w:p>
        </w:tc>
        <w:tc>
          <w:tcPr>
            <w:tcW w:w="1546" w:type="pct"/>
            <w:shd w:val="clear" w:color="auto" w:fill="auto"/>
          </w:tcPr>
          <w:p w14:paraId="2B951AB8"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c>
          <w:tcPr>
            <w:tcW w:w="1583" w:type="pct"/>
            <w:shd w:val="clear" w:color="auto" w:fill="auto"/>
            <w:vAlign w:val="center"/>
          </w:tcPr>
          <w:p w14:paraId="122EDA1E"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52 w roku</w:t>
            </w:r>
          </w:p>
        </w:tc>
      </w:tr>
      <w:tr w:rsidR="00E02F30" w:rsidRPr="00E02F30" w14:paraId="1ABF0D02" w14:textId="77777777" w:rsidTr="00A1631B">
        <w:trPr>
          <w:trHeight w:val="285"/>
        </w:trPr>
        <w:tc>
          <w:tcPr>
            <w:tcW w:w="1871" w:type="pct"/>
            <w:shd w:val="clear" w:color="auto" w:fill="auto"/>
            <w:vAlign w:val="center"/>
          </w:tcPr>
          <w:p w14:paraId="0344D43F"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Fosfor ogólny</w:t>
            </w:r>
          </w:p>
        </w:tc>
        <w:tc>
          <w:tcPr>
            <w:tcW w:w="1546" w:type="pct"/>
            <w:shd w:val="clear" w:color="auto" w:fill="auto"/>
          </w:tcPr>
          <w:p w14:paraId="028F2D16"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c>
          <w:tcPr>
            <w:tcW w:w="1583" w:type="pct"/>
            <w:shd w:val="clear" w:color="auto" w:fill="auto"/>
            <w:vAlign w:val="center"/>
          </w:tcPr>
          <w:p w14:paraId="49C16150"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52 w roku</w:t>
            </w:r>
          </w:p>
        </w:tc>
      </w:tr>
      <w:tr w:rsidR="00E02F30" w:rsidRPr="00E02F30" w14:paraId="24DFBCD8" w14:textId="77777777" w:rsidTr="00A1631B">
        <w:trPr>
          <w:trHeight w:val="285"/>
        </w:trPr>
        <w:tc>
          <w:tcPr>
            <w:tcW w:w="1871" w:type="pct"/>
            <w:shd w:val="clear" w:color="auto" w:fill="auto"/>
            <w:vAlign w:val="center"/>
          </w:tcPr>
          <w:p w14:paraId="2E62B47C"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Chlorki</w:t>
            </w:r>
          </w:p>
        </w:tc>
        <w:tc>
          <w:tcPr>
            <w:tcW w:w="1546" w:type="pct"/>
            <w:shd w:val="clear" w:color="auto" w:fill="auto"/>
          </w:tcPr>
          <w:p w14:paraId="1BB2B9B6"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c>
          <w:tcPr>
            <w:tcW w:w="1583" w:type="pct"/>
            <w:shd w:val="clear" w:color="auto" w:fill="auto"/>
            <w:vAlign w:val="center"/>
          </w:tcPr>
          <w:p w14:paraId="328B4B97"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52 w roku</w:t>
            </w:r>
          </w:p>
        </w:tc>
      </w:tr>
      <w:tr w:rsidR="00E02F30" w:rsidRPr="00E02F30" w14:paraId="1454DC85" w14:textId="77777777" w:rsidTr="00A1631B">
        <w:trPr>
          <w:trHeight w:val="285"/>
        </w:trPr>
        <w:tc>
          <w:tcPr>
            <w:tcW w:w="1871" w:type="pct"/>
            <w:shd w:val="clear" w:color="auto" w:fill="auto"/>
            <w:vAlign w:val="center"/>
          </w:tcPr>
          <w:p w14:paraId="365C6DE8"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Siarczany</w:t>
            </w:r>
          </w:p>
        </w:tc>
        <w:tc>
          <w:tcPr>
            <w:tcW w:w="1546" w:type="pct"/>
            <w:shd w:val="clear" w:color="auto" w:fill="auto"/>
            <w:vAlign w:val="center"/>
          </w:tcPr>
          <w:p w14:paraId="12F1230B"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47DA1498"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7F8C70E0" w14:textId="77777777" w:rsidTr="00A1631B">
        <w:trPr>
          <w:trHeight w:val="285"/>
        </w:trPr>
        <w:tc>
          <w:tcPr>
            <w:tcW w:w="1871" w:type="pct"/>
            <w:shd w:val="clear" w:color="auto" w:fill="auto"/>
            <w:vAlign w:val="center"/>
          </w:tcPr>
          <w:p w14:paraId="169C90DE"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Cynk</w:t>
            </w:r>
          </w:p>
        </w:tc>
        <w:tc>
          <w:tcPr>
            <w:tcW w:w="1546" w:type="pct"/>
            <w:shd w:val="clear" w:color="auto" w:fill="auto"/>
            <w:vAlign w:val="center"/>
          </w:tcPr>
          <w:p w14:paraId="0F6E511E"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162AB5C8"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728C25E7" w14:textId="77777777" w:rsidTr="00A1631B">
        <w:trPr>
          <w:trHeight w:val="285"/>
        </w:trPr>
        <w:tc>
          <w:tcPr>
            <w:tcW w:w="1871" w:type="pct"/>
            <w:shd w:val="clear" w:color="auto" w:fill="auto"/>
            <w:vAlign w:val="center"/>
          </w:tcPr>
          <w:p w14:paraId="49D33C8F"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Fenole lotne (indeks fenolowy)</w:t>
            </w:r>
          </w:p>
        </w:tc>
        <w:tc>
          <w:tcPr>
            <w:tcW w:w="1546" w:type="pct"/>
            <w:shd w:val="clear" w:color="auto" w:fill="auto"/>
            <w:vAlign w:val="center"/>
          </w:tcPr>
          <w:p w14:paraId="47C7051A"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391B9767"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7266F8B2" w14:textId="77777777" w:rsidTr="00A1631B">
        <w:trPr>
          <w:trHeight w:val="285"/>
        </w:trPr>
        <w:tc>
          <w:tcPr>
            <w:tcW w:w="1871" w:type="pct"/>
            <w:shd w:val="clear" w:color="auto" w:fill="auto"/>
            <w:vAlign w:val="center"/>
          </w:tcPr>
          <w:p w14:paraId="059706CF"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Aldehyd mrówkowy</w:t>
            </w:r>
          </w:p>
        </w:tc>
        <w:tc>
          <w:tcPr>
            <w:tcW w:w="1546" w:type="pct"/>
            <w:shd w:val="clear" w:color="auto" w:fill="auto"/>
            <w:vAlign w:val="center"/>
          </w:tcPr>
          <w:p w14:paraId="0DECD84B"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c>
          <w:tcPr>
            <w:tcW w:w="1583" w:type="pct"/>
            <w:shd w:val="clear" w:color="auto" w:fill="auto"/>
            <w:vAlign w:val="center"/>
          </w:tcPr>
          <w:p w14:paraId="52326559"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52 w roku</w:t>
            </w:r>
          </w:p>
        </w:tc>
      </w:tr>
      <w:tr w:rsidR="00E02F30" w:rsidRPr="00E02F30" w14:paraId="67B5E15A" w14:textId="77777777" w:rsidTr="00A1631B">
        <w:trPr>
          <w:trHeight w:val="285"/>
        </w:trPr>
        <w:tc>
          <w:tcPr>
            <w:tcW w:w="1871" w:type="pct"/>
            <w:shd w:val="clear" w:color="auto" w:fill="auto"/>
            <w:vAlign w:val="center"/>
          </w:tcPr>
          <w:p w14:paraId="735FBE0C" w14:textId="77777777" w:rsidR="00E02F30" w:rsidRPr="00E02F30" w:rsidRDefault="00E02F30" w:rsidP="00E02F30">
            <w:pPr>
              <w:spacing w:after="0" w:line="240" w:lineRule="auto"/>
              <w:rPr>
                <w:rFonts w:eastAsia="Times New Roman" w:cs="Arial"/>
                <w:sz w:val="18"/>
                <w:szCs w:val="18"/>
                <w:lang w:eastAsia="pl-PL"/>
              </w:rPr>
            </w:pPr>
            <w:proofErr w:type="spellStart"/>
            <w:r w:rsidRPr="00E02F30">
              <w:rPr>
                <w:rFonts w:eastAsia="Times New Roman" w:cs="Arial"/>
                <w:sz w:val="18"/>
                <w:szCs w:val="18"/>
                <w:lang w:eastAsia="pl-PL"/>
              </w:rPr>
              <w:t>Trichlormetan</w:t>
            </w:r>
            <w:proofErr w:type="spellEnd"/>
            <w:r w:rsidRPr="00E02F30">
              <w:rPr>
                <w:rFonts w:eastAsia="Times New Roman" w:cs="Arial"/>
                <w:sz w:val="18"/>
                <w:szCs w:val="18"/>
                <w:lang w:eastAsia="pl-PL"/>
              </w:rPr>
              <w:t xml:space="preserve"> (chloroform)</w:t>
            </w:r>
          </w:p>
        </w:tc>
        <w:tc>
          <w:tcPr>
            <w:tcW w:w="1546" w:type="pct"/>
            <w:shd w:val="clear" w:color="auto" w:fill="auto"/>
            <w:vAlign w:val="center"/>
          </w:tcPr>
          <w:p w14:paraId="3B0AB617"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vAlign w:val="center"/>
          </w:tcPr>
          <w:p w14:paraId="24F86134"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755FA098" w14:textId="77777777" w:rsidTr="00A1631B">
        <w:trPr>
          <w:trHeight w:val="285"/>
        </w:trPr>
        <w:tc>
          <w:tcPr>
            <w:tcW w:w="1871" w:type="pct"/>
            <w:shd w:val="clear" w:color="auto" w:fill="auto"/>
            <w:vAlign w:val="center"/>
          </w:tcPr>
          <w:p w14:paraId="47933540" w14:textId="77777777" w:rsidR="00E02F30" w:rsidRPr="00E02F30" w:rsidRDefault="00E02F30" w:rsidP="00E02F30">
            <w:pPr>
              <w:spacing w:after="0" w:line="240" w:lineRule="auto"/>
              <w:rPr>
                <w:rFonts w:eastAsia="Times New Roman" w:cs="Arial"/>
                <w:sz w:val="18"/>
                <w:szCs w:val="18"/>
                <w:lang w:eastAsia="pl-PL"/>
              </w:rPr>
            </w:pPr>
            <w:proofErr w:type="spellStart"/>
            <w:r w:rsidRPr="00E02F30">
              <w:rPr>
                <w:rFonts w:eastAsia="Times New Roman" w:cs="Arial"/>
                <w:sz w:val="18"/>
                <w:szCs w:val="18"/>
                <w:lang w:eastAsia="pl-PL"/>
              </w:rPr>
              <w:t>Trichloroetylen</w:t>
            </w:r>
            <w:proofErr w:type="spellEnd"/>
          </w:p>
        </w:tc>
        <w:tc>
          <w:tcPr>
            <w:tcW w:w="1546" w:type="pct"/>
            <w:shd w:val="clear" w:color="auto" w:fill="auto"/>
            <w:vAlign w:val="center"/>
          </w:tcPr>
          <w:p w14:paraId="756EC63E"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c>
          <w:tcPr>
            <w:tcW w:w="1583" w:type="pct"/>
            <w:shd w:val="clear" w:color="auto" w:fill="auto"/>
            <w:vAlign w:val="center"/>
          </w:tcPr>
          <w:p w14:paraId="35B82B3D"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52 w roku</w:t>
            </w:r>
          </w:p>
        </w:tc>
      </w:tr>
      <w:tr w:rsidR="00E02F30" w:rsidRPr="00E02F30" w14:paraId="26469110" w14:textId="77777777" w:rsidTr="00A1631B">
        <w:trPr>
          <w:trHeight w:val="285"/>
        </w:trPr>
        <w:tc>
          <w:tcPr>
            <w:tcW w:w="1871" w:type="pct"/>
            <w:shd w:val="clear" w:color="auto" w:fill="auto"/>
            <w:vAlign w:val="center"/>
          </w:tcPr>
          <w:p w14:paraId="70A0D476"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Barwa</w:t>
            </w:r>
          </w:p>
        </w:tc>
        <w:tc>
          <w:tcPr>
            <w:tcW w:w="1546" w:type="pct"/>
            <w:shd w:val="clear" w:color="auto" w:fill="auto"/>
            <w:vAlign w:val="center"/>
          </w:tcPr>
          <w:p w14:paraId="6503ACC6"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59081626"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r w:rsidR="00E02F30" w:rsidRPr="00E02F30" w14:paraId="509F5AEF" w14:textId="77777777" w:rsidTr="00A1631B">
        <w:trPr>
          <w:trHeight w:val="285"/>
        </w:trPr>
        <w:tc>
          <w:tcPr>
            <w:tcW w:w="1871" w:type="pct"/>
            <w:shd w:val="clear" w:color="auto" w:fill="auto"/>
            <w:vAlign w:val="center"/>
          </w:tcPr>
          <w:p w14:paraId="7C37E3CE" w14:textId="77777777" w:rsidR="00E02F30" w:rsidRPr="00E02F30" w:rsidRDefault="00E02F30" w:rsidP="00E02F30">
            <w:pPr>
              <w:spacing w:after="0" w:line="240" w:lineRule="auto"/>
              <w:rPr>
                <w:rFonts w:eastAsia="Times New Roman" w:cs="Arial"/>
                <w:sz w:val="18"/>
                <w:szCs w:val="18"/>
                <w:lang w:eastAsia="pl-PL"/>
              </w:rPr>
            </w:pPr>
            <w:r w:rsidRPr="00E02F30">
              <w:rPr>
                <w:rFonts w:eastAsia="Times New Roman" w:cs="Arial"/>
                <w:sz w:val="18"/>
                <w:szCs w:val="18"/>
                <w:lang w:eastAsia="pl-PL"/>
              </w:rPr>
              <w:t>Zapach</w:t>
            </w:r>
          </w:p>
        </w:tc>
        <w:tc>
          <w:tcPr>
            <w:tcW w:w="1546" w:type="pct"/>
            <w:shd w:val="clear" w:color="auto" w:fill="auto"/>
            <w:vAlign w:val="center"/>
          </w:tcPr>
          <w:p w14:paraId="072B639B"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12 w roku</w:t>
            </w:r>
          </w:p>
        </w:tc>
        <w:tc>
          <w:tcPr>
            <w:tcW w:w="1583" w:type="pct"/>
            <w:shd w:val="clear" w:color="auto" w:fill="auto"/>
          </w:tcPr>
          <w:p w14:paraId="2698D7E6" w14:textId="77777777" w:rsidR="00E02F30" w:rsidRPr="00E02F30" w:rsidRDefault="00E02F30" w:rsidP="00E02F30">
            <w:pPr>
              <w:spacing w:after="0" w:line="240" w:lineRule="auto"/>
              <w:jc w:val="center"/>
              <w:rPr>
                <w:rFonts w:eastAsia="Times New Roman" w:cs="Arial"/>
                <w:sz w:val="18"/>
                <w:szCs w:val="18"/>
                <w:lang w:eastAsia="pl-PL"/>
              </w:rPr>
            </w:pPr>
            <w:r w:rsidRPr="00E02F30">
              <w:rPr>
                <w:rFonts w:eastAsia="Times New Roman" w:cs="Arial"/>
                <w:sz w:val="18"/>
                <w:szCs w:val="18"/>
                <w:lang w:eastAsia="pl-PL"/>
              </w:rPr>
              <w:t>-</w:t>
            </w:r>
          </w:p>
        </w:tc>
      </w:tr>
    </w:tbl>
    <w:p w14:paraId="0C706E80" w14:textId="77777777" w:rsidR="00E02F30" w:rsidRPr="00E02F30" w:rsidRDefault="00E02F30" w:rsidP="00E02F30">
      <w:pPr>
        <w:spacing w:after="0" w:line="240" w:lineRule="auto"/>
        <w:jc w:val="both"/>
        <w:rPr>
          <w:rFonts w:eastAsia="Times New Roman" w:cs="Times New Roman"/>
          <w:szCs w:val="24"/>
          <w:lang w:eastAsia="pl-PL"/>
        </w:rPr>
      </w:pPr>
    </w:p>
    <w:p w14:paraId="504BD8A6" w14:textId="77777777" w:rsidR="00E02F30" w:rsidRPr="00E02F30" w:rsidRDefault="00E02F30" w:rsidP="00E02F30">
      <w:pPr>
        <w:spacing w:after="0" w:line="276" w:lineRule="auto"/>
        <w:mirrorIndents/>
        <w:jc w:val="both"/>
        <w:rPr>
          <w:rFonts w:eastAsia="Times New Roman" w:cs="Arial"/>
          <w:szCs w:val="24"/>
          <w:lang w:eastAsia="pl-PL"/>
        </w:rPr>
      </w:pPr>
      <w:r w:rsidRPr="00E02F30">
        <w:rPr>
          <w:rFonts w:eastAsia="Times New Roman" w:cs="Arial"/>
          <w:szCs w:val="24"/>
          <w:lang w:eastAsia="pl-PL"/>
        </w:rPr>
        <w:t xml:space="preserve">Monitorowana będzie również jakość wód w zakresie: </w:t>
      </w:r>
    </w:p>
    <w:p w14:paraId="08C34255" w14:textId="77777777" w:rsidR="00E02F30" w:rsidRPr="00E02F30" w:rsidRDefault="00E02F30" w:rsidP="00E02F30">
      <w:pPr>
        <w:keepNext/>
        <w:widowControl w:val="0"/>
        <w:adjustRightInd w:val="0"/>
        <w:spacing w:after="0" w:line="360" w:lineRule="auto"/>
        <w:textAlignment w:val="baseline"/>
        <w:outlineLvl w:val="4"/>
        <w:rPr>
          <w:rFonts w:eastAsia="Times New Roman" w:cs="Times New Roman"/>
          <w:szCs w:val="20"/>
          <w:lang w:eastAsia="pl-PL"/>
        </w:rPr>
      </w:pPr>
      <w:r w:rsidRPr="00E02F30">
        <w:rPr>
          <w:rFonts w:eastAsia="Times New Roman" w:cs="Times New Roman"/>
          <w:szCs w:val="20"/>
          <w:lang w:eastAsia="pl-PL"/>
        </w:rPr>
        <w:t>Tabela nr 15</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zedstawia wskaźniki biologiczne monitorowane dla San Krzeszów oraz San Stare Miasto. Jest podany cykl wieloletni oraz ilość badań w roku. "/>
      </w:tblPr>
      <w:tblGrid>
        <w:gridCol w:w="2171"/>
        <w:gridCol w:w="1979"/>
        <w:gridCol w:w="1412"/>
        <w:gridCol w:w="1793"/>
        <w:gridCol w:w="1602"/>
      </w:tblGrid>
      <w:tr w:rsidR="00E02F30" w:rsidRPr="00E02F30" w14:paraId="01209550" w14:textId="77777777" w:rsidTr="00F45D9C">
        <w:trPr>
          <w:trHeight w:val="377"/>
          <w:tblHeader/>
        </w:trPr>
        <w:tc>
          <w:tcPr>
            <w:tcW w:w="5000" w:type="pct"/>
            <w:gridSpan w:val="5"/>
            <w:shd w:val="clear" w:color="auto" w:fill="auto"/>
            <w:vAlign w:val="center"/>
          </w:tcPr>
          <w:p w14:paraId="45D46B2E" w14:textId="77777777" w:rsidR="00E02F30" w:rsidRPr="00E02F30" w:rsidRDefault="00E02F30" w:rsidP="00E02F30">
            <w:pPr>
              <w:spacing w:before="120" w:after="120" w:line="240" w:lineRule="auto"/>
              <w:jc w:val="center"/>
              <w:rPr>
                <w:rFonts w:eastAsia="Calibri" w:cs="Arial"/>
                <w:b/>
                <w:sz w:val="20"/>
                <w:szCs w:val="20"/>
                <w:lang w:eastAsia="pl-PL"/>
              </w:rPr>
            </w:pPr>
            <w:r w:rsidRPr="00E02F30">
              <w:rPr>
                <w:rFonts w:eastAsia="Calibri" w:cs="Arial"/>
                <w:b/>
                <w:sz w:val="20"/>
                <w:szCs w:val="20"/>
                <w:lang w:eastAsia="pl-PL"/>
              </w:rPr>
              <w:t>Wskaźniki biologiczne</w:t>
            </w:r>
          </w:p>
        </w:tc>
      </w:tr>
      <w:tr w:rsidR="00E02F30" w:rsidRPr="00E02F30" w14:paraId="0413EB70" w14:textId="77777777" w:rsidTr="00F45D9C">
        <w:trPr>
          <w:tblHeader/>
        </w:trPr>
        <w:tc>
          <w:tcPr>
            <w:tcW w:w="1212" w:type="pct"/>
            <w:vMerge w:val="restart"/>
            <w:shd w:val="clear" w:color="auto" w:fill="auto"/>
          </w:tcPr>
          <w:p w14:paraId="5A0CCA1E" w14:textId="77777777" w:rsidR="00E02F30" w:rsidRPr="00E02F30" w:rsidRDefault="00E02F30" w:rsidP="00E02F30">
            <w:pPr>
              <w:spacing w:before="120" w:after="120" w:line="240" w:lineRule="auto"/>
              <w:jc w:val="center"/>
              <w:rPr>
                <w:rFonts w:eastAsia="Calibri" w:cs="Arial"/>
                <w:b/>
                <w:sz w:val="20"/>
                <w:szCs w:val="20"/>
                <w:lang w:eastAsia="pl-PL"/>
              </w:rPr>
            </w:pPr>
            <w:r w:rsidRPr="00E02F30">
              <w:rPr>
                <w:rFonts w:eastAsia="Calibri" w:cs="Arial"/>
                <w:b/>
                <w:sz w:val="20"/>
                <w:szCs w:val="20"/>
                <w:lang w:eastAsia="pl-PL"/>
              </w:rPr>
              <w:t>Wskaźniki biologiczne</w:t>
            </w:r>
          </w:p>
        </w:tc>
        <w:tc>
          <w:tcPr>
            <w:tcW w:w="1893" w:type="pct"/>
            <w:gridSpan w:val="2"/>
            <w:shd w:val="clear" w:color="auto" w:fill="auto"/>
          </w:tcPr>
          <w:p w14:paraId="37B2D99C" w14:textId="77777777" w:rsidR="00E02F30" w:rsidRPr="00E02F30" w:rsidRDefault="00E02F30" w:rsidP="00E02F30">
            <w:pPr>
              <w:spacing w:before="120" w:after="120" w:line="240" w:lineRule="auto"/>
              <w:jc w:val="center"/>
              <w:rPr>
                <w:rFonts w:eastAsia="Calibri" w:cs="Arial"/>
                <w:b/>
                <w:sz w:val="20"/>
                <w:szCs w:val="20"/>
                <w:lang w:eastAsia="pl-PL"/>
              </w:rPr>
            </w:pPr>
            <w:proofErr w:type="spellStart"/>
            <w:r w:rsidRPr="00E02F30">
              <w:rPr>
                <w:rFonts w:eastAsia="Calibri" w:cs="Arial"/>
                <w:b/>
                <w:sz w:val="20"/>
                <w:szCs w:val="20"/>
                <w:lang w:eastAsia="pl-PL"/>
              </w:rPr>
              <w:t>ppk</w:t>
            </w:r>
            <w:proofErr w:type="spellEnd"/>
            <w:r w:rsidRPr="00E02F30">
              <w:rPr>
                <w:rFonts w:eastAsia="Calibri" w:cs="Arial"/>
                <w:b/>
                <w:sz w:val="20"/>
                <w:szCs w:val="20"/>
                <w:lang w:eastAsia="pl-PL"/>
              </w:rPr>
              <w:t xml:space="preserve"> San – Krzeszów</w:t>
            </w:r>
          </w:p>
        </w:tc>
        <w:tc>
          <w:tcPr>
            <w:tcW w:w="1895" w:type="pct"/>
            <w:gridSpan w:val="2"/>
            <w:shd w:val="clear" w:color="auto" w:fill="auto"/>
          </w:tcPr>
          <w:p w14:paraId="63530C83" w14:textId="77777777" w:rsidR="00E02F30" w:rsidRPr="00E02F30" w:rsidRDefault="00E02F30" w:rsidP="00E02F30">
            <w:pPr>
              <w:spacing w:before="120" w:after="120" w:line="240" w:lineRule="auto"/>
              <w:jc w:val="center"/>
              <w:rPr>
                <w:rFonts w:eastAsia="Calibri" w:cs="Arial"/>
                <w:b/>
                <w:sz w:val="20"/>
                <w:szCs w:val="20"/>
                <w:lang w:eastAsia="pl-PL"/>
              </w:rPr>
            </w:pPr>
            <w:proofErr w:type="spellStart"/>
            <w:r w:rsidRPr="00E02F30">
              <w:rPr>
                <w:rFonts w:eastAsia="Calibri" w:cs="Arial"/>
                <w:b/>
                <w:sz w:val="20"/>
                <w:szCs w:val="20"/>
                <w:lang w:eastAsia="pl-PL"/>
              </w:rPr>
              <w:t>ppk</w:t>
            </w:r>
            <w:proofErr w:type="spellEnd"/>
            <w:r w:rsidRPr="00E02F30">
              <w:rPr>
                <w:rFonts w:eastAsia="Calibri" w:cs="Arial"/>
                <w:b/>
                <w:sz w:val="20"/>
                <w:szCs w:val="20"/>
                <w:lang w:eastAsia="pl-PL"/>
              </w:rPr>
              <w:t xml:space="preserve"> San – Stare Miasto</w:t>
            </w:r>
          </w:p>
        </w:tc>
      </w:tr>
      <w:tr w:rsidR="00E02F30" w:rsidRPr="00E02F30" w14:paraId="2396DB3B" w14:textId="77777777" w:rsidTr="00F45D9C">
        <w:trPr>
          <w:tblHeader/>
        </w:trPr>
        <w:tc>
          <w:tcPr>
            <w:tcW w:w="1212" w:type="pct"/>
            <w:vMerge/>
            <w:shd w:val="clear" w:color="auto" w:fill="auto"/>
          </w:tcPr>
          <w:p w14:paraId="0B3BE61B" w14:textId="77777777" w:rsidR="00E02F30" w:rsidRPr="00E02F30" w:rsidRDefault="00E02F30" w:rsidP="00E02F30">
            <w:pPr>
              <w:spacing w:before="120" w:after="120" w:line="240" w:lineRule="auto"/>
              <w:jc w:val="center"/>
              <w:rPr>
                <w:rFonts w:eastAsia="Calibri" w:cs="Arial"/>
                <w:b/>
                <w:sz w:val="20"/>
                <w:szCs w:val="20"/>
                <w:lang w:eastAsia="pl-PL"/>
              </w:rPr>
            </w:pPr>
          </w:p>
        </w:tc>
        <w:tc>
          <w:tcPr>
            <w:tcW w:w="1105" w:type="pct"/>
            <w:shd w:val="clear" w:color="auto" w:fill="auto"/>
          </w:tcPr>
          <w:p w14:paraId="13F7590D" w14:textId="77777777" w:rsidR="00E02F30" w:rsidRPr="00E02F30" w:rsidRDefault="00E02F30" w:rsidP="00E02F30">
            <w:pPr>
              <w:spacing w:before="120" w:after="120" w:line="240" w:lineRule="auto"/>
              <w:jc w:val="center"/>
              <w:rPr>
                <w:rFonts w:eastAsia="Calibri" w:cs="Arial"/>
                <w:b/>
                <w:sz w:val="20"/>
                <w:szCs w:val="20"/>
                <w:lang w:eastAsia="pl-PL"/>
              </w:rPr>
            </w:pPr>
            <w:r w:rsidRPr="00E02F30">
              <w:rPr>
                <w:rFonts w:eastAsia="Calibri" w:cs="Arial"/>
                <w:b/>
                <w:sz w:val="20"/>
                <w:szCs w:val="20"/>
                <w:lang w:eastAsia="pl-PL"/>
              </w:rPr>
              <w:t>cykl wieloletni</w:t>
            </w:r>
          </w:p>
        </w:tc>
        <w:tc>
          <w:tcPr>
            <w:tcW w:w="788" w:type="pct"/>
            <w:shd w:val="clear" w:color="auto" w:fill="auto"/>
          </w:tcPr>
          <w:p w14:paraId="132006E4" w14:textId="77777777" w:rsidR="00E02F30" w:rsidRPr="00E02F30" w:rsidRDefault="00E02F30" w:rsidP="00E02F30">
            <w:pPr>
              <w:spacing w:before="120" w:after="120" w:line="240" w:lineRule="auto"/>
              <w:jc w:val="center"/>
              <w:rPr>
                <w:rFonts w:eastAsia="Calibri" w:cs="Arial"/>
                <w:b/>
                <w:sz w:val="20"/>
                <w:szCs w:val="20"/>
                <w:lang w:eastAsia="pl-PL"/>
              </w:rPr>
            </w:pPr>
            <w:r w:rsidRPr="00E02F30">
              <w:rPr>
                <w:rFonts w:eastAsia="Calibri" w:cs="Arial"/>
                <w:b/>
                <w:sz w:val="20"/>
                <w:szCs w:val="20"/>
                <w:lang w:eastAsia="pl-PL"/>
              </w:rPr>
              <w:t>ilość w roku</w:t>
            </w:r>
          </w:p>
        </w:tc>
        <w:tc>
          <w:tcPr>
            <w:tcW w:w="1001" w:type="pct"/>
            <w:shd w:val="clear" w:color="auto" w:fill="auto"/>
          </w:tcPr>
          <w:p w14:paraId="4EB51106" w14:textId="77777777" w:rsidR="00E02F30" w:rsidRPr="00E02F30" w:rsidRDefault="00E02F30" w:rsidP="00E02F30">
            <w:pPr>
              <w:spacing w:before="120" w:after="120" w:line="240" w:lineRule="auto"/>
              <w:jc w:val="center"/>
              <w:rPr>
                <w:rFonts w:eastAsia="Calibri" w:cs="Arial"/>
                <w:b/>
                <w:sz w:val="20"/>
                <w:szCs w:val="20"/>
                <w:lang w:eastAsia="pl-PL"/>
              </w:rPr>
            </w:pPr>
            <w:r w:rsidRPr="00E02F30">
              <w:rPr>
                <w:rFonts w:eastAsia="Calibri" w:cs="Arial"/>
                <w:b/>
                <w:sz w:val="20"/>
                <w:szCs w:val="20"/>
                <w:lang w:eastAsia="pl-PL"/>
              </w:rPr>
              <w:t>cykl wieloletni</w:t>
            </w:r>
          </w:p>
        </w:tc>
        <w:tc>
          <w:tcPr>
            <w:tcW w:w="894" w:type="pct"/>
            <w:shd w:val="clear" w:color="auto" w:fill="auto"/>
          </w:tcPr>
          <w:p w14:paraId="135AF5DD" w14:textId="77777777" w:rsidR="00E02F30" w:rsidRPr="00E02F30" w:rsidRDefault="00E02F30" w:rsidP="00E02F30">
            <w:pPr>
              <w:spacing w:before="120" w:after="120" w:line="240" w:lineRule="auto"/>
              <w:jc w:val="center"/>
              <w:rPr>
                <w:rFonts w:eastAsia="Calibri" w:cs="Arial"/>
                <w:b/>
                <w:sz w:val="20"/>
                <w:szCs w:val="20"/>
                <w:lang w:eastAsia="pl-PL"/>
              </w:rPr>
            </w:pPr>
            <w:r w:rsidRPr="00E02F30">
              <w:rPr>
                <w:rFonts w:eastAsia="Calibri" w:cs="Arial"/>
                <w:b/>
                <w:sz w:val="20"/>
                <w:szCs w:val="20"/>
                <w:lang w:eastAsia="pl-PL"/>
              </w:rPr>
              <w:t>ilość w roku</w:t>
            </w:r>
          </w:p>
        </w:tc>
      </w:tr>
      <w:tr w:rsidR="00E02F30" w:rsidRPr="00E02F30" w14:paraId="6EDC7F25" w14:textId="77777777" w:rsidTr="00A1631B">
        <w:tc>
          <w:tcPr>
            <w:tcW w:w="1212" w:type="pct"/>
            <w:shd w:val="clear" w:color="auto" w:fill="auto"/>
          </w:tcPr>
          <w:p w14:paraId="6D6525E5"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Fitoplankton</w:t>
            </w:r>
          </w:p>
        </w:tc>
        <w:tc>
          <w:tcPr>
            <w:tcW w:w="1105" w:type="pct"/>
            <w:shd w:val="clear" w:color="auto" w:fill="auto"/>
          </w:tcPr>
          <w:p w14:paraId="5C6BBC9F"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3 – letni (od 2024)</w:t>
            </w:r>
          </w:p>
        </w:tc>
        <w:tc>
          <w:tcPr>
            <w:tcW w:w="788" w:type="pct"/>
            <w:shd w:val="clear" w:color="auto" w:fill="auto"/>
          </w:tcPr>
          <w:p w14:paraId="2C301879" w14:textId="77777777" w:rsidR="00E02F30" w:rsidRPr="00E02F30" w:rsidRDefault="00E02F30" w:rsidP="00E02F30">
            <w:pPr>
              <w:spacing w:after="0" w:line="240" w:lineRule="auto"/>
              <w:jc w:val="center"/>
              <w:rPr>
                <w:rFonts w:eastAsia="Calibri" w:cs="Arial"/>
                <w:sz w:val="18"/>
                <w:szCs w:val="18"/>
                <w:lang w:eastAsia="pl-PL"/>
              </w:rPr>
            </w:pPr>
            <w:r w:rsidRPr="00E02F30">
              <w:rPr>
                <w:rFonts w:eastAsia="Calibri" w:cs="Arial"/>
                <w:sz w:val="18"/>
                <w:szCs w:val="18"/>
                <w:lang w:eastAsia="pl-PL"/>
              </w:rPr>
              <w:t>6</w:t>
            </w:r>
          </w:p>
        </w:tc>
        <w:tc>
          <w:tcPr>
            <w:tcW w:w="1001" w:type="pct"/>
            <w:shd w:val="clear" w:color="auto" w:fill="auto"/>
          </w:tcPr>
          <w:p w14:paraId="4C27A556"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3 – letni (od 2025)</w:t>
            </w:r>
          </w:p>
        </w:tc>
        <w:tc>
          <w:tcPr>
            <w:tcW w:w="894" w:type="pct"/>
            <w:shd w:val="clear" w:color="auto" w:fill="auto"/>
          </w:tcPr>
          <w:p w14:paraId="27FEA3BE" w14:textId="77777777" w:rsidR="00E02F30" w:rsidRPr="00E02F30" w:rsidRDefault="00E02F30" w:rsidP="00E02F30">
            <w:pPr>
              <w:spacing w:after="0" w:line="240" w:lineRule="auto"/>
              <w:jc w:val="center"/>
              <w:rPr>
                <w:rFonts w:eastAsia="Calibri" w:cs="Arial"/>
                <w:sz w:val="18"/>
                <w:szCs w:val="18"/>
                <w:lang w:eastAsia="pl-PL"/>
              </w:rPr>
            </w:pPr>
            <w:r w:rsidRPr="00E02F30">
              <w:rPr>
                <w:rFonts w:eastAsia="Calibri" w:cs="Arial"/>
                <w:sz w:val="18"/>
                <w:szCs w:val="18"/>
                <w:lang w:eastAsia="pl-PL"/>
              </w:rPr>
              <w:t>6</w:t>
            </w:r>
          </w:p>
        </w:tc>
      </w:tr>
      <w:tr w:rsidR="00E02F30" w:rsidRPr="00E02F30" w14:paraId="313D700E" w14:textId="77777777" w:rsidTr="00A1631B">
        <w:tc>
          <w:tcPr>
            <w:tcW w:w="1212" w:type="pct"/>
            <w:shd w:val="clear" w:color="auto" w:fill="auto"/>
          </w:tcPr>
          <w:p w14:paraId="1C06A774"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Fitobentos</w:t>
            </w:r>
          </w:p>
        </w:tc>
        <w:tc>
          <w:tcPr>
            <w:tcW w:w="1105" w:type="pct"/>
            <w:shd w:val="clear" w:color="auto" w:fill="auto"/>
          </w:tcPr>
          <w:p w14:paraId="4652CE1A"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3 – letni (od 2024)</w:t>
            </w:r>
          </w:p>
        </w:tc>
        <w:tc>
          <w:tcPr>
            <w:tcW w:w="788" w:type="pct"/>
            <w:shd w:val="clear" w:color="auto" w:fill="auto"/>
          </w:tcPr>
          <w:p w14:paraId="71B9A7CA" w14:textId="77777777" w:rsidR="00E02F30" w:rsidRPr="00E02F30" w:rsidRDefault="00E02F30" w:rsidP="00E02F30">
            <w:pPr>
              <w:spacing w:after="0" w:line="240" w:lineRule="auto"/>
              <w:jc w:val="center"/>
              <w:rPr>
                <w:rFonts w:eastAsia="Calibri" w:cs="Arial"/>
                <w:sz w:val="18"/>
                <w:szCs w:val="18"/>
                <w:lang w:eastAsia="pl-PL"/>
              </w:rPr>
            </w:pPr>
            <w:r w:rsidRPr="00E02F30">
              <w:rPr>
                <w:rFonts w:eastAsia="Calibri" w:cs="Arial"/>
                <w:sz w:val="18"/>
                <w:szCs w:val="18"/>
                <w:lang w:eastAsia="pl-PL"/>
              </w:rPr>
              <w:t>1</w:t>
            </w:r>
          </w:p>
        </w:tc>
        <w:tc>
          <w:tcPr>
            <w:tcW w:w="1001" w:type="pct"/>
            <w:shd w:val="clear" w:color="auto" w:fill="auto"/>
          </w:tcPr>
          <w:p w14:paraId="7A66E33F"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3 – letni (od 2025)</w:t>
            </w:r>
          </w:p>
        </w:tc>
        <w:tc>
          <w:tcPr>
            <w:tcW w:w="894" w:type="pct"/>
            <w:shd w:val="clear" w:color="auto" w:fill="auto"/>
          </w:tcPr>
          <w:p w14:paraId="5828D342" w14:textId="77777777" w:rsidR="00E02F30" w:rsidRPr="00E02F30" w:rsidRDefault="00E02F30" w:rsidP="00E02F30">
            <w:pPr>
              <w:spacing w:after="0" w:line="240" w:lineRule="auto"/>
              <w:jc w:val="center"/>
              <w:rPr>
                <w:rFonts w:eastAsia="Calibri" w:cs="Arial"/>
                <w:sz w:val="18"/>
                <w:szCs w:val="18"/>
                <w:lang w:eastAsia="pl-PL"/>
              </w:rPr>
            </w:pPr>
            <w:r w:rsidRPr="00E02F30">
              <w:rPr>
                <w:rFonts w:eastAsia="Calibri" w:cs="Arial"/>
                <w:sz w:val="18"/>
                <w:szCs w:val="18"/>
                <w:lang w:eastAsia="pl-PL"/>
              </w:rPr>
              <w:t>1</w:t>
            </w:r>
          </w:p>
        </w:tc>
      </w:tr>
      <w:tr w:rsidR="00E02F30" w:rsidRPr="00E02F30" w14:paraId="677947D2" w14:textId="77777777" w:rsidTr="00A1631B">
        <w:tc>
          <w:tcPr>
            <w:tcW w:w="1212" w:type="pct"/>
            <w:shd w:val="clear" w:color="auto" w:fill="auto"/>
          </w:tcPr>
          <w:p w14:paraId="1D00A434" w14:textId="77777777" w:rsidR="00E02F30" w:rsidRPr="00E02F30" w:rsidRDefault="00E02F30" w:rsidP="00E02F30">
            <w:pPr>
              <w:spacing w:after="0" w:line="240" w:lineRule="auto"/>
              <w:rPr>
                <w:rFonts w:eastAsia="Calibri" w:cs="Arial"/>
                <w:sz w:val="18"/>
                <w:szCs w:val="18"/>
                <w:lang w:eastAsia="pl-PL"/>
              </w:rPr>
            </w:pPr>
            <w:proofErr w:type="spellStart"/>
            <w:r w:rsidRPr="00E02F30">
              <w:rPr>
                <w:rFonts w:eastAsia="Calibri" w:cs="Arial"/>
                <w:sz w:val="18"/>
                <w:szCs w:val="18"/>
                <w:lang w:eastAsia="pl-PL"/>
              </w:rPr>
              <w:t>Makrofity</w:t>
            </w:r>
            <w:proofErr w:type="spellEnd"/>
          </w:p>
        </w:tc>
        <w:tc>
          <w:tcPr>
            <w:tcW w:w="1105" w:type="pct"/>
            <w:shd w:val="clear" w:color="auto" w:fill="auto"/>
          </w:tcPr>
          <w:p w14:paraId="3CA80D92"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3 – letni (od 2024)</w:t>
            </w:r>
          </w:p>
        </w:tc>
        <w:tc>
          <w:tcPr>
            <w:tcW w:w="788" w:type="pct"/>
            <w:shd w:val="clear" w:color="auto" w:fill="auto"/>
          </w:tcPr>
          <w:p w14:paraId="161D7A1A" w14:textId="77777777" w:rsidR="00E02F30" w:rsidRPr="00E02F30" w:rsidRDefault="00E02F30" w:rsidP="00E02F30">
            <w:pPr>
              <w:spacing w:after="0" w:line="240" w:lineRule="auto"/>
              <w:jc w:val="center"/>
              <w:rPr>
                <w:rFonts w:eastAsia="Calibri" w:cs="Arial"/>
                <w:sz w:val="18"/>
                <w:szCs w:val="18"/>
                <w:lang w:eastAsia="pl-PL"/>
              </w:rPr>
            </w:pPr>
            <w:r w:rsidRPr="00E02F30">
              <w:rPr>
                <w:rFonts w:eastAsia="Calibri" w:cs="Arial"/>
                <w:sz w:val="18"/>
                <w:szCs w:val="18"/>
                <w:lang w:eastAsia="pl-PL"/>
              </w:rPr>
              <w:t>1</w:t>
            </w:r>
          </w:p>
        </w:tc>
        <w:tc>
          <w:tcPr>
            <w:tcW w:w="1001" w:type="pct"/>
            <w:shd w:val="clear" w:color="auto" w:fill="auto"/>
          </w:tcPr>
          <w:p w14:paraId="03E1E5AE"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3 – letni (od 2025)</w:t>
            </w:r>
          </w:p>
        </w:tc>
        <w:tc>
          <w:tcPr>
            <w:tcW w:w="894" w:type="pct"/>
            <w:shd w:val="clear" w:color="auto" w:fill="auto"/>
          </w:tcPr>
          <w:p w14:paraId="0C34FA76" w14:textId="77777777" w:rsidR="00E02F30" w:rsidRPr="00E02F30" w:rsidRDefault="00E02F30" w:rsidP="00E02F30">
            <w:pPr>
              <w:spacing w:after="0" w:line="240" w:lineRule="auto"/>
              <w:jc w:val="center"/>
              <w:rPr>
                <w:rFonts w:eastAsia="Calibri" w:cs="Arial"/>
                <w:sz w:val="18"/>
                <w:szCs w:val="18"/>
                <w:lang w:eastAsia="pl-PL"/>
              </w:rPr>
            </w:pPr>
            <w:r w:rsidRPr="00E02F30">
              <w:rPr>
                <w:rFonts w:eastAsia="Calibri" w:cs="Arial"/>
                <w:sz w:val="18"/>
                <w:szCs w:val="18"/>
                <w:lang w:eastAsia="pl-PL"/>
              </w:rPr>
              <w:t>1</w:t>
            </w:r>
          </w:p>
        </w:tc>
      </w:tr>
      <w:tr w:rsidR="00E02F30" w:rsidRPr="00E02F30" w14:paraId="13FBCD00" w14:textId="77777777" w:rsidTr="00A1631B">
        <w:tc>
          <w:tcPr>
            <w:tcW w:w="1212" w:type="pct"/>
            <w:shd w:val="clear" w:color="auto" w:fill="auto"/>
          </w:tcPr>
          <w:p w14:paraId="32C54404" w14:textId="77777777" w:rsidR="00E02F30" w:rsidRPr="00E02F30" w:rsidRDefault="00E02F30" w:rsidP="00E02F30">
            <w:pPr>
              <w:spacing w:after="0" w:line="240" w:lineRule="auto"/>
              <w:rPr>
                <w:rFonts w:eastAsia="Calibri" w:cs="Arial"/>
                <w:sz w:val="18"/>
                <w:szCs w:val="18"/>
                <w:lang w:eastAsia="pl-PL"/>
              </w:rPr>
            </w:pPr>
            <w:proofErr w:type="spellStart"/>
            <w:r w:rsidRPr="00E02F30">
              <w:rPr>
                <w:rFonts w:eastAsia="Calibri" w:cs="Arial"/>
                <w:sz w:val="18"/>
                <w:szCs w:val="18"/>
                <w:lang w:eastAsia="pl-PL"/>
              </w:rPr>
              <w:t>Makrobezkręgowce</w:t>
            </w:r>
            <w:proofErr w:type="spellEnd"/>
            <w:r w:rsidRPr="00E02F30">
              <w:rPr>
                <w:rFonts w:eastAsia="Calibri" w:cs="Arial"/>
                <w:sz w:val="18"/>
                <w:szCs w:val="18"/>
                <w:lang w:eastAsia="pl-PL"/>
              </w:rPr>
              <w:t xml:space="preserve"> bentosowe</w:t>
            </w:r>
          </w:p>
        </w:tc>
        <w:tc>
          <w:tcPr>
            <w:tcW w:w="1105" w:type="pct"/>
            <w:shd w:val="clear" w:color="auto" w:fill="auto"/>
          </w:tcPr>
          <w:p w14:paraId="54CF298A"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3 – letni (od 2024)</w:t>
            </w:r>
          </w:p>
        </w:tc>
        <w:tc>
          <w:tcPr>
            <w:tcW w:w="788" w:type="pct"/>
            <w:shd w:val="clear" w:color="auto" w:fill="auto"/>
          </w:tcPr>
          <w:p w14:paraId="2A79760A" w14:textId="77777777" w:rsidR="00E02F30" w:rsidRPr="00E02F30" w:rsidRDefault="00E02F30" w:rsidP="00E02F30">
            <w:pPr>
              <w:spacing w:after="0" w:line="240" w:lineRule="auto"/>
              <w:jc w:val="center"/>
              <w:rPr>
                <w:rFonts w:eastAsia="Calibri" w:cs="Arial"/>
                <w:sz w:val="18"/>
                <w:szCs w:val="18"/>
                <w:lang w:eastAsia="pl-PL"/>
              </w:rPr>
            </w:pPr>
            <w:r w:rsidRPr="00E02F30">
              <w:rPr>
                <w:rFonts w:eastAsia="Calibri" w:cs="Arial"/>
                <w:sz w:val="18"/>
                <w:szCs w:val="18"/>
                <w:lang w:eastAsia="pl-PL"/>
              </w:rPr>
              <w:t>1</w:t>
            </w:r>
          </w:p>
        </w:tc>
        <w:tc>
          <w:tcPr>
            <w:tcW w:w="1001" w:type="pct"/>
            <w:shd w:val="clear" w:color="auto" w:fill="auto"/>
          </w:tcPr>
          <w:p w14:paraId="10B22E7C"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3 – letni (od 2025)</w:t>
            </w:r>
          </w:p>
        </w:tc>
        <w:tc>
          <w:tcPr>
            <w:tcW w:w="894" w:type="pct"/>
            <w:shd w:val="clear" w:color="auto" w:fill="auto"/>
          </w:tcPr>
          <w:p w14:paraId="1EADFE26" w14:textId="77777777" w:rsidR="00E02F30" w:rsidRPr="00E02F30" w:rsidRDefault="00E02F30" w:rsidP="00E02F30">
            <w:pPr>
              <w:spacing w:after="0" w:line="240" w:lineRule="auto"/>
              <w:jc w:val="center"/>
              <w:rPr>
                <w:rFonts w:eastAsia="Calibri" w:cs="Arial"/>
                <w:sz w:val="18"/>
                <w:szCs w:val="18"/>
                <w:lang w:eastAsia="pl-PL"/>
              </w:rPr>
            </w:pPr>
            <w:r w:rsidRPr="00E02F30">
              <w:rPr>
                <w:rFonts w:eastAsia="Calibri" w:cs="Arial"/>
                <w:sz w:val="18"/>
                <w:szCs w:val="18"/>
                <w:lang w:eastAsia="pl-PL"/>
              </w:rPr>
              <w:t>1</w:t>
            </w:r>
          </w:p>
        </w:tc>
      </w:tr>
      <w:tr w:rsidR="00E02F30" w:rsidRPr="00E02F30" w14:paraId="517307C8" w14:textId="77777777" w:rsidTr="00A1631B">
        <w:tc>
          <w:tcPr>
            <w:tcW w:w="1212" w:type="pct"/>
            <w:shd w:val="clear" w:color="auto" w:fill="auto"/>
          </w:tcPr>
          <w:p w14:paraId="3DF440A2"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Ichtiofauna</w:t>
            </w:r>
          </w:p>
        </w:tc>
        <w:tc>
          <w:tcPr>
            <w:tcW w:w="1105" w:type="pct"/>
            <w:shd w:val="clear" w:color="auto" w:fill="auto"/>
          </w:tcPr>
          <w:p w14:paraId="5E605334"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3 – letni (od 2024)</w:t>
            </w:r>
          </w:p>
        </w:tc>
        <w:tc>
          <w:tcPr>
            <w:tcW w:w="788" w:type="pct"/>
            <w:shd w:val="clear" w:color="auto" w:fill="auto"/>
          </w:tcPr>
          <w:p w14:paraId="3064CF41" w14:textId="77777777" w:rsidR="00E02F30" w:rsidRPr="00E02F30" w:rsidRDefault="00E02F30" w:rsidP="00E02F30">
            <w:pPr>
              <w:spacing w:after="0" w:line="240" w:lineRule="auto"/>
              <w:jc w:val="center"/>
              <w:rPr>
                <w:rFonts w:eastAsia="Calibri" w:cs="Arial"/>
                <w:sz w:val="18"/>
                <w:szCs w:val="18"/>
                <w:lang w:eastAsia="pl-PL"/>
              </w:rPr>
            </w:pPr>
            <w:r w:rsidRPr="00E02F30">
              <w:rPr>
                <w:rFonts w:eastAsia="Calibri" w:cs="Arial"/>
                <w:sz w:val="18"/>
                <w:szCs w:val="18"/>
                <w:lang w:eastAsia="pl-PL"/>
              </w:rPr>
              <w:t>1</w:t>
            </w:r>
          </w:p>
        </w:tc>
        <w:tc>
          <w:tcPr>
            <w:tcW w:w="1001" w:type="pct"/>
            <w:shd w:val="clear" w:color="auto" w:fill="auto"/>
          </w:tcPr>
          <w:p w14:paraId="266FB087" w14:textId="77777777" w:rsidR="00E02F30" w:rsidRPr="00E02F30" w:rsidRDefault="00E02F30" w:rsidP="00E02F30">
            <w:pPr>
              <w:spacing w:after="0" w:line="240" w:lineRule="auto"/>
              <w:rPr>
                <w:rFonts w:eastAsia="Calibri" w:cs="Arial"/>
                <w:sz w:val="18"/>
                <w:szCs w:val="18"/>
                <w:lang w:eastAsia="pl-PL"/>
              </w:rPr>
            </w:pPr>
            <w:r w:rsidRPr="00E02F30">
              <w:rPr>
                <w:rFonts w:eastAsia="Calibri" w:cs="Arial"/>
                <w:sz w:val="18"/>
                <w:szCs w:val="18"/>
                <w:lang w:eastAsia="pl-PL"/>
              </w:rPr>
              <w:t>3 - letni(od 2025)</w:t>
            </w:r>
          </w:p>
        </w:tc>
        <w:tc>
          <w:tcPr>
            <w:tcW w:w="894" w:type="pct"/>
            <w:shd w:val="clear" w:color="auto" w:fill="auto"/>
          </w:tcPr>
          <w:p w14:paraId="25D40290" w14:textId="77777777" w:rsidR="00E02F30" w:rsidRPr="00E02F30" w:rsidRDefault="00E02F30" w:rsidP="00E02F30">
            <w:pPr>
              <w:spacing w:after="0" w:line="240" w:lineRule="auto"/>
              <w:jc w:val="center"/>
              <w:rPr>
                <w:rFonts w:eastAsia="Calibri" w:cs="Arial"/>
                <w:sz w:val="18"/>
                <w:szCs w:val="18"/>
                <w:lang w:eastAsia="pl-PL"/>
              </w:rPr>
            </w:pPr>
            <w:r w:rsidRPr="00E02F30">
              <w:rPr>
                <w:rFonts w:eastAsia="Calibri" w:cs="Arial"/>
                <w:sz w:val="18"/>
                <w:szCs w:val="18"/>
                <w:lang w:eastAsia="pl-PL"/>
              </w:rPr>
              <w:t>1</w:t>
            </w:r>
          </w:p>
        </w:tc>
      </w:tr>
    </w:tbl>
    <w:p w14:paraId="44FE69B5" w14:textId="77777777" w:rsidR="00E02F30" w:rsidRPr="00E02F30" w:rsidRDefault="00E02F30" w:rsidP="00E02F30">
      <w:pPr>
        <w:spacing w:after="0" w:line="240" w:lineRule="auto"/>
        <w:jc w:val="both"/>
        <w:rPr>
          <w:rFonts w:eastAsia="Times New Roman" w:cs="Times New Roman"/>
          <w:szCs w:val="24"/>
          <w:lang w:eastAsia="pl-PL"/>
        </w:rPr>
      </w:pPr>
    </w:p>
    <w:p w14:paraId="6F2A2DBA" w14:textId="77777777" w:rsidR="00E02F30" w:rsidRPr="00E02F30" w:rsidRDefault="00E02F30" w:rsidP="00E02F30">
      <w:pPr>
        <w:keepNext/>
        <w:widowControl w:val="0"/>
        <w:adjustRightInd w:val="0"/>
        <w:spacing w:after="0" w:line="360" w:lineRule="auto"/>
        <w:textAlignment w:val="baseline"/>
        <w:outlineLvl w:val="2"/>
        <w:rPr>
          <w:rFonts w:eastAsia="Times New Roman" w:cs="Times New Roman"/>
          <w:b/>
          <w:szCs w:val="20"/>
          <w:lang w:eastAsia="pl-PL"/>
        </w:rPr>
      </w:pPr>
      <w:r w:rsidRPr="00E02F30">
        <w:rPr>
          <w:rFonts w:eastAsia="Times New Roman" w:cs="Times New Roman"/>
          <w:b/>
          <w:szCs w:val="20"/>
          <w:lang w:eastAsia="pl-PL"/>
        </w:rPr>
        <w:t>VI.8. Monitoring odpadów i ich ewidencja.</w:t>
      </w:r>
    </w:p>
    <w:p w14:paraId="402924C4"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W instalacji prowadzona będzie ilościowa i jakościowa ewidencja odpadów wytwarzanych, w oparciu o katalog odpadów za pomocą kart ewidencji odpadów, a także kart przekazania odpadów w Bazie danych o produktach i opakowaniach oraz o gospodarce odpadami (BDO).</w:t>
      </w:r>
    </w:p>
    <w:p w14:paraId="05745823" w14:textId="77777777" w:rsidR="00E02F30" w:rsidRPr="00E02F30" w:rsidRDefault="00E02F30" w:rsidP="00E02F30">
      <w:pPr>
        <w:keepNext/>
        <w:widowControl w:val="0"/>
        <w:adjustRightInd w:val="0"/>
        <w:spacing w:after="0" w:line="360" w:lineRule="auto"/>
        <w:jc w:val="both"/>
        <w:textAlignment w:val="baseline"/>
        <w:outlineLvl w:val="2"/>
        <w:rPr>
          <w:rFonts w:eastAsia="Times New Roman" w:cs="Times New Roman"/>
          <w:szCs w:val="20"/>
          <w:lang w:eastAsia="pl-PL"/>
        </w:rPr>
      </w:pPr>
      <w:r w:rsidRPr="00E02F30">
        <w:rPr>
          <w:rFonts w:eastAsia="Times New Roman" w:cs="Times New Roman"/>
          <w:b/>
          <w:szCs w:val="20"/>
          <w:lang w:eastAsia="pl-PL"/>
        </w:rPr>
        <w:t>VI.9. Zasady wykorzystania i gromadzenia wyników monitorowania ins</w:t>
      </w:r>
      <w:r w:rsidRPr="00E02F30">
        <w:rPr>
          <w:rFonts w:eastAsia="Times New Roman" w:cs="Times New Roman"/>
          <w:b/>
          <w:color w:val="000000"/>
          <w:szCs w:val="20"/>
          <w:lang w:eastAsia="pl-PL"/>
        </w:rPr>
        <w:t xml:space="preserve">talacji </w:t>
      </w:r>
    </w:p>
    <w:p w14:paraId="5B65DD87" w14:textId="77777777" w:rsidR="00E02F30" w:rsidRPr="00E02F30" w:rsidRDefault="00E02F30" w:rsidP="00E02F30">
      <w:pPr>
        <w:keepNext/>
        <w:widowControl w:val="0"/>
        <w:adjustRightInd w:val="0"/>
        <w:spacing w:after="0" w:line="276" w:lineRule="auto"/>
        <w:jc w:val="both"/>
        <w:textAlignment w:val="baseline"/>
        <w:outlineLvl w:val="3"/>
        <w:rPr>
          <w:rFonts w:eastAsia="Times New Roman" w:cs="Times New Roman"/>
          <w:bCs/>
          <w:szCs w:val="20"/>
          <w:lang w:eastAsia="pl-PL"/>
        </w:rPr>
      </w:pPr>
      <w:r w:rsidRPr="00E02F30">
        <w:rPr>
          <w:rFonts w:eastAsia="Times New Roman" w:cs="Times New Roman"/>
          <w:b/>
          <w:szCs w:val="20"/>
          <w:lang w:eastAsia="pl-PL"/>
        </w:rPr>
        <w:t>VI.9.1.</w:t>
      </w:r>
      <w:r w:rsidRPr="00E02F30">
        <w:rPr>
          <w:rFonts w:eastAsia="Times New Roman" w:cs="Times New Roman"/>
          <w:bCs/>
          <w:szCs w:val="20"/>
          <w:lang w:eastAsia="pl-PL"/>
        </w:rPr>
        <w:t>Uzyskiwane wyniki pomiarów będą na bieżąco rejestrowane, analizowane</w:t>
      </w:r>
      <w:r w:rsidRPr="00E02F30">
        <w:rPr>
          <w:rFonts w:eastAsia="Times New Roman" w:cs="Times New Roman"/>
          <w:bCs/>
          <w:szCs w:val="20"/>
          <w:lang w:eastAsia="pl-PL"/>
        </w:rPr>
        <w:br/>
        <w:t>i wykorzystywane przez operatora instalacji zgodnie z procedurami zintegrowanego zakładowego systemu zarządzania i instrukcjami ruchowymi.</w:t>
      </w:r>
    </w:p>
    <w:p w14:paraId="6DF06154" w14:textId="77777777" w:rsidR="00E02F30" w:rsidRPr="00E02F30" w:rsidRDefault="00E02F30" w:rsidP="00E02F30">
      <w:pPr>
        <w:keepNext/>
        <w:widowControl w:val="0"/>
        <w:adjustRightInd w:val="0"/>
        <w:spacing w:after="0" w:line="276" w:lineRule="auto"/>
        <w:jc w:val="both"/>
        <w:textAlignment w:val="baseline"/>
        <w:outlineLvl w:val="3"/>
        <w:rPr>
          <w:rFonts w:eastAsia="Times New Roman" w:cs="Times New Roman"/>
          <w:bCs/>
          <w:szCs w:val="20"/>
          <w:lang w:eastAsia="pl-PL"/>
        </w:rPr>
      </w:pPr>
      <w:r w:rsidRPr="00E02F30">
        <w:rPr>
          <w:rFonts w:eastAsia="Times New Roman" w:cs="Times New Roman"/>
          <w:b/>
          <w:color w:val="000000"/>
          <w:szCs w:val="20"/>
          <w:lang w:eastAsia="pl-PL"/>
        </w:rPr>
        <w:t>VI.9.2.</w:t>
      </w:r>
      <w:r w:rsidRPr="00E02F30">
        <w:rPr>
          <w:rFonts w:eastAsia="Times New Roman" w:cs="Times New Roman"/>
          <w:b/>
          <w:szCs w:val="20"/>
          <w:lang w:eastAsia="pl-PL"/>
        </w:rPr>
        <w:t xml:space="preserve"> </w:t>
      </w:r>
      <w:r w:rsidRPr="00E02F30">
        <w:rPr>
          <w:rFonts w:eastAsia="Times New Roman" w:cs="Times New Roman"/>
          <w:bCs/>
          <w:szCs w:val="20"/>
          <w:lang w:eastAsia="pl-PL"/>
        </w:rPr>
        <w:t>Wyniki monitoringu będą przechowywane zgodnie z obowiązującymi procedurami zintegrowanego zakładowego systemu zarządzania.</w:t>
      </w:r>
    </w:p>
    <w:p w14:paraId="39D2B2D3" w14:textId="77777777" w:rsidR="00E02F30" w:rsidRPr="00E02F30" w:rsidRDefault="00E02F30" w:rsidP="00E02F30">
      <w:pPr>
        <w:keepNext/>
        <w:widowControl w:val="0"/>
        <w:adjustRightInd w:val="0"/>
        <w:spacing w:after="0" w:line="240" w:lineRule="auto"/>
        <w:jc w:val="both"/>
        <w:textAlignment w:val="baseline"/>
        <w:outlineLvl w:val="1"/>
        <w:rPr>
          <w:rFonts w:eastAsia="Times New Roman" w:cs="Times New Roman"/>
          <w:b/>
          <w:szCs w:val="20"/>
          <w:lang w:val="en-US" w:eastAsia="pl-PL"/>
        </w:rPr>
      </w:pPr>
      <w:r w:rsidRPr="00E02F30">
        <w:rPr>
          <w:rFonts w:eastAsia="Times New Roman" w:cs="Times New Roman"/>
          <w:b/>
          <w:szCs w:val="20"/>
          <w:lang w:val="en-US" w:eastAsia="pl-PL"/>
        </w:rPr>
        <w:t xml:space="preserve">VII. </w:t>
      </w:r>
      <w:proofErr w:type="spellStart"/>
      <w:r w:rsidRPr="00E02F30">
        <w:rPr>
          <w:rFonts w:eastAsia="Times New Roman" w:cs="Times New Roman"/>
          <w:b/>
          <w:szCs w:val="20"/>
          <w:lang w:val="en-US" w:eastAsia="pl-PL"/>
        </w:rPr>
        <w:t>Sposób</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postępowania</w:t>
      </w:r>
      <w:proofErr w:type="spellEnd"/>
      <w:r w:rsidRPr="00E02F30">
        <w:rPr>
          <w:rFonts w:eastAsia="Times New Roman" w:cs="Times New Roman"/>
          <w:b/>
          <w:szCs w:val="20"/>
          <w:lang w:val="en-US" w:eastAsia="pl-PL"/>
        </w:rPr>
        <w:t xml:space="preserve"> w </w:t>
      </w:r>
      <w:proofErr w:type="spellStart"/>
      <w:r w:rsidRPr="00E02F30">
        <w:rPr>
          <w:rFonts w:eastAsia="Times New Roman" w:cs="Times New Roman"/>
          <w:b/>
          <w:szCs w:val="20"/>
          <w:lang w:val="en-US" w:eastAsia="pl-PL"/>
        </w:rPr>
        <w:t>przypadku</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uszkodzenia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aparatury</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pomiarowej</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służącej</w:t>
      </w:r>
      <w:proofErr w:type="spellEnd"/>
      <w:r w:rsidRPr="00E02F30">
        <w:rPr>
          <w:rFonts w:eastAsia="Times New Roman" w:cs="Times New Roman"/>
          <w:b/>
          <w:szCs w:val="20"/>
          <w:lang w:val="en-US" w:eastAsia="pl-PL"/>
        </w:rPr>
        <w:t xml:space="preserve"> do </w:t>
      </w:r>
      <w:proofErr w:type="spellStart"/>
      <w:r w:rsidRPr="00E02F30">
        <w:rPr>
          <w:rFonts w:eastAsia="Times New Roman" w:cs="Times New Roman"/>
          <w:b/>
          <w:szCs w:val="20"/>
          <w:lang w:val="en-US" w:eastAsia="pl-PL"/>
        </w:rPr>
        <w:t>monitorowania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procesów</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technologicznych</w:t>
      </w:r>
      <w:proofErr w:type="spellEnd"/>
    </w:p>
    <w:p w14:paraId="6323244A" w14:textId="77777777" w:rsidR="00E02F30" w:rsidRPr="00E02F30" w:rsidRDefault="00E02F30" w:rsidP="00E02F30">
      <w:pPr>
        <w:suppressAutoHyphens/>
        <w:spacing w:after="0" w:line="276" w:lineRule="auto"/>
        <w:jc w:val="both"/>
        <w:rPr>
          <w:rFonts w:eastAsia="Times New Roman" w:cs="Arial"/>
          <w:sz w:val="23"/>
          <w:szCs w:val="23"/>
          <w:lang w:eastAsia="pl-PL"/>
        </w:rPr>
      </w:pPr>
      <w:r w:rsidRPr="00E02F30">
        <w:rPr>
          <w:rFonts w:eastAsia="Times New Roman" w:cs="Arial"/>
          <w:b/>
          <w:szCs w:val="24"/>
          <w:lang w:eastAsia="pl-PL"/>
        </w:rPr>
        <w:t>VII.1.</w:t>
      </w:r>
      <w:r w:rsidRPr="00E02F30">
        <w:rPr>
          <w:rFonts w:eastAsia="Times New Roman" w:cs="Arial"/>
          <w:sz w:val="23"/>
          <w:szCs w:val="23"/>
          <w:lang w:eastAsia="pl-PL"/>
        </w:rPr>
        <w:t xml:space="preserve"> W przypadku uszkodzenia aparatury pomiarowej kontrolującej proces technologiczny lub emisję oraz ustalenia z uwzględnieniem obowiązujących przepisów, że nastąpiło niedotrzymanie standardów emisji, należy wyłączyć instalację z eksploatacji, zgodnie z procedurą zatrzymania instalacji.</w:t>
      </w:r>
    </w:p>
    <w:p w14:paraId="56340A57" w14:textId="77777777" w:rsidR="00E02F30" w:rsidRPr="00E02F30" w:rsidRDefault="00E02F30" w:rsidP="00E02F30">
      <w:pPr>
        <w:suppressAutoHyphens/>
        <w:spacing w:after="0" w:line="276" w:lineRule="auto"/>
        <w:jc w:val="both"/>
        <w:rPr>
          <w:rFonts w:eastAsia="Times New Roman" w:cs="Arial"/>
          <w:sz w:val="23"/>
          <w:szCs w:val="23"/>
          <w:lang w:eastAsia="pl-PL"/>
        </w:rPr>
      </w:pPr>
      <w:r w:rsidRPr="00E02F30">
        <w:rPr>
          <w:rFonts w:eastAsia="Times New Roman" w:cs="Arial"/>
          <w:b/>
          <w:sz w:val="22"/>
          <w:lang w:eastAsia="pl-PL"/>
        </w:rPr>
        <w:t>VII.</w:t>
      </w:r>
      <w:r w:rsidRPr="00E02F30">
        <w:rPr>
          <w:rFonts w:eastAsia="Times New Roman" w:cs="Arial"/>
          <w:b/>
          <w:sz w:val="23"/>
          <w:szCs w:val="23"/>
          <w:lang w:eastAsia="pl-PL"/>
        </w:rPr>
        <w:t>2.</w:t>
      </w:r>
      <w:r w:rsidRPr="00E02F30">
        <w:rPr>
          <w:rFonts w:eastAsia="Times New Roman" w:cs="Arial"/>
          <w:sz w:val="23"/>
          <w:szCs w:val="23"/>
          <w:lang w:eastAsia="pl-PL"/>
        </w:rPr>
        <w:t xml:space="preserve"> O fakcie wyłączenia instalacji z w/w powodu należy powiadomić Marszałka Województwa Podkarpackiego i Podkarpackiego Wojewódzkiego Inspektora Ochrony Środowiska w terminie ustawowym. </w:t>
      </w:r>
    </w:p>
    <w:p w14:paraId="257D952E" w14:textId="77777777" w:rsidR="00E02F30" w:rsidRPr="00E02F30" w:rsidRDefault="00E02F30" w:rsidP="00E02F30">
      <w:pPr>
        <w:keepNext/>
        <w:widowControl w:val="0"/>
        <w:adjustRightInd w:val="0"/>
        <w:spacing w:after="0" w:line="240" w:lineRule="auto"/>
        <w:jc w:val="both"/>
        <w:textAlignment w:val="baseline"/>
        <w:outlineLvl w:val="1"/>
        <w:rPr>
          <w:rFonts w:eastAsia="Times New Roman" w:cs="Times New Roman"/>
          <w:b/>
          <w:szCs w:val="20"/>
          <w:lang w:val="en-US" w:eastAsia="pl-PL"/>
        </w:rPr>
      </w:pPr>
      <w:r w:rsidRPr="00E02F30">
        <w:rPr>
          <w:rFonts w:eastAsia="Times New Roman" w:cs="Times New Roman"/>
          <w:b/>
          <w:szCs w:val="20"/>
          <w:lang w:val="en-US" w:eastAsia="pl-PL"/>
        </w:rPr>
        <w:t xml:space="preserve">VIII. </w:t>
      </w:r>
      <w:proofErr w:type="spellStart"/>
      <w:r w:rsidRPr="00E02F30">
        <w:rPr>
          <w:rFonts w:eastAsia="Times New Roman" w:cs="Times New Roman"/>
          <w:b/>
          <w:szCs w:val="20"/>
          <w:lang w:val="en-US" w:eastAsia="pl-PL"/>
        </w:rPr>
        <w:t>Wymagania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zapewniające</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ochronę</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gleby</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ziemi</w:t>
      </w:r>
      <w:proofErr w:type="spellEnd"/>
      <w:r w:rsidRPr="00E02F30">
        <w:rPr>
          <w:rFonts w:eastAsia="Times New Roman" w:cs="Times New Roman"/>
          <w:b/>
          <w:szCs w:val="20"/>
          <w:lang w:val="en-US" w:eastAsia="pl-PL"/>
        </w:rPr>
        <w:t xml:space="preserve"> i </w:t>
      </w:r>
      <w:proofErr w:type="spellStart"/>
      <w:r w:rsidRPr="00E02F30">
        <w:rPr>
          <w:rFonts w:eastAsia="Times New Roman" w:cs="Times New Roman"/>
          <w:b/>
          <w:szCs w:val="20"/>
          <w:lang w:val="en-US" w:eastAsia="pl-PL"/>
        </w:rPr>
        <w:t>wód</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gruntowych</w:t>
      </w:r>
      <w:proofErr w:type="spellEnd"/>
      <w:r w:rsidRPr="00E02F30">
        <w:rPr>
          <w:rFonts w:eastAsia="Times New Roman" w:cs="Times New Roman"/>
          <w:b/>
          <w:szCs w:val="20"/>
          <w:lang w:val="en-US" w:eastAsia="pl-PL"/>
        </w:rPr>
        <w:t xml:space="preserve">, w </w:t>
      </w:r>
      <w:proofErr w:type="spellStart"/>
      <w:r w:rsidRPr="00E02F30">
        <w:rPr>
          <w:rFonts w:eastAsia="Times New Roman" w:cs="Times New Roman"/>
          <w:b/>
          <w:szCs w:val="20"/>
          <w:lang w:val="en-US" w:eastAsia="pl-PL"/>
        </w:rPr>
        <w:t>tym</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środki</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mające</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na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celu</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zapobieganie</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emisjom</w:t>
      </w:r>
      <w:proofErr w:type="spellEnd"/>
      <w:r w:rsidRPr="00E02F30">
        <w:rPr>
          <w:rFonts w:eastAsia="Times New Roman" w:cs="Times New Roman"/>
          <w:b/>
          <w:szCs w:val="20"/>
          <w:lang w:val="en-US" w:eastAsia="pl-PL"/>
        </w:rPr>
        <w:t xml:space="preserve"> do </w:t>
      </w:r>
      <w:proofErr w:type="spellStart"/>
      <w:r w:rsidRPr="00E02F30">
        <w:rPr>
          <w:rFonts w:eastAsia="Times New Roman" w:cs="Times New Roman"/>
          <w:b/>
          <w:szCs w:val="20"/>
          <w:lang w:val="en-US" w:eastAsia="pl-PL"/>
        </w:rPr>
        <w:t>gleby</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ziemi</w:t>
      </w:r>
      <w:proofErr w:type="spellEnd"/>
      <w:r w:rsidRPr="00E02F30">
        <w:rPr>
          <w:rFonts w:eastAsia="Times New Roman" w:cs="Times New Roman"/>
          <w:b/>
          <w:szCs w:val="20"/>
          <w:lang w:val="en-US" w:eastAsia="pl-PL"/>
        </w:rPr>
        <w:t xml:space="preserve"> i </w:t>
      </w:r>
      <w:proofErr w:type="spellStart"/>
      <w:r w:rsidRPr="00E02F30">
        <w:rPr>
          <w:rFonts w:eastAsia="Times New Roman" w:cs="Times New Roman"/>
          <w:b/>
          <w:szCs w:val="20"/>
          <w:lang w:val="en-US" w:eastAsia="pl-PL"/>
        </w:rPr>
        <w:t>wód</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gruntowych</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oraz</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sposób</w:t>
      </w:r>
      <w:proofErr w:type="spellEnd"/>
      <w:r w:rsidRPr="00E02F30">
        <w:rPr>
          <w:rFonts w:eastAsia="Times New Roman" w:cs="Times New Roman"/>
          <w:b/>
          <w:szCs w:val="20"/>
          <w:lang w:val="en-US" w:eastAsia="pl-PL"/>
        </w:rPr>
        <w:t xml:space="preserve"> ich </w:t>
      </w:r>
      <w:proofErr w:type="spellStart"/>
      <w:r w:rsidRPr="00E02F30">
        <w:rPr>
          <w:rFonts w:eastAsia="Times New Roman" w:cs="Times New Roman"/>
          <w:b/>
          <w:szCs w:val="20"/>
          <w:lang w:val="en-US" w:eastAsia="pl-PL"/>
        </w:rPr>
        <w:t>systematycznego</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nadzorowania</w:t>
      </w:r>
      <w:proofErr w:type="spellEnd"/>
    </w:p>
    <w:p w14:paraId="5DD0DCED"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1.</w:t>
      </w:r>
      <w:r w:rsidRPr="00E02F30">
        <w:rPr>
          <w:rFonts w:eastAsia="Times New Roman" w:cs="Arial"/>
          <w:szCs w:val="24"/>
          <w:lang w:eastAsia="pl-PL"/>
        </w:rPr>
        <w:t xml:space="preserve"> Przyjęte rozwiązania technologiczne nie mogą powodować zanieczyszczenia gleby, ziemi, wód podziemnych i powierzchniowych.</w:t>
      </w:r>
    </w:p>
    <w:p w14:paraId="30B85A6C"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2.</w:t>
      </w:r>
      <w:r w:rsidRPr="00E02F30">
        <w:rPr>
          <w:rFonts w:eastAsia="Times New Roman" w:cs="Arial"/>
          <w:szCs w:val="24"/>
          <w:lang w:eastAsia="pl-PL"/>
        </w:rPr>
        <w:t xml:space="preserve"> Ścieki technologiczne z instalacji nie będą wprowadzane bezpośrednio do wód powierzchniowych, podziemnych i do ziemi.</w:t>
      </w:r>
    </w:p>
    <w:p w14:paraId="2B71B169"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3.</w:t>
      </w:r>
      <w:r w:rsidRPr="00E02F30">
        <w:rPr>
          <w:rFonts w:eastAsia="Times New Roman" w:cs="Arial"/>
          <w:szCs w:val="24"/>
          <w:lang w:eastAsia="pl-PL"/>
        </w:rPr>
        <w:t xml:space="preserve"> Prowadzony będzie monitoring miejsc służących do przechowywania, przeładunku, </w:t>
      </w:r>
      <w:proofErr w:type="spellStart"/>
      <w:r w:rsidRPr="00E02F30">
        <w:rPr>
          <w:rFonts w:eastAsia="Times New Roman" w:cs="Arial"/>
          <w:szCs w:val="24"/>
          <w:lang w:eastAsia="pl-PL"/>
        </w:rPr>
        <w:t>przesyłu</w:t>
      </w:r>
      <w:proofErr w:type="spellEnd"/>
      <w:r w:rsidRPr="00E02F30">
        <w:rPr>
          <w:rFonts w:eastAsia="Times New Roman" w:cs="Arial"/>
          <w:szCs w:val="24"/>
          <w:lang w:eastAsia="pl-PL"/>
        </w:rPr>
        <w:t xml:space="preserve"> lub magazynowania substancji, odpadów lub surowców w celu zapewnienia właściwej ochrony gleby, ziemi i wód gruntowych zgodnie z ustaleniami zawartymi w instrukcjach i procedurach systemowych.</w:t>
      </w:r>
    </w:p>
    <w:p w14:paraId="43AFCA42"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4.</w:t>
      </w:r>
      <w:r w:rsidRPr="00E02F30">
        <w:rPr>
          <w:rFonts w:eastAsia="Times New Roman" w:cs="Arial"/>
          <w:szCs w:val="24"/>
          <w:lang w:eastAsia="pl-PL"/>
        </w:rPr>
        <w:t xml:space="preserve"> Transport odpadów na terenie instalacji i czynności przeładunkowe, prowadzone będą w sposób zabezpieczający przed ich przypadkowym rozproszeniem i pyleniem oraz zabezpieczający środowisko przed zanieczyszczeniem, z zachowaniem szczególnej ostrożności. Środki transportu dostosowane będą do rodzaju i ilości przewożonych odpadów. Ewentualne rozproszenie odpadów będzie niezwłocznie usuwane. </w:t>
      </w:r>
    </w:p>
    <w:p w14:paraId="49EF19E5"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5.</w:t>
      </w:r>
      <w:r w:rsidRPr="00E02F30">
        <w:rPr>
          <w:rFonts w:eastAsia="Times New Roman" w:cs="Arial"/>
          <w:szCs w:val="24"/>
          <w:lang w:eastAsia="pl-PL"/>
        </w:rPr>
        <w:t xml:space="preserve"> Grunt i wody gruntowe zabezpieczone będą przed przedostawaniem się do nich zanieczyszczeń z powierzchni ziemi poprzez skierowanie zanieczyszczonych wód opadowych przez separator substancji ropopochodnych do zbiornika buforowego i następnie wykorzystanie w zamkniętym obiegu wody technologicznej.</w:t>
      </w:r>
    </w:p>
    <w:p w14:paraId="74C150D0" w14:textId="77777777" w:rsidR="00E02F30" w:rsidRPr="00E02F30" w:rsidRDefault="00E02F30" w:rsidP="00E02F30">
      <w:pPr>
        <w:autoSpaceDE w:val="0"/>
        <w:autoSpaceDN w:val="0"/>
        <w:adjustRightInd w:val="0"/>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6.</w:t>
      </w:r>
      <w:r w:rsidRPr="00E02F30">
        <w:rPr>
          <w:rFonts w:eastAsia="Times New Roman" w:cs="Arial"/>
          <w:szCs w:val="24"/>
          <w:lang w:eastAsia="pl-PL"/>
        </w:rPr>
        <w:t xml:space="preserve"> Zbiorniki magazynowe cieczy niebezpiecznych umieszczone będą w misach zabezpieczających lub posiadać będą inne wymagane zabezpieczenia przed niekontrolowanym wyciekiem.</w:t>
      </w:r>
    </w:p>
    <w:p w14:paraId="3746279C" w14:textId="77777777" w:rsidR="00E02F30" w:rsidRPr="00E02F30" w:rsidRDefault="00E02F30" w:rsidP="00E02F30">
      <w:pPr>
        <w:widowControl w:val="0"/>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.7.</w:t>
      </w:r>
      <w:r w:rsidRPr="00E02F30">
        <w:rPr>
          <w:rFonts w:eastAsia="Times New Roman" w:cs="Arial"/>
          <w:sz w:val="22"/>
          <w:lang w:eastAsia="pl-PL"/>
        </w:rPr>
        <w:t xml:space="preserve"> </w:t>
      </w:r>
      <w:r w:rsidRPr="00E02F30">
        <w:rPr>
          <w:rFonts w:eastAsia="Times New Roman" w:cs="Arial"/>
          <w:szCs w:val="24"/>
          <w:lang w:eastAsia="pl-PL"/>
        </w:rPr>
        <w:t>Reaktory i urządzenia technologiczne zlokalizowane będą w obiektach zabezpieczonych przed rozprzestrzenianiem się ewentualnych rozlewów i rozsypań wyposażonych w kanalizację przemysłową lub studzienki wychwytowe.</w:t>
      </w:r>
    </w:p>
    <w:p w14:paraId="196A62D1"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8.</w:t>
      </w:r>
      <w:r w:rsidRPr="00E02F30">
        <w:rPr>
          <w:rFonts w:eastAsia="Times New Roman" w:cs="Arial"/>
          <w:szCs w:val="24"/>
          <w:lang w:eastAsia="pl-PL"/>
        </w:rPr>
        <w:t xml:space="preserve"> Place manewrowe, drogi dojazdowe i parkingi, wszystkie powierzchnie w rejonie urządzeń technologicznych oraz miejsca przyjęcia i magazynowania odpadów będą posiadały szczelne utwardzone, nieprzepuszczalne podłoża z systemem zbierania ścieków lub wód deszczowych. Powierzchnie te utrzymywane będą w dobrym stanie technicznym, w stałej czystości i porządku.</w:t>
      </w:r>
    </w:p>
    <w:p w14:paraId="215DA8EB"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9.</w:t>
      </w:r>
      <w:r w:rsidRPr="00E02F30">
        <w:rPr>
          <w:rFonts w:eastAsia="Times New Roman" w:cs="Arial"/>
          <w:szCs w:val="24"/>
          <w:lang w:eastAsia="pl-PL"/>
        </w:rPr>
        <w:t xml:space="preserve"> Odpady wytworzone magazynowane będą w sposób zabezpieczający środowisko wodne i gruntowe przed zanieczyszczeniami. </w:t>
      </w:r>
    </w:p>
    <w:p w14:paraId="212613AB"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10.</w:t>
      </w:r>
      <w:r w:rsidRPr="00E02F30">
        <w:rPr>
          <w:rFonts w:eastAsia="Times New Roman" w:cs="Arial"/>
          <w:szCs w:val="24"/>
          <w:lang w:eastAsia="pl-PL"/>
        </w:rPr>
        <w:t xml:space="preserve"> W zależności od rodzaju i postaci magazynowanych odpadów lub surowców płynnych, półpłynnych czy stałych oraz ich właściwości, stosowane będą szczelne opakowania, zbiorniki, itp. adekwatne do charakteru magazynowanej substancji, odporne na działanie znajdujących się w nich substancji i zabezpieczające przed zanieczyszczeniem środowiska (rozlaniem czy rozsypaniem).</w:t>
      </w:r>
    </w:p>
    <w:p w14:paraId="4CCD47DC"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11.</w:t>
      </w:r>
      <w:r w:rsidRPr="00E02F30">
        <w:rPr>
          <w:rFonts w:eastAsia="Times New Roman" w:cs="Arial"/>
          <w:szCs w:val="24"/>
          <w:lang w:eastAsia="pl-PL"/>
        </w:rPr>
        <w:t xml:space="preserve"> Prowadzony będzie systematyczny nadzór przez pracowników znajdujących się na danym stanowisku nad zapewnieniem właściwej ochrony gleby, wód gruntowych i ziemi poprzez codzienną obserwację i sprawdzanie czy nie doszło do rozszczelnienia zbiorników magazynowych i instalacji.</w:t>
      </w:r>
    </w:p>
    <w:p w14:paraId="7A4A9A5C"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12.</w:t>
      </w:r>
      <w:r w:rsidRPr="00E02F30">
        <w:rPr>
          <w:rFonts w:eastAsia="Times New Roman" w:cs="Arial"/>
          <w:szCs w:val="24"/>
          <w:lang w:eastAsia="pl-PL"/>
        </w:rPr>
        <w:t xml:space="preserve"> Prowadzony będzie stały dozór techniczny zbiorników magazynowych substancji niebezpiecznych. Określone będą zasady postępowania z substancjami niebezpiecznymi.</w:t>
      </w:r>
    </w:p>
    <w:p w14:paraId="1B10BAA7"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13.</w:t>
      </w:r>
      <w:r w:rsidRPr="00E02F30">
        <w:rPr>
          <w:rFonts w:eastAsia="Times New Roman" w:cs="Arial"/>
          <w:szCs w:val="24"/>
          <w:lang w:eastAsia="pl-PL"/>
        </w:rPr>
        <w:t xml:space="preserve"> Budynki technologiczne i wszystkie miejsca gromadzenia odpadów będą wyposażone w zapas sorbentów i czyściwa do likwidacji ewentualnych rozlewów.</w:t>
      </w:r>
    </w:p>
    <w:p w14:paraId="6BD55CA0"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14.</w:t>
      </w:r>
      <w:r w:rsidRPr="00E02F30">
        <w:rPr>
          <w:rFonts w:eastAsia="Times New Roman" w:cs="Arial"/>
          <w:szCs w:val="24"/>
          <w:lang w:eastAsia="pl-PL"/>
        </w:rPr>
        <w:t xml:space="preserve"> W przypadku wystąpienia wycieku substancji niebezpiecznych na teren instalacji należy niezwłocznie zabezpieczyć teren przed dalszą penetracją zanieczyszczeń a następnie oczyścić zanieczyszczony teren. </w:t>
      </w:r>
    </w:p>
    <w:p w14:paraId="734F5CA9"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15.</w:t>
      </w:r>
      <w:r w:rsidRPr="00E02F30">
        <w:rPr>
          <w:rFonts w:eastAsia="Times New Roman" w:cs="Arial"/>
          <w:szCs w:val="24"/>
          <w:lang w:eastAsia="pl-PL"/>
        </w:rPr>
        <w:t xml:space="preserve"> Prowadzony będzie monitoring wpływu instalacji na wody gruntowe i powierzchnię ziemi.</w:t>
      </w:r>
    </w:p>
    <w:p w14:paraId="46A2A705"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16</w:t>
      </w:r>
      <w:r w:rsidRPr="00E02F30">
        <w:rPr>
          <w:rFonts w:eastAsia="Times New Roman" w:cs="Arial"/>
          <w:szCs w:val="24"/>
          <w:lang w:eastAsia="pl-PL"/>
        </w:rPr>
        <w:t>.</w:t>
      </w:r>
      <w:r w:rsidRPr="00E02F30">
        <w:rPr>
          <w:rFonts w:eastAsia="Times New Roman" w:cs="Arial"/>
          <w:b/>
          <w:szCs w:val="24"/>
          <w:lang w:eastAsia="pl-PL"/>
        </w:rPr>
        <w:t xml:space="preserve"> </w:t>
      </w:r>
      <w:r w:rsidRPr="00E02F30">
        <w:rPr>
          <w:rFonts w:eastAsia="Times New Roman" w:cs="Arial"/>
          <w:szCs w:val="24"/>
          <w:lang w:eastAsia="pl-PL"/>
        </w:rPr>
        <w:t>Urządzenia techniczne służące do ochrony gleby i ziemi oraz wód powierzchniowych i podziemnych przed zanieczyszczeniami, na terenie instalacji:</w:t>
      </w:r>
    </w:p>
    <w:p w14:paraId="68EE4CBF" w14:textId="77777777" w:rsidR="00E02F30" w:rsidRPr="00E02F30" w:rsidRDefault="00E02F30">
      <w:pPr>
        <w:keepNext/>
        <w:numPr>
          <w:ilvl w:val="1"/>
          <w:numId w:val="22"/>
        </w:numPr>
        <w:spacing w:before="60" w:after="60" w:line="276" w:lineRule="auto"/>
        <w:ind w:left="336" w:hanging="336"/>
        <w:contextualSpacing/>
        <w:jc w:val="both"/>
        <w:rPr>
          <w:rFonts w:eastAsia="Times New Roman" w:cs="Arial"/>
          <w:szCs w:val="24"/>
          <w:lang w:val="x-none" w:eastAsia="pl-PL"/>
        </w:rPr>
      </w:pPr>
      <w:r w:rsidRPr="00E02F30">
        <w:rPr>
          <w:rFonts w:eastAsia="Times New Roman" w:cs="Arial"/>
          <w:szCs w:val="24"/>
          <w:lang w:val="x-none" w:eastAsia="pl-PL"/>
        </w:rPr>
        <w:t xml:space="preserve">uszczelnione (utwardzone) powierzchnie placów, dróg oraz posadzek obiektów technologicznych wykonane ze spadkami i </w:t>
      </w:r>
      <w:proofErr w:type="spellStart"/>
      <w:r w:rsidRPr="00E02F30">
        <w:rPr>
          <w:rFonts w:eastAsia="Times New Roman" w:cs="Arial"/>
          <w:szCs w:val="24"/>
          <w:lang w:val="x-none" w:eastAsia="pl-PL"/>
        </w:rPr>
        <w:t>odwodnieniami</w:t>
      </w:r>
      <w:proofErr w:type="spellEnd"/>
      <w:r w:rsidRPr="00E02F30">
        <w:rPr>
          <w:rFonts w:eastAsia="Times New Roman" w:cs="Arial"/>
          <w:szCs w:val="24"/>
          <w:lang w:val="x-none" w:eastAsia="pl-PL"/>
        </w:rPr>
        <w:t xml:space="preserve"> (wpustami do kanalizacji),</w:t>
      </w:r>
    </w:p>
    <w:p w14:paraId="190324BD" w14:textId="77777777" w:rsidR="00E02F30" w:rsidRPr="00E02F30" w:rsidRDefault="00E02F30">
      <w:pPr>
        <w:keepNext/>
        <w:numPr>
          <w:ilvl w:val="1"/>
          <w:numId w:val="22"/>
        </w:numPr>
        <w:spacing w:before="60" w:after="60" w:line="276" w:lineRule="auto"/>
        <w:ind w:left="336" w:hanging="336"/>
        <w:contextualSpacing/>
        <w:jc w:val="both"/>
        <w:rPr>
          <w:rFonts w:eastAsia="Times New Roman" w:cs="Arial"/>
          <w:szCs w:val="24"/>
          <w:lang w:val="x-none" w:eastAsia="pl-PL"/>
        </w:rPr>
      </w:pPr>
      <w:r w:rsidRPr="00E02F30">
        <w:rPr>
          <w:rFonts w:eastAsia="Times New Roman" w:cs="Arial"/>
          <w:szCs w:val="24"/>
          <w:lang w:val="x-none" w:eastAsia="pl-PL"/>
        </w:rPr>
        <w:t xml:space="preserve">szczelny system kanalizacji przemysłowej, </w:t>
      </w:r>
    </w:p>
    <w:p w14:paraId="28A528F9" w14:textId="77777777" w:rsidR="00E02F30" w:rsidRPr="00E02F30" w:rsidRDefault="00E02F30">
      <w:pPr>
        <w:keepNext/>
        <w:numPr>
          <w:ilvl w:val="1"/>
          <w:numId w:val="22"/>
        </w:numPr>
        <w:spacing w:before="60" w:after="60" w:line="276" w:lineRule="auto"/>
        <w:ind w:left="336" w:hanging="336"/>
        <w:contextualSpacing/>
        <w:jc w:val="both"/>
        <w:rPr>
          <w:rFonts w:eastAsia="Times New Roman" w:cs="Arial"/>
          <w:szCs w:val="24"/>
          <w:lang w:val="x-none" w:eastAsia="pl-PL"/>
        </w:rPr>
      </w:pPr>
      <w:r w:rsidRPr="00E02F30">
        <w:rPr>
          <w:rFonts w:eastAsia="Times New Roman" w:cs="Arial"/>
          <w:szCs w:val="24"/>
          <w:lang w:val="x-none" w:eastAsia="pl-PL"/>
        </w:rPr>
        <w:t xml:space="preserve">system zamkniętego obiegu wody przemysłowej, </w:t>
      </w:r>
    </w:p>
    <w:p w14:paraId="6321A8C7" w14:textId="77777777" w:rsidR="00E02F30" w:rsidRPr="00E02F30" w:rsidRDefault="00E02F30">
      <w:pPr>
        <w:keepNext/>
        <w:numPr>
          <w:ilvl w:val="1"/>
          <w:numId w:val="22"/>
        </w:numPr>
        <w:spacing w:before="60" w:after="60" w:line="276" w:lineRule="auto"/>
        <w:ind w:left="336" w:hanging="336"/>
        <w:contextualSpacing/>
        <w:jc w:val="both"/>
        <w:rPr>
          <w:rFonts w:eastAsia="Times New Roman" w:cs="Arial"/>
          <w:szCs w:val="24"/>
          <w:lang w:val="x-none" w:eastAsia="pl-PL"/>
        </w:rPr>
      </w:pPr>
      <w:r w:rsidRPr="00E02F30">
        <w:rPr>
          <w:rFonts w:eastAsia="Times New Roman" w:cs="Arial"/>
          <w:szCs w:val="24"/>
          <w:lang w:val="x-none" w:eastAsia="pl-PL"/>
        </w:rPr>
        <w:t>odprowadzanie ścieków socjalno-bytowych do systemu kanalizacji i dalej do miejskiej oczyszczalni ścieków,</w:t>
      </w:r>
    </w:p>
    <w:p w14:paraId="1D54CFB5" w14:textId="77777777" w:rsidR="00E02F30" w:rsidRPr="00E02F30" w:rsidRDefault="00E02F30">
      <w:pPr>
        <w:keepNext/>
        <w:numPr>
          <w:ilvl w:val="1"/>
          <w:numId w:val="22"/>
        </w:numPr>
        <w:spacing w:before="60" w:after="60" w:line="276" w:lineRule="auto"/>
        <w:ind w:left="336" w:hanging="336"/>
        <w:contextualSpacing/>
        <w:jc w:val="both"/>
        <w:rPr>
          <w:rFonts w:eastAsia="Times New Roman" w:cs="Arial"/>
          <w:szCs w:val="24"/>
          <w:lang w:val="x-none" w:eastAsia="pl-PL"/>
        </w:rPr>
      </w:pPr>
      <w:r w:rsidRPr="00E02F30">
        <w:rPr>
          <w:rFonts w:eastAsia="Times New Roman" w:cs="Arial"/>
          <w:szCs w:val="24"/>
          <w:lang w:val="x-none" w:eastAsia="pl-PL"/>
        </w:rPr>
        <w:t>zabezpieczenia techniczne zbiorników magazynowych substancji chemicznych (betonowe wanny wychwytowe – betonowe /tace/),</w:t>
      </w:r>
    </w:p>
    <w:p w14:paraId="59B11E6E" w14:textId="77777777" w:rsidR="00E02F30" w:rsidRPr="00E02F30" w:rsidRDefault="00E02F30">
      <w:pPr>
        <w:keepNext/>
        <w:numPr>
          <w:ilvl w:val="1"/>
          <w:numId w:val="22"/>
        </w:numPr>
        <w:spacing w:before="60" w:after="60" w:line="276" w:lineRule="auto"/>
        <w:ind w:left="336" w:hanging="336"/>
        <w:contextualSpacing/>
        <w:jc w:val="both"/>
        <w:rPr>
          <w:rFonts w:eastAsia="Times New Roman" w:cs="Arial"/>
          <w:szCs w:val="24"/>
          <w:lang w:val="x-none" w:eastAsia="pl-PL"/>
        </w:rPr>
      </w:pPr>
      <w:r w:rsidRPr="00E02F30">
        <w:rPr>
          <w:rFonts w:eastAsia="Times New Roman" w:cs="Arial"/>
          <w:szCs w:val="24"/>
          <w:lang w:val="x-none" w:eastAsia="pl-PL"/>
        </w:rPr>
        <w:t>usytuowanie zbiorników na terenie utwardzonym</w:t>
      </w:r>
    </w:p>
    <w:p w14:paraId="7AE94D54" w14:textId="77777777" w:rsidR="00E02F30" w:rsidRPr="00E02F30" w:rsidRDefault="00E02F30">
      <w:pPr>
        <w:keepNext/>
        <w:numPr>
          <w:ilvl w:val="1"/>
          <w:numId w:val="22"/>
        </w:numPr>
        <w:spacing w:before="60" w:after="60" w:line="276" w:lineRule="auto"/>
        <w:ind w:left="336" w:hanging="336"/>
        <w:contextualSpacing/>
        <w:jc w:val="both"/>
        <w:rPr>
          <w:rFonts w:eastAsia="Times New Roman" w:cs="Arial"/>
          <w:szCs w:val="24"/>
          <w:lang w:val="x-none" w:eastAsia="pl-PL"/>
        </w:rPr>
      </w:pPr>
      <w:r w:rsidRPr="00E02F30">
        <w:rPr>
          <w:rFonts w:eastAsia="Times New Roman" w:cs="Arial"/>
          <w:szCs w:val="24"/>
          <w:lang w:val="x-none" w:eastAsia="pl-PL"/>
        </w:rPr>
        <w:t>zastosowanie wysokosprawnego systemu oczyszczania spalin</w:t>
      </w:r>
      <w:r w:rsidRPr="00E02F30">
        <w:rPr>
          <w:rFonts w:eastAsia="Times New Roman" w:cs="Arial"/>
          <w:szCs w:val="24"/>
          <w:lang w:eastAsia="pl-PL"/>
        </w:rPr>
        <w:t>.</w:t>
      </w:r>
    </w:p>
    <w:p w14:paraId="63489AE1" w14:textId="77777777" w:rsidR="00E02F30" w:rsidRPr="00E02F30" w:rsidRDefault="00E02F30" w:rsidP="00E02F30">
      <w:pPr>
        <w:autoSpaceDE w:val="0"/>
        <w:autoSpaceDN w:val="0"/>
        <w:adjustRightInd w:val="0"/>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17</w:t>
      </w:r>
      <w:r w:rsidRPr="00E02F30">
        <w:rPr>
          <w:rFonts w:eastAsia="Times New Roman" w:cs="Arial"/>
          <w:szCs w:val="24"/>
          <w:lang w:eastAsia="pl-PL"/>
        </w:rPr>
        <w:t>.</w:t>
      </w:r>
      <w:r w:rsidRPr="00E02F30">
        <w:rPr>
          <w:rFonts w:eastAsia="Times New Roman" w:cs="Arial"/>
          <w:b/>
          <w:bCs/>
          <w:iCs/>
          <w:szCs w:val="24"/>
          <w:lang w:eastAsia="pl-PL"/>
        </w:rPr>
        <w:t xml:space="preserve"> </w:t>
      </w:r>
      <w:r w:rsidRPr="00E02F30">
        <w:rPr>
          <w:rFonts w:eastAsia="Times New Roman" w:cs="Arial"/>
          <w:szCs w:val="24"/>
          <w:lang w:eastAsia="pl-PL"/>
        </w:rPr>
        <w:t>Wszystkie stosowane w instalacji surowce i materiały wykorzystywane będą zgodnie z ich przeznaczeniem, z zachowaniem wymagań wynikających z zapisów w kartach charakterystyki substancji i mieszanin niebezpiecznych i/lub instrukcjach.</w:t>
      </w:r>
    </w:p>
    <w:p w14:paraId="736AA43E" w14:textId="77777777" w:rsidR="00E02F30" w:rsidRPr="00E02F30" w:rsidRDefault="00E02F30" w:rsidP="00E02F30">
      <w:pPr>
        <w:tabs>
          <w:tab w:val="left" w:pos="709"/>
        </w:tabs>
        <w:autoSpaceDE w:val="0"/>
        <w:autoSpaceDN w:val="0"/>
        <w:adjustRightInd w:val="0"/>
        <w:spacing w:after="0" w:line="276" w:lineRule="auto"/>
        <w:jc w:val="both"/>
        <w:rPr>
          <w:rFonts w:eastAsia="Times New Roman" w:cs="Arial"/>
          <w:szCs w:val="24"/>
          <w:lang w:eastAsia="pl-PL"/>
        </w:rPr>
      </w:pPr>
      <w:r w:rsidRPr="00E02F30">
        <w:rPr>
          <w:rFonts w:eastAsia="Times New Roman" w:cs="Arial"/>
          <w:b/>
          <w:bCs/>
          <w:iCs/>
          <w:szCs w:val="24"/>
          <w:lang w:eastAsia="pl-PL"/>
        </w:rPr>
        <w:t>VIII.</w:t>
      </w:r>
      <w:r w:rsidRPr="00E02F30">
        <w:rPr>
          <w:rFonts w:eastAsia="Times New Roman" w:cs="Arial"/>
          <w:b/>
          <w:szCs w:val="24"/>
          <w:lang w:eastAsia="pl-PL"/>
        </w:rPr>
        <w:t>18</w:t>
      </w:r>
      <w:r w:rsidRPr="00E02F30">
        <w:rPr>
          <w:rFonts w:eastAsia="Times New Roman" w:cs="Arial"/>
          <w:szCs w:val="24"/>
          <w:lang w:eastAsia="pl-PL"/>
        </w:rPr>
        <w:t>. Dokonywane będą okresowe przeglądy techniczne zbiorników magazynowych przeznaczonych do magazynowania substancji niebezpiecznych</w:t>
      </w:r>
    </w:p>
    <w:p w14:paraId="5D2BDE0D" w14:textId="77777777" w:rsidR="00E02F30" w:rsidRPr="00E02F30" w:rsidRDefault="00E02F30" w:rsidP="00E02F30">
      <w:pPr>
        <w:autoSpaceDE w:val="0"/>
        <w:autoSpaceDN w:val="0"/>
        <w:adjustRightInd w:val="0"/>
        <w:spacing w:after="0" w:line="276" w:lineRule="auto"/>
        <w:jc w:val="both"/>
        <w:rPr>
          <w:rFonts w:eastAsia="Times New Roman" w:cs="Arial"/>
          <w:szCs w:val="24"/>
          <w:lang w:eastAsia="pl-PL"/>
        </w:rPr>
      </w:pPr>
      <w:r w:rsidRPr="00E02F30">
        <w:rPr>
          <w:rFonts w:eastAsia="Times New Roman" w:cs="Arial"/>
          <w:b/>
          <w:bCs/>
          <w:iCs/>
          <w:szCs w:val="24"/>
          <w:lang w:eastAsia="pl-PL"/>
        </w:rPr>
        <w:t>VIII.19</w:t>
      </w:r>
      <w:r w:rsidRPr="00E02F30">
        <w:rPr>
          <w:rFonts w:eastAsia="Times New Roman" w:cs="Arial"/>
          <w:szCs w:val="24"/>
          <w:lang w:eastAsia="pl-PL"/>
        </w:rPr>
        <w:t>. Prowadzone będą systematyczne szkolenia pracowników w zakresie zapobiegania emisjom do gleby, ziemi i wód gruntowych.</w:t>
      </w:r>
    </w:p>
    <w:p w14:paraId="76F2788E" w14:textId="77777777" w:rsidR="00E02F30" w:rsidRPr="00E02F30" w:rsidRDefault="00E02F30" w:rsidP="00E02F30">
      <w:pPr>
        <w:keepNext/>
        <w:widowControl w:val="0"/>
        <w:adjustRightInd w:val="0"/>
        <w:spacing w:after="0" w:line="240" w:lineRule="auto"/>
        <w:jc w:val="both"/>
        <w:textAlignment w:val="baseline"/>
        <w:outlineLvl w:val="1"/>
        <w:rPr>
          <w:rFonts w:eastAsia="Times New Roman" w:cs="Times New Roman"/>
          <w:b/>
          <w:szCs w:val="20"/>
          <w:lang w:val="en-US" w:eastAsia="pl-PL"/>
        </w:rPr>
      </w:pPr>
      <w:r w:rsidRPr="00E02F30">
        <w:rPr>
          <w:rFonts w:eastAsia="Calibri" w:cs="Times New Roman"/>
          <w:b/>
          <w:szCs w:val="20"/>
          <w:lang w:val="en-US" w:eastAsia="pl-PL"/>
        </w:rPr>
        <w:t xml:space="preserve">IX. </w:t>
      </w:r>
      <w:proofErr w:type="spellStart"/>
      <w:r w:rsidRPr="00E02F30">
        <w:rPr>
          <w:rFonts w:eastAsia="Calibri" w:cs="Times New Roman"/>
          <w:b/>
          <w:szCs w:val="20"/>
          <w:lang w:val="en-US" w:eastAsia="pl-PL"/>
        </w:rPr>
        <w:t>Zakres</w:t>
      </w:r>
      <w:proofErr w:type="spellEnd"/>
      <w:r w:rsidRPr="00E02F30">
        <w:rPr>
          <w:rFonts w:eastAsia="Calibri" w:cs="Times New Roman"/>
          <w:b/>
          <w:szCs w:val="20"/>
          <w:lang w:val="en-US" w:eastAsia="pl-PL"/>
        </w:rPr>
        <w:t xml:space="preserve">, </w:t>
      </w:r>
      <w:proofErr w:type="spellStart"/>
      <w:r w:rsidRPr="00E02F30">
        <w:rPr>
          <w:rFonts w:eastAsia="Calibri" w:cs="Times New Roman"/>
          <w:b/>
          <w:szCs w:val="20"/>
          <w:lang w:val="en-US" w:eastAsia="pl-PL"/>
        </w:rPr>
        <w:t>s</w:t>
      </w:r>
      <w:r w:rsidRPr="00E02F30">
        <w:rPr>
          <w:rFonts w:eastAsia="Times New Roman" w:cs="Times New Roman"/>
          <w:b/>
          <w:szCs w:val="20"/>
          <w:lang w:val="en-US" w:eastAsia="pl-PL"/>
        </w:rPr>
        <w:t>posób</w:t>
      </w:r>
      <w:proofErr w:type="spellEnd"/>
      <w:r w:rsidRPr="00E02F30">
        <w:rPr>
          <w:rFonts w:eastAsia="Times New Roman" w:cs="Times New Roman"/>
          <w:b/>
          <w:szCs w:val="20"/>
          <w:lang w:val="en-US" w:eastAsia="pl-PL"/>
        </w:rPr>
        <w:t xml:space="preserve"> i </w:t>
      </w:r>
      <w:proofErr w:type="spellStart"/>
      <w:r w:rsidRPr="00E02F30">
        <w:rPr>
          <w:rFonts w:eastAsia="Times New Roman" w:cs="Times New Roman"/>
          <w:b/>
          <w:szCs w:val="20"/>
          <w:lang w:val="en-US" w:eastAsia="pl-PL"/>
        </w:rPr>
        <w:t>termin</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przekazywania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organowi</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właściwemu</w:t>
      </w:r>
      <w:proofErr w:type="spellEnd"/>
      <w:r w:rsidRPr="00E02F30">
        <w:rPr>
          <w:rFonts w:eastAsia="Times New Roman" w:cs="Times New Roman"/>
          <w:b/>
          <w:szCs w:val="20"/>
          <w:lang w:val="en-US" w:eastAsia="pl-PL"/>
        </w:rPr>
        <w:t xml:space="preserve"> do </w:t>
      </w:r>
      <w:proofErr w:type="spellStart"/>
      <w:r w:rsidRPr="00E02F30">
        <w:rPr>
          <w:rFonts w:eastAsia="Times New Roman" w:cs="Times New Roman"/>
          <w:b/>
          <w:szCs w:val="20"/>
          <w:lang w:val="en-US" w:eastAsia="pl-PL"/>
        </w:rPr>
        <w:t>wydania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pozwolenia</w:t>
      </w:r>
      <w:proofErr w:type="spellEnd"/>
      <w:r w:rsidRPr="00E02F30">
        <w:rPr>
          <w:rFonts w:eastAsia="Times New Roman" w:cs="Times New Roman"/>
          <w:b/>
          <w:szCs w:val="20"/>
          <w:lang w:val="en-US" w:eastAsia="pl-PL"/>
        </w:rPr>
        <w:t xml:space="preserve"> i </w:t>
      </w:r>
      <w:proofErr w:type="spellStart"/>
      <w:r w:rsidRPr="00E02F30">
        <w:rPr>
          <w:rFonts w:eastAsia="Times New Roman" w:cs="Times New Roman"/>
          <w:b/>
          <w:szCs w:val="20"/>
          <w:lang w:val="en-US" w:eastAsia="pl-PL"/>
        </w:rPr>
        <w:t>wojewódzkiemu</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inspektorowi</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ochrony</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środowiska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corocznej</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informacji</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pozwalającej</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na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przeprowadzenie</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oceny</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zgodności</w:t>
      </w:r>
      <w:proofErr w:type="spellEnd"/>
      <w:r w:rsidRPr="00E02F30">
        <w:rPr>
          <w:rFonts w:eastAsia="Times New Roman" w:cs="Times New Roman"/>
          <w:b/>
          <w:szCs w:val="20"/>
          <w:lang w:val="en-US" w:eastAsia="pl-PL"/>
        </w:rPr>
        <w:t xml:space="preserve"> z </w:t>
      </w:r>
      <w:proofErr w:type="spellStart"/>
      <w:r w:rsidRPr="00E02F30">
        <w:rPr>
          <w:rFonts w:eastAsia="Times New Roman" w:cs="Times New Roman"/>
          <w:b/>
          <w:szCs w:val="20"/>
          <w:lang w:val="en-US" w:eastAsia="pl-PL"/>
        </w:rPr>
        <w:t>warunkami</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określonymi</w:t>
      </w:r>
      <w:proofErr w:type="spellEnd"/>
      <w:r w:rsidRPr="00E02F30">
        <w:rPr>
          <w:rFonts w:eastAsia="Times New Roman" w:cs="Times New Roman"/>
          <w:b/>
          <w:szCs w:val="20"/>
          <w:lang w:val="en-US" w:eastAsia="pl-PL"/>
        </w:rPr>
        <w:t xml:space="preserve"> w </w:t>
      </w:r>
      <w:proofErr w:type="spellStart"/>
      <w:r w:rsidRPr="00E02F30">
        <w:rPr>
          <w:rFonts w:eastAsia="Times New Roman" w:cs="Times New Roman"/>
          <w:b/>
          <w:szCs w:val="20"/>
          <w:lang w:val="en-US" w:eastAsia="pl-PL"/>
        </w:rPr>
        <w:t>pozwoleniu</w:t>
      </w:r>
      <w:proofErr w:type="spellEnd"/>
      <w:r w:rsidRPr="00E02F30">
        <w:rPr>
          <w:rFonts w:eastAsia="Times New Roman" w:cs="Times New Roman"/>
          <w:b/>
          <w:szCs w:val="20"/>
          <w:lang w:val="en-US" w:eastAsia="pl-PL"/>
        </w:rPr>
        <w:t>.</w:t>
      </w:r>
    </w:p>
    <w:p w14:paraId="4F07C5A3" w14:textId="77777777" w:rsidR="00E02F30" w:rsidRPr="00E02F30" w:rsidRDefault="00E02F30" w:rsidP="00E02F30">
      <w:pPr>
        <w:keepNext/>
        <w:widowControl w:val="0"/>
        <w:adjustRightInd w:val="0"/>
        <w:spacing w:after="0" w:line="276" w:lineRule="auto"/>
        <w:jc w:val="both"/>
        <w:textAlignment w:val="baseline"/>
        <w:outlineLvl w:val="2"/>
        <w:rPr>
          <w:rFonts w:eastAsia="Calibri" w:cs="Times New Roman"/>
          <w:bCs/>
          <w:szCs w:val="20"/>
          <w:lang w:eastAsia="pl-PL"/>
        </w:rPr>
      </w:pPr>
      <w:r w:rsidRPr="00E02F30">
        <w:rPr>
          <w:rFonts w:eastAsia="Calibri" w:cs="Arial"/>
          <w:b/>
          <w:bCs/>
          <w:szCs w:val="20"/>
          <w:lang w:eastAsia="pl-PL"/>
        </w:rPr>
        <w:t>IX.1.</w:t>
      </w:r>
      <w:r w:rsidRPr="00E02F30">
        <w:rPr>
          <w:rFonts w:eastAsia="Calibri" w:cs="Arial"/>
          <w:b/>
          <w:szCs w:val="20"/>
          <w:lang w:eastAsia="pl-PL"/>
        </w:rPr>
        <w:t xml:space="preserve"> </w:t>
      </w:r>
      <w:r w:rsidRPr="00E02F30">
        <w:rPr>
          <w:rFonts w:eastAsia="Times New Roman" w:cs="Times New Roman"/>
          <w:bCs/>
          <w:szCs w:val="20"/>
          <w:lang w:eastAsia="pl-PL"/>
        </w:rPr>
        <w:t>Opracowane wyniki pomiarów wykonywanych w związku z realizacją obowiązków określonych w punktach od VI.2 do VI.8 należy przedkładać Marszałkowi Województwa Podkarpackiego oraz Podkarpackiemu Wojewódzkiemu Inspektorowi Ochrony Środowiska w Rzeszowie niezwłocznie, w ciągu 30 dni od dnia zakończenia</w:t>
      </w:r>
      <w:r w:rsidRPr="00E02F30">
        <w:rPr>
          <w:rFonts w:eastAsia="Times New Roman" w:cs="Times New Roman"/>
          <w:bCs/>
          <w:i/>
          <w:iCs/>
          <w:szCs w:val="20"/>
          <w:lang w:eastAsia="pl-PL"/>
        </w:rPr>
        <w:t xml:space="preserve"> </w:t>
      </w:r>
      <w:r w:rsidRPr="00E02F30">
        <w:rPr>
          <w:rFonts w:eastAsia="Times New Roman" w:cs="Times New Roman"/>
          <w:bCs/>
          <w:szCs w:val="20"/>
          <w:lang w:eastAsia="pl-PL"/>
        </w:rPr>
        <w:t>pomiaru. Sposób prezentacji wyników wykonywanych pomiarów powinien być zgodny z obowiązującym rozporządzeniem w sprawie rodzajów wyników pomiarów prowadzonych w związku z eksploatacją instalacji lub urządzenia i innych danych zbieranych w wyniku monitorowania procesów technologicznych oraz terminów i sposobów prezentacji.</w:t>
      </w:r>
    </w:p>
    <w:p w14:paraId="7835E756" w14:textId="77777777" w:rsidR="00E02F30" w:rsidRPr="00E02F30" w:rsidRDefault="00E02F30" w:rsidP="00E02F30">
      <w:pPr>
        <w:keepNext/>
        <w:widowControl w:val="0"/>
        <w:adjustRightInd w:val="0"/>
        <w:spacing w:after="0" w:line="276" w:lineRule="auto"/>
        <w:jc w:val="both"/>
        <w:textAlignment w:val="baseline"/>
        <w:outlineLvl w:val="2"/>
        <w:rPr>
          <w:rFonts w:eastAsia="Calibri" w:cs="Times New Roman"/>
          <w:bCs/>
          <w:szCs w:val="20"/>
          <w:lang w:eastAsia="pl-PL"/>
        </w:rPr>
      </w:pPr>
      <w:r w:rsidRPr="00E02F30">
        <w:rPr>
          <w:rFonts w:eastAsia="Calibri" w:cs="Arial"/>
          <w:b/>
          <w:bCs/>
          <w:szCs w:val="20"/>
          <w:lang w:eastAsia="pl-PL"/>
        </w:rPr>
        <w:t>IX.2.</w:t>
      </w:r>
      <w:r w:rsidRPr="00E02F30">
        <w:rPr>
          <w:rFonts w:eastAsia="Calibri" w:cs="Arial"/>
          <w:b/>
          <w:szCs w:val="20"/>
          <w:lang w:eastAsia="pl-PL"/>
        </w:rPr>
        <w:t xml:space="preserve"> </w:t>
      </w:r>
      <w:r w:rsidRPr="00E02F30">
        <w:rPr>
          <w:rFonts w:eastAsia="Calibri" w:cs="Times New Roman"/>
          <w:bCs/>
          <w:szCs w:val="20"/>
          <w:lang w:eastAsia="pl-PL"/>
        </w:rPr>
        <w:t xml:space="preserve">Do dnia 31 marca danego roku, opracowane przez Prowadzącego instalacje, przekazane zostaną do Marszałka Województwa Podkarpackiego oraz Podkarpackiego Wojewódzkiego Inspektora Ochrony Środowiska Raporty z monitoringu instalacji za rok poprzedni. </w:t>
      </w:r>
    </w:p>
    <w:p w14:paraId="46F8C860" w14:textId="77777777" w:rsidR="00E02F30" w:rsidRPr="00E02F30" w:rsidRDefault="00E02F30" w:rsidP="00E02F30">
      <w:pPr>
        <w:spacing w:after="0" w:line="276" w:lineRule="auto"/>
        <w:jc w:val="both"/>
        <w:rPr>
          <w:rFonts w:eastAsia="Calibri" w:cs="Arial"/>
          <w:szCs w:val="24"/>
          <w:lang w:eastAsia="pl-PL"/>
        </w:rPr>
      </w:pPr>
      <w:r w:rsidRPr="00E02F30">
        <w:rPr>
          <w:rFonts w:eastAsia="Calibri" w:cs="Arial"/>
          <w:szCs w:val="24"/>
          <w:lang w:eastAsia="pl-PL"/>
        </w:rPr>
        <w:t xml:space="preserve">„Raporty z monitoringu..” powinny zawierać co najmniej zestawienie: ilości </w:t>
      </w:r>
      <w:r w:rsidRPr="00E02F30">
        <w:rPr>
          <w:rFonts w:eastAsia="Calibri" w:cs="Arial"/>
          <w:szCs w:val="24"/>
          <w:lang w:eastAsia="pl-PL"/>
        </w:rPr>
        <w:br/>
        <w:t>i rodzajów zanieczyszczeń wprowadzanych do powietrza, ilości rodzajów wytworzonych odpadów, zużycia surowców i materiałów, zużycia energii i paliw, ilości i jakości odprowadzanych ścieków, poboru wody oraz czas pracy instalacji.</w:t>
      </w:r>
    </w:p>
    <w:p w14:paraId="512BE7B6" w14:textId="77777777" w:rsidR="00E02F30" w:rsidRPr="00E02F30" w:rsidRDefault="00E02F30" w:rsidP="00E02F30">
      <w:pPr>
        <w:spacing w:after="0" w:line="276" w:lineRule="auto"/>
        <w:jc w:val="both"/>
        <w:rPr>
          <w:rFonts w:eastAsia="Calibri" w:cs="Arial"/>
          <w:szCs w:val="24"/>
          <w:highlight w:val="lightGray"/>
          <w:lang w:eastAsia="pl-PL"/>
        </w:rPr>
      </w:pPr>
      <w:r w:rsidRPr="00E02F30">
        <w:rPr>
          <w:rFonts w:eastAsia="Calibri" w:cs="Arial"/>
          <w:szCs w:val="24"/>
          <w:lang w:eastAsia="pl-PL"/>
        </w:rPr>
        <w:t xml:space="preserve">Przedkładane będą w „Raporcie…” dane z monitoringu instalacji objętych pozwoleniem zintegrowanym, </w:t>
      </w:r>
      <w:proofErr w:type="spellStart"/>
      <w:r w:rsidRPr="00E02F30">
        <w:rPr>
          <w:rFonts w:eastAsia="Calibri" w:cs="Arial"/>
          <w:szCs w:val="24"/>
          <w:lang w:eastAsia="pl-PL"/>
        </w:rPr>
        <w:t>tj</w:t>
      </w:r>
      <w:proofErr w:type="spellEnd"/>
      <w:r w:rsidRPr="00E02F30">
        <w:rPr>
          <w:rFonts w:eastAsia="Calibri" w:cs="Arial"/>
          <w:szCs w:val="24"/>
          <w:lang w:eastAsia="pl-PL"/>
        </w:rPr>
        <w:t xml:space="preserve">,: emisji hałasu do środowiska, jakości powietrza, gleby, ziemi i wód gruntowych, jakości rzeki San. </w:t>
      </w:r>
      <w:bookmarkStart w:id="16" w:name="_Hlk43209676"/>
    </w:p>
    <w:bookmarkEnd w:id="16"/>
    <w:p w14:paraId="1C650CFB" w14:textId="77777777" w:rsidR="00E02F30" w:rsidRPr="00E02F30" w:rsidRDefault="00E02F30" w:rsidP="00E02F30">
      <w:pPr>
        <w:spacing w:after="0" w:line="276" w:lineRule="auto"/>
        <w:jc w:val="both"/>
        <w:rPr>
          <w:rFonts w:eastAsia="Calibri" w:cs="Arial"/>
          <w:szCs w:val="24"/>
          <w:lang w:eastAsia="pl-PL"/>
        </w:rPr>
      </w:pPr>
      <w:r w:rsidRPr="00E02F30">
        <w:rPr>
          <w:rFonts w:eastAsia="Calibri" w:cs="Arial"/>
          <w:szCs w:val="24"/>
          <w:lang w:eastAsia="pl-PL"/>
        </w:rPr>
        <w:t xml:space="preserve">Raport zawierać będzie omówienie wyników prowadzonego monitoringu, wpływu instalacji na środowisko w tym wyniki pomiarów </w:t>
      </w:r>
      <w:proofErr w:type="spellStart"/>
      <w:r w:rsidRPr="00E02F30">
        <w:rPr>
          <w:rFonts w:eastAsia="Calibri" w:cs="Arial"/>
          <w:szCs w:val="24"/>
          <w:lang w:eastAsia="pl-PL"/>
        </w:rPr>
        <w:t>imisyjnych</w:t>
      </w:r>
      <w:proofErr w:type="spellEnd"/>
      <w:r w:rsidRPr="00E02F30">
        <w:rPr>
          <w:rFonts w:eastAsia="Calibri" w:cs="Arial"/>
          <w:szCs w:val="24"/>
          <w:lang w:eastAsia="pl-PL"/>
        </w:rPr>
        <w:t xml:space="preserve"> oraz monitoringu jakości wód rzeki San, wnioski i zalecenia. W przypadku stwierdzonych przekroczeń operator instalacji dokona również analizy przyczyn zaistniałych przekroczeń.</w:t>
      </w:r>
    </w:p>
    <w:p w14:paraId="6BAFC72E" w14:textId="77777777" w:rsidR="00E02F30" w:rsidRPr="00E02F30" w:rsidRDefault="00E02F30" w:rsidP="00E02F30">
      <w:pPr>
        <w:spacing w:after="0" w:line="276" w:lineRule="auto"/>
        <w:jc w:val="both"/>
        <w:rPr>
          <w:rFonts w:eastAsia="Times New Roman" w:cs="Times New Roman"/>
          <w:szCs w:val="24"/>
          <w:lang w:eastAsia="pl-PL"/>
        </w:rPr>
      </w:pPr>
      <w:r w:rsidRPr="00E02F30">
        <w:rPr>
          <w:rFonts w:eastAsia="Calibri" w:cs="Times New Roman"/>
          <w:b/>
          <w:bCs/>
          <w:szCs w:val="24"/>
        </w:rPr>
        <w:t>X.</w:t>
      </w:r>
      <w:r w:rsidRPr="00E02F30">
        <w:rPr>
          <w:rFonts w:eastAsia="Calibri" w:cs="Times New Roman"/>
          <w:szCs w:val="24"/>
        </w:rPr>
        <w:t xml:space="preserve"> Metody zapobiegania występowaniu awarii i zabezpieczenia środowiska przed skutkami awarii przemysłowej oraz </w:t>
      </w:r>
      <w:r w:rsidRPr="00E02F30">
        <w:rPr>
          <w:rFonts w:eastAsia="Times New Roman" w:cs="Times New Roman"/>
          <w:szCs w:val="24"/>
          <w:lang w:eastAsia="pl-PL"/>
        </w:rPr>
        <w:t>sposób powiadamiania o jej wystąpieniu</w:t>
      </w:r>
    </w:p>
    <w:p w14:paraId="51793349" w14:textId="77777777" w:rsidR="00E02F30" w:rsidRPr="00E02F30" w:rsidRDefault="00E02F30" w:rsidP="00E02F30">
      <w:pPr>
        <w:autoSpaceDE w:val="0"/>
        <w:autoSpaceDN w:val="0"/>
        <w:adjustRightInd w:val="0"/>
        <w:spacing w:before="120" w:after="0" w:line="276" w:lineRule="auto"/>
        <w:jc w:val="both"/>
        <w:rPr>
          <w:rFonts w:eastAsia="Times New Roman" w:cs="Arial"/>
          <w:szCs w:val="24"/>
          <w:lang w:eastAsia="pl-PL"/>
        </w:rPr>
      </w:pPr>
      <w:r w:rsidRPr="00E02F30">
        <w:rPr>
          <w:rFonts w:eastAsia="Times New Roman" w:cs="Arial"/>
          <w:szCs w:val="24"/>
          <w:lang w:eastAsia="pl-PL"/>
        </w:rPr>
        <w:t>W przypadku wystąpienia awarii przemysłowej stosowane będą sposoby zabezpieczenia środowiska, postępowania i powiadamiania zgodnie z opracowaną i zatwierdzoną dokumentacją oraz procedurami zakładowego systemu zarządzania bezpieczeństwem i obowiązującymi przepisami. Stosowany będzie Program Zapobiegania Awariom oraz pozostała obowiązująca dokumentacja tym zakresie.</w:t>
      </w:r>
    </w:p>
    <w:p w14:paraId="31B14FDC" w14:textId="77777777" w:rsidR="00E02F30" w:rsidRPr="00E02F30" w:rsidRDefault="00E02F30" w:rsidP="00E02F30">
      <w:pPr>
        <w:keepNext/>
        <w:widowControl w:val="0"/>
        <w:adjustRightInd w:val="0"/>
        <w:spacing w:after="0" w:line="240" w:lineRule="auto"/>
        <w:jc w:val="both"/>
        <w:textAlignment w:val="baseline"/>
        <w:outlineLvl w:val="1"/>
        <w:rPr>
          <w:rFonts w:eastAsia="Calibri" w:cs="Times New Roman"/>
          <w:b/>
          <w:szCs w:val="20"/>
          <w:lang w:val="en-US"/>
        </w:rPr>
      </w:pPr>
      <w:r w:rsidRPr="00E02F30">
        <w:rPr>
          <w:rFonts w:eastAsia="Calibri" w:cs="Times New Roman"/>
          <w:b/>
          <w:szCs w:val="20"/>
          <w:lang w:val="en-US"/>
        </w:rPr>
        <w:t xml:space="preserve">XI. </w:t>
      </w:r>
      <w:proofErr w:type="spellStart"/>
      <w:r w:rsidRPr="00E02F30">
        <w:rPr>
          <w:rFonts w:eastAsia="Calibri" w:cs="Times New Roman"/>
          <w:b/>
          <w:szCs w:val="20"/>
          <w:lang w:val="en-US"/>
        </w:rPr>
        <w:t>Sposoby</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osiągania</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wysokiego</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poziomu</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ochrony</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środowiska</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jako</w:t>
      </w:r>
      <w:proofErr w:type="spellEnd"/>
      <w:r w:rsidRPr="00E02F30">
        <w:rPr>
          <w:rFonts w:eastAsia="Calibri" w:cs="Times New Roman"/>
          <w:b/>
          <w:szCs w:val="20"/>
          <w:lang w:val="en-US"/>
        </w:rPr>
        <w:t xml:space="preserve"> </w:t>
      </w:r>
      <w:proofErr w:type="spellStart"/>
      <w:r w:rsidRPr="00E02F30">
        <w:rPr>
          <w:rFonts w:eastAsia="Calibri" w:cs="Times New Roman"/>
          <w:b/>
          <w:szCs w:val="20"/>
          <w:lang w:val="en-US"/>
        </w:rPr>
        <w:t>całości</w:t>
      </w:r>
      <w:proofErr w:type="spellEnd"/>
    </w:p>
    <w:p w14:paraId="7A518AAD" w14:textId="77777777" w:rsidR="00E02F30" w:rsidRPr="00E02F30" w:rsidRDefault="00E02F30" w:rsidP="00E02F30">
      <w:pPr>
        <w:spacing w:before="120" w:after="120" w:line="276" w:lineRule="auto"/>
        <w:jc w:val="both"/>
        <w:rPr>
          <w:rFonts w:eastAsia="Times New Roman" w:cs="Arial"/>
          <w:szCs w:val="24"/>
          <w:lang w:eastAsia="pl-PL"/>
        </w:rPr>
      </w:pPr>
      <w:r w:rsidRPr="00E02F30">
        <w:rPr>
          <w:rFonts w:eastAsia="Times New Roman" w:cs="Arial"/>
          <w:b/>
          <w:szCs w:val="24"/>
          <w:lang w:eastAsia="pl-PL"/>
        </w:rPr>
        <w:t>XI.1.</w:t>
      </w:r>
      <w:r w:rsidRPr="00E02F30">
        <w:rPr>
          <w:rFonts w:eastAsia="Times New Roman" w:cs="Arial"/>
          <w:szCs w:val="24"/>
          <w:lang w:eastAsia="pl-PL"/>
        </w:rPr>
        <w:t xml:space="preserve"> Instalacja eksploatowana będzie z zachowaniem projektowanych parametrów technicznych i technologicznych, w tym ustalonych w niniejszej decyzji. Wszystkie urządzenia objęte niniejszą decyzją należy utrzymywać we właściwym stanie technicznym i prawidłowo eksploatować zgodnie z ich instrukcjami </w:t>
      </w:r>
      <w:proofErr w:type="spellStart"/>
      <w:r w:rsidRPr="00E02F30">
        <w:rPr>
          <w:rFonts w:eastAsia="Times New Roman" w:cs="Arial"/>
          <w:szCs w:val="24"/>
          <w:lang w:eastAsia="pl-PL"/>
        </w:rPr>
        <w:t>techniczno</w:t>
      </w:r>
      <w:proofErr w:type="spellEnd"/>
      <w:r w:rsidRPr="00E02F30">
        <w:rPr>
          <w:rFonts w:eastAsia="Times New Roman" w:cs="Arial"/>
          <w:szCs w:val="24"/>
          <w:lang w:eastAsia="pl-PL"/>
        </w:rPr>
        <w:t xml:space="preserve"> – ruchowymi (dotyczy to wszystkich urządzeń technicznych, w stosunku do których wymagane są aktualne badania techniczne zgodne z wymaganiami instrukcji obsługi DTR). </w:t>
      </w:r>
    </w:p>
    <w:p w14:paraId="2542144C" w14:textId="77777777" w:rsidR="00E02F30" w:rsidRPr="00E02F30" w:rsidRDefault="00E02F30" w:rsidP="00E02F30">
      <w:pPr>
        <w:spacing w:after="0" w:line="276" w:lineRule="auto"/>
        <w:jc w:val="both"/>
        <w:rPr>
          <w:rFonts w:eastAsia="Times New Roman" w:cs="Arial"/>
          <w:szCs w:val="24"/>
          <w:lang w:val="x-none" w:eastAsia="pl-PL"/>
        </w:rPr>
      </w:pPr>
      <w:r w:rsidRPr="00E02F30">
        <w:rPr>
          <w:rFonts w:eastAsia="Times New Roman" w:cs="Arial"/>
          <w:b/>
          <w:szCs w:val="24"/>
          <w:lang w:val="x-none" w:eastAsia="pl-PL"/>
        </w:rPr>
        <w:t xml:space="preserve">XI.2. </w:t>
      </w:r>
      <w:r w:rsidRPr="00E02F30">
        <w:rPr>
          <w:rFonts w:eastAsia="Times New Roman" w:cs="Arial"/>
          <w:szCs w:val="24"/>
          <w:lang w:val="x-none" w:eastAsia="pl-PL"/>
        </w:rPr>
        <w:t>W zakresie organizacyjnym należy realizować na bieżąco:</w:t>
      </w:r>
    </w:p>
    <w:p w14:paraId="73116E6A" w14:textId="77777777" w:rsidR="00E02F30" w:rsidRPr="00E02F30" w:rsidRDefault="00E02F30">
      <w:pPr>
        <w:keepNext/>
        <w:numPr>
          <w:ilvl w:val="0"/>
          <w:numId w:val="79"/>
        </w:numPr>
        <w:tabs>
          <w:tab w:val="num" w:pos="709"/>
        </w:tabs>
        <w:spacing w:after="0" w:line="276" w:lineRule="auto"/>
        <w:ind w:left="709" w:hanging="567"/>
        <w:jc w:val="both"/>
        <w:rPr>
          <w:rFonts w:eastAsia="Times New Roman" w:cs="Arial"/>
          <w:szCs w:val="24"/>
          <w:lang w:val="x-none" w:eastAsia="pl-PL"/>
        </w:rPr>
      </w:pPr>
      <w:r w:rsidRPr="00E02F30">
        <w:rPr>
          <w:rFonts w:eastAsia="Times New Roman" w:cs="Arial"/>
          <w:szCs w:val="24"/>
          <w:lang w:val="x-none" w:eastAsia="pl-PL"/>
        </w:rPr>
        <w:t>politykę środowiskową mającą na celu poprawę ograniczenia oraz zmniejszenia oddziaływania instalacji na środowisko i ludzi;</w:t>
      </w:r>
    </w:p>
    <w:p w14:paraId="7EC5CB4B" w14:textId="77777777" w:rsidR="00E02F30" w:rsidRPr="00E02F30" w:rsidRDefault="00E02F30">
      <w:pPr>
        <w:keepNext/>
        <w:numPr>
          <w:ilvl w:val="0"/>
          <w:numId w:val="79"/>
        </w:numPr>
        <w:tabs>
          <w:tab w:val="num" w:pos="709"/>
        </w:tabs>
        <w:spacing w:before="60" w:after="60" w:line="276" w:lineRule="auto"/>
        <w:ind w:left="709" w:hanging="567"/>
        <w:jc w:val="both"/>
        <w:rPr>
          <w:rFonts w:eastAsia="Times New Roman" w:cs="Arial"/>
          <w:szCs w:val="24"/>
          <w:lang w:val="x-none" w:eastAsia="pl-PL"/>
        </w:rPr>
      </w:pPr>
      <w:r w:rsidRPr="00E02F30">
        <w:rPr>
          <w:rFonts w:eastAsia="Times New Roman" w:cs="Arial"/>
          <w:szCs w:val="24"/>
          <w:lang w:val="x-none" w:eastAsia="pl-PL"/>
        </w:rPr>
        <w:t>identyfikację i poddawanie systematycznej ocenie aspektów środowiskowych, a kluczowe aspekty uwzględniać jako podstawę planowania realizacji celów i zadań w ramach programów dotyczących środowiska;</w:t>
      </w:r>
    </w:p>
    <w:p w14:paraId="051506F1" w14:textId="77777777" w:rsidR="00E02F30" w:rsidRPr="00E02F30" w:rsidRDefault="00E02F30">
      <w:pPr>
        <w:keepNext/>
        <w:numPr>
          <w:ilvl w:val="0"/>
          <w:numId w:val="79"/>
        </w:numPr>
        <w:tabs>
          <w:tab w:val="num" w:pos="709"/>
        </w:tabs>
        <w:spacing w:before="60" w:after="60" w:line="276" w:lineRule="auto"/>
        <w:ind w:left="709" w:hanging="567"/>
        <w:jc w:val="both"/>
        <w:rPr>
          <w:rFonts w:eastAsia="Times New Roman" w:cs="Arial"/>
          <w:szCs w:val="24"/>
          <w:lang w:val="x-none" w:eastAsia="pl-PL"/>
        </w:rPr>
      </w:pPr>
      <w:r w:rsidRPr="00E02F30">
        <w:rPr>
          <w:rFonts w:eastAsia="Times New Roman" w:cs="Arial"/>
          <w:szCs w:val="24"/>
          <w:lang w:val="x-none" w:eastAsia="pl-PL"/>
        </w:rPr>
        <w:t>szkolenia pracowników w celu zapewnienia odpowiednich kwalifikacji oraz świadomości w zakresie środowiska;</w:t>
      </w:r>
    </w:p>
    <w:p w14:paraId="12B8076C" w14:textId="77777777" w:rsidR="00E02F30" w:rsidRPr="00E02F30" w:rsidRDefault="00E02F30">
      <w:pPr>
        <w:keepNext/>
        <w:numPr>
          <w:ilvl w:val="0"/>
          <w:numId w:val="79"/>
        </w:numPr>
        <w:tabs>
          <w:tab w:val="num" w:pos="709"/>
        </w:tabs>
        <w:spacing w:before="60" w:after="60" w:line="276" w:lineRule="auto"/>
        <w:ind w:left="709" w:hanging="567"/>
        <w:jc w:val="both"/>
        <w:rPr>
          <w:rFonts w:eastAsia="Times New Roman" w:cs="Arial"/>
          <w:szCs w:val="24"/>
          <w:lang w:val="x-none" w:eastAsia="pl-PL"/>
        </w:rPr>
      </w:pPr>
      <w:r w:rsidRPr="00E02F30">
        <w:rPr>
          <w:rFonts w:eastAsia="Times New Roman" w:cs="Arial"/>
          <w:szCs w:val="24"/>
          <w:lang w:val="x-none" w:eastAsia="pl-PL"/>
        </w:rPr>
        <w:t>utrzymanie odpowiedniej struktury organizacyjnej w tym w zakresie obsługi i nadzoru instalacji oraz ich monitoringu;</w:t>
      </w:r>
    </w:p>
    <w:p w14:paraId="390172BB" w14:textId="77777777" w:rsidR="00E02F30" w:rsidRPr="00E02F30" w:rsidRDefault="00E02F30">
      <w:pPr>
        <w:keepNext/>
        <w:numPr>
          <w:ilvl w:val="0"/>
          <w:numId w:val="79"/>
        </w:numPr>
        <w:tabs>
          <w:tab w:val="num" w:pos="709"/>
        </w:tabs>
        <w:spacing w:before="60" w:after="60" w:line="276" w:lineRule="auto"/>
        <w:ind w:left="709" w:hanging="567"/>
        <w:jc w:val="both"/>
        <w:rPr>
          <w:rFonts w:eastAsia="Times New Roman" w:cs="Arial"/>
          <w:szCs w:val="24"/>
          <w:lang w:val="x-none" w:eastAsia="pl-PL"/>
        </w:rPr>
      </w:pPr>
      <w:r w:rsidRPr="00E02F30">
        <w:rPr>
          <w:rFonts w:eastAsia="Times New Roman" w:cs="Arial"/>
          <w:szCs w:val="24"/>
          <w:lang w:val="x-none" w:eastAsia="pl-PL"/>
        </w:rPr>
        <w:t>zapewnienie wymiany informacji dotyczącej środowiska w otoczeniu wewnętrznym i zewnętrznym instalacji;</w:t>
      </w:r>
    </w:p>
    <w:p w14:paraId="079B4821" w14:textId="77777777" w:rsidR="00E02F30" w:rsidRPr="00E02F30" w:rsidRDefault="00E02F30">
      <w:pPr>
        <w:keepNext/>
        <w:numPr>
          <w:ilvl w:val="0"/>
          <w:numId w:val="79"/>
        </w:numPr>
        <w:tabs>
          <w:tab w:val="num" w:pos="709"/>
        </w:tabs>
        <w:spacing w:before="60" w:after="60" w:line="276" w:lineRule="auto"/>
        <w:ind w:left="709" w:hanging="567"/>
        <w:jc w:val="both"/>
        <w:rPr>
          <w:rFonts w:eastAsia="Times New Roman" w:cs="Arial"/>
          <w:szCs w:val="24"/>
          <w:lang w:val="x-none" w:eastAsia="pl-PL"/>
        </w:rPr>
      </w:pPr>
      <w:r w:rsidRPr="00E02F30">
        <w:rPr>
          <w:rFonts w:eastAsia="Times New Roman" w:cs="Arial"/>
          <w:szCs w:val="24"/>
          <w:lang w:val="x-none" w:eastAsia="pl-PL"/>
        </w:rPr>
        <w:t>właściwy nadzór nad dokumentacją, zapisami i danymi oraz przepisami prawnymi dotyczącymi środowiska, w tym ich zmianami;</w:t>
      </w:r>
    </w:p>
    <w:p w14:paraId="6B2AC572" w14:textId="77777777" w:rsidR="00E02F30" w:rsidRPr="00E02F30" w:rsidRDefault="00E02F30">
      <w:pPr>
        <w:keepNext/>
        <w:numPr>
          <w:ilvl w:val="0"/>
          <w:numId w:val="79"/>
        </w:numPr>
        <w:tabs>
          <w:tab w:val="num" w:pos="709"/>
        </w:tabs>
        <w:spacing w:before="60" w:after="60" w:line="276" w:lineRule="auto"/>
        <w:ind w:left="709" w:hanging="567"/>
        <w:jc w:val="both"/>
        <w:rPr>
          <w:rFonts w:eastAsia="Times New Roman" w:cs="Arial"/>
          <w:szCs w:val="24"/>
          <w:lang w:val="x-none" w:eastAsia="pl-PL"/>
        </w:rPr>
      </w:pPr>
      <w:r w:rsidRPr="00E02F30">
        <w:rPr>
          <w:rFonts w:eastAsia="Times New Roman" w:cs="Arial"/>
          <w:szCs w:val="24"/>
          <w:lang w:val="x-none" w:eastAsia="pl-PL"/>
        </w:rPr>
        <w:t>inne postanowienia i obowiązki zawarte w procedurach i instrukcjach zintegrowanego zakładowego systemu zarządzania jakością, środowiskiem i bezpieczeństwem.</w:t>
      </w:r>
    </w:p>
    <w:p w14:paraId="62E58DBD" w14:textId="77777777" w:rsidR="00E02F30" w:rsidRPr="00E02F30" w:rsidRDefault="00E02F30" w:rsidP="00E02F30">
      <w:pPr>
        <w:keepNext/>
        <w:widowControl w:val="0"/>
        <w:adjustRightInd w:val="0"/>
        <w:spacing w:after="0" w:line="276" w:lineRule="auto"/>
        <w:jc w:val="both"/>
        <w:textAlignment w:val="baseline"/>
        <w:outlineLvl w:val="2"/>
        <w:rPr>
          <w:rFonts w:eastAsia="Times New Roman" w:cs="Times New Roman"/>
          <w:bCs/>
          <w:szCs w:val="20"/>
          <w:lang w:eastAsia="pl-PL"/>
        </w:rPr>
      </w:pPr>
      <w:r w:rsidRPr="00E02F30">
        <w:rPr>
          <w:rFonts w:eastAsia="Times New Roman" w:cs="Arial"/>
          <w:b/>
          <w:szCs w:val="20"/>
          <w:lang w:val="x-none" w:eastAsia="pl-PL"/>
        </w:rPr>
        <w:t>X</w:t>
      </w:r>
      <w:r w:rsidRPr="00E02F30">
        <w:rPr>
          <w:rFonts w:eastAsia="Times New Roman" w:cs="Arial"/>
          <w:b/>
          <w:szCs w:val="20"/>
          <w:lang w:eastAsia="pl-PL"/>
        </w:rPr>
        <w:t>I</w:t>
      </w:r>
      <w:r w:rsidRPr="00E02F30">
        <w:rPr>
          <w:rFonts w:eastAsia="Times New Roman" w:cs="Arial"/>
          <w:b/>
          <w:szCs w:val="20"/>
          <w:lang w:val="x-none" w:eastAsia="pl-PL"/>
        </w:rPr>
        <w:t xml:space="preserve">.3. </w:t>
      </w:r>
      <w:bookmarkStart w:id="17" w:name="_Hlk172614888"/>
      <w:r w:rsidRPr="00E02F30">
        <w:rPr>
          <w:rFonts w:eastAsia="Times New Roman" w:cs="Times New Roman"/>
          <w:bCs/>
          <w:szCs w:val="20"/>
          <w:lang w:eastAsia="pl-PL"/>
        </w:rPr>
        <w:t>W sytuacji wystąpienia zagrożenia zabezpieczenie operacyjne stanowić będzie miejscowa jednostka PSP – JRG PSP w Nowej Sarzynie o specjalności chemiczno-ekologicznej, która jest w stanie podjąć skuteczne działania ratowniczo-gaśnicze i zabezpieczające do 5 min. od zgłoszenia.</w:t>
      </w:r>
    </w:p>
    <w:bookmarkEnd w:id="17"/>
    <w:p w14:paraId="1B7B7815" w14:textId="77777777" w:rsidR="00E02F30" w:rsidRPr="00E02F30" w:rsidRDefault="00E02F30" w:rsidP="00E02F30">
      <w:pPr>
        <w:spacing w:after="0" w:line="276" w:lineRule="auto"/>
        <w:jc w:val="both"/>
        <w:rPr>
          <w:rFonts w:eastAsia="Times New Roman" w:cs="Arial"/>
          <w:szCs w:val="24"/>
          <w:lang w:val="x-none" w:eastAsia="pl-PL"/>
        </w:rPr>
      </w:pPr>
      <w:r w:rsidRPr="00E02F30">
        <w:rPr>
          <w:rFonts w:eastAsia="Times New Roman" w:cs="Arial"/>
          <w:b/>
          <w:szCs w:val="24"/>
          <w:lang w:val="x-none" w:eastAsia="pl-PL"/>
        </w:rPr>
        <w:t>XI.4.</w:t>
      </w:r>
      <w:r w:rsidRPr="00E02F30">
        <w:rPr>
          <w:rFonts w:eastAsia="Times New Roman" w:cs="Arial"/>
          <w:szCs w:val="24"/>
          <w:lang w:val="x-none" w:eastAsia="pl-PL"/>
        </w:rPr>
        <w:t xml:space="preserve"> W okresach remontowych dokonywane będą regularne przeglądy stanu technicznego mis - tac w magazynach i powierzchni magazynowych oraz innych urządzeń służących ochronie środowiska zgodnie z obowiązującymi przepisami i procedurami zintegrowanego zakładowego systemu zarządzania.</w:t>
      </w:r>
    </w:p>
    <w:p w14:paraId="6ABA9119"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XI.5.</w:t>
      </w:r>
      <w:r w:rsidRPr="00E02F30">
        <w:rPr>
          <w:rFonts w:eastAsia="Times New Roman" w:cs="Arial"/>
          <w:szCs w:val="24"/>
          <w:lang w:eastAsia="pl-PL"/>
        </w:rPr>
        <w:t xml:space="preserve"> Podejmowane będą stosowne działania korygujące i zapobiegawcze w oparciu o analizę danych uzyskiwanych z monitoringu zgodnie z obowiązującymi procedurami zintegrowanego zakładowego systemu zarządzania</w:t>
      </w:r>
    </w:p>
    <w:p w14:paraId="125D5343" w14:textId="77777777" w:rsidR="00E02F30" w:rsidRPr="00E02F30" w:rsidRDefault="00E02F30" w:rsidP="00E02F30">
      <w:pPr>
        <w:spacing w:after="0" w:line="276" w:lineRule="auto"/>
        <w:jc w:val="both"/>
        <w:rPr>
          <w:rFonts w:eastAsia="Times New Roman" w:cs="Arial"/>
          <w:szCs w:val="24"/>
          <w:lang w:val="x-none" w:eastAsia="pl-PL"/>
        </w:rPr>
      </w:pPr>
      <w:r w:rsidRPr="00E02F30">
        <w:rPr>
          <w:rFonts w:eastAsia="Times New Roman" w:cs="Arial"/>
          <w:b/>
          <w:szCs w:val="24"/>
          <w:lang w:val="x-none" w:eastAsia="pl-PL"/>
        </w:rPr>
        <w:t>X</w:t>
      </w:r>
      <w:r w:rsidRPr="00E02F30">
        <w:rPr>
          <w:rFonts w:eastAsia="Times New Roman" w:cs="Arial"/>
          <w:b/>
          <w:szCs w:val="24"/>
          <w:lang w:eastAsia="pl-PL"/>
        </w:rPr>
        <w:t>I</w:t>
      </w:r>
      <w:r w:rsidRPr="00E02F30">
        <w:rPr>
          <w:rFonts w:eastAsia="Times New Roman" w:cs="Arial"/>
          <w:b/>
          <w:szCs w:val="24"/>
          <w:lang w:val="x-none" w:eastAsia="pl-PL"/>
        </w:rPr>
        <w:t>.6</w:t>
      </w:r>
      <w:r w:rsidRPr="00E02F30">
        <w:rPr>
          <w:rFonts w:eastAsia="Times New Roman" w:cs="Arial"/>
          <w:szCs w:val="24"/>
          <w:lang w:val="x-none" w:eastAsia="pl-PL"/>
        </w:rPr>
        <w:t>. Zgodnie z obowiązującą  instrukcją prowadzone będą bilanse i okresowe inwentaryzacje surowców magazynowanych i zużywanych do produkcji, materiałów oraz wszystkich magazynowanych wyrobów, ścieków i odpadów.</w:t>
      </w:r>
    </w:p>
    <w:p w14:paraId="214FE963"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XI.7.</w:t>
      </w:r>
      <w:r w:rsidRPr="00E02F30">
        <w:rPr>
          <w:rFonts w:eastAsia="Times New Roman" w:cs="Arial"/>
          <w:szCs w:val="24"/>
          <w:lang w:eastAsia="pl-PL"/>
        </w:rPr>
        <w:t xml:space="preserve"> </w:t>
      </w:r>
      <w:r w:rsidRPr="00E02F30">
        <w:rPr>
          <w:rFonts w:eastAsia="Times New Roman" w:cs="Arial"/>
          <w:szCs w:val="24"/>
          <w:lang w:eastAsia="fr-FR"/>
        </w:rPr>
        <w:t xml:space="preserve">Zbiorniki surowców i reagentów posiadać będą </w:t>
      </w:r>
      <w:r w:rsidRPr="00E02F30">
        <w:rPr>
          <w:rFonts w:eastAsia="Times New Roman" w:cs="Arial"/>
          <w:szCs w:val="24"/>
          <w:lang w:eastAsia="pl-PL"/>
        </w:rPr>
        <w:t>szczelną armaturę oraz połączenia rurociągowe, atestowane węże i szczelne połączenia, prowadzony będzie stały nadzór nad ich stanem technicznym inspekcje i kontrole.</w:t>
      </w:r>
    </w:p>
    <w:p w14:paraId="11B94FB6"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XI.8.</w:t>
      </w:r>
      <w:r w:rsidRPr="00E02F30">
        <w:rPr>
          <w:rFonts w:eastAsia="Times New Roman" w:cs="Arial"/>
          <w:szCs w:val="24"/>
          <w:lang w:eastAsia="pl-PL"/>
        </w:rPr>
        <w:t xml:space="preserve"> Prowadzony będzie monitoring procesów technologicznych w instalacji. Wszystkie urządzenia związane z monitoringiem procesu technologicznego muszą być w pełni sprawne, umożliwiające prawidłowe wykonywanie pomiarów oraz zapewniające zachowanie wymogów BHP.</w:t>
      </w:r>
    </w:p>
    <w:p w14:paraId="0D33BD4E"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XI.9.</w:t>
      </w:r>
      <w:r w:rsidRPr="00E02F30">
        <w:rPr>
          <w:rFonts w:eastAsia="Times New Roman" w:cs="Arial"/>
          <w:szCs w:val="24"/>
          <w:lang w:eastAsia="pl-PL"/>
        </w:rPr>
        <w:t xml:space="preserve"> Wszystkie procesy technologiczne, magazynowanie surowców, reagentów produktów i odpadów na terenie instalacji będą prowadzone na powierzchni szczelnej.</w:t>
      </w:r>
    </w:p>
    <w:p w14:paraId="14F2180E"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XI.10.</w:t>
      </w:r>
      <w:r w:rsidRPr="00E02F30">
        <w:rPr>
          <w:rFonts w:eastAsia="Times New Roman" w:cs="Arial"/>
          <w:szCs w:val="24"/>
          <w:lang w:eastAsia="pl-PL"/>
        </w:rPr>
        <w:t xml:space="preserve"> Wytwarzane ścieki spełniające wymagania technologiczne zawracane będą do procesu technologicznego.</w:t>
      </w:r>
    </w:p>
    <w:p w14:paraId="269185D6" w14:textId="77777777" w:rsidR="00E02F30" w:rsidRPr="00E02F30" w:rsidRDefault="00E02F30" w:rsidP="00E02F30">
      <w:pPr>
        <w:tabs>
          <w:tab w:val="left" w:pos="0"/>
        </w:tabs>
        <w:spacing w:after="0" w:line="276" w:lineRule="auto"/>
        <w:jc w:val="both"/>
        <w:rPr>
          <w:rFonts w:eastAsia="Times New Roman" w:cs="Arial"/>
          <w:szCs w:val="24"/>
          <w:lang w:val="x-none" w:eastAsia="pl-PL"/>
        </w:rPr>
      </w:pPr>
      <w:r w:rsidRPr="00E02F30">
        <w:rPr>
          <w:rFonts w:eastAsia="Times New Roman" w:cs="Arial"/>
          <w:b/>
          <w:szCs w:val="24"/>
          <w:lang w:val="x-none" w:eastAsia="pl-PL"/>
        </w:rPr>
        <w:t>XI.11.</w:t>
      </w:r>
      <w:r w:rsidRPr="00E02F30">
        <w:rPr>
          <w:rFonts w:eastAsia="Times New Roman" w:cs="Arial"/>
          <w:szCs w:val="24"/>
          <w:lang w:val="x-none" w:eastAsia="pl-PL"/>
        </w:rPr>
        <w:t xml:space="preserve"> Drogi oraz punkty przeładunkowe i place będą szczelne, utrzymywane i eksploatowane będą z zachowaniem zasad, przepisów szczegółowych i</w:t>
      </w:r>
      <w:r w:rsidRPr="00E02F30">
        <w:rPr>
          <w:rFonts w:eastAsia="Times New Roman" w:cs="Arial"/>
          <w:szCs w:val="24"/>
          <w:lang w:eastAsia="pl-PL"/>
        </w:rPr>
        <w:t> </w:t>
      </w:r>
      <w:r w:rsidRPr="00E02F30">
        <w:rPr>
          <w:rFonts w:eastAsia="Times New Roman" w:cs="Arial"/>
          <w:szCs w:val="24"/>
          <w:lang w:val="x-none" w:eastAsia="pl-PL"/>
        </w:rPr>
        <w:t>instrukcji z zachowaniem porządku, czystości i szczelności miejsc przeładunku.</w:t>
      </w:r>
    </w:p>
    <w:p w14:paraId="37C837C9" w14:textId="77777777" w:rsidR="00E02F30" w:rsidRPr="00E02F30" w:rsidRDefault="00E02F30" w:rsidP="00E02F30">
      <w:pPr>
        <w:spacing w:after="0" w:line="276" w:lineRule="auto"/>
        <w:jc w:val="both"/>
        <w:rPr>
          <w:rFonts w:eastAsia="Times New Roman" w:cs="Arial"/>
          <w:szCs w:val="24"/>
          <w:lang w:val="x-none" w:eastAsia="pl-PL"/>
        </w:rPr>
      </w:pPr>
      <w:r w:rsidRPr="00E02F30">
        <w:rPr>
          <w:rFonts w:eastAsia="Times New Roman" w:cs="Arial"/>
          <w:b/>
          <w:szCs w:val="24"/>
          <w:lang w:val="x-none" w:eastAsia="pl-PL"/>
        </w:rPr>
        <w:t xml:space="preserve">XI.12. </w:t>
      </w:r>
      <w:r w:rsidRPr="00E02F30">
        <w:rPr>
          <w:rFonts w:eastAsia="Times New Roman" w:cs="Arial"/>
          <w:szCs w:val="24"/>
          <w:lang w:val="x-none" w:eastAsia="pl-PL"/>
        </w:rPr>
        <w:t xml:space="preserve">Przy modyfikowaniu wyrobów i stosowanych procesów w prowadzonych </w:t>
      </w:r>
      <w:r w:rsidRPr="00E02F30">
        <w:rPr>
          <w:rFonts w:eastAsia="Times New Roman" w:cs="Arial"/>
          <w:szCs w:val="24"/>
          <w:lang w:eastAsia="pl-PL"/>
        </w:rPr>
        <w:t>i</w:t>
      </w:r>
      <w:proofErr w:type="spellStart"/>
      <w:r w:rsidRPr="00E02F30">
        <w:rPr>
          <w:rFonts w:eastAsia="Times New Roman" w:cs="Arial"/>
          <w:szCs w:val="24"/>
          <w:lang w:val="x-none" w:eastAsia="pl-PL"/>
        </w:rPr>
        <w:t>nstalacjach</w:t>
      </w:r>
      <w:proofErr w:type="spellEnd"/>
      <w:r w:rsidRPr="00E02F30">
        <w:rPr>
          <w:rFonts w:eastAsia="Times New Roman" w:cs="Arial"/>
          <w:szCs w:val="24"/>
          <w:lang w:val="x-none" w:eastAsia="pl-PL"/>
        </w:rPr>
        <w:t xml:space="preserve"> każdorazowo dokonywana będzie identyfikacja i ocena aspektów środowiskowych oraz zagrożeń i ryzyka w celu oceny oddziaływania na środowisko zgodnie z procedurami zintegrowanego zakładowego systemu zarządzania.</w:t>
      </w:r>
    </w:p>
    <w:p w14:paraId="1710FA15"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XI.13.</w:t>
      </w:r>
      <w:r w:rsidRPr="00E02F30">
        <w:rPr>
          <w:rFonts w:eastAsia="Times New Roman" w:cs="Arial"/>
          <w:szCs w:val="24"/>
          <w:lang w:eastAsia="pl-PL"/>
        </w:rPr>
        <w:t xml:space="preserve"> Prowadzenie bieżących i okresowych szkoleń dla osób obsługujących urządzenia technologiczne w zakresie prawidłowej ich obsługi oraz w zakresie problematyki ochrony środowiska i aktualnie obowiązujących przepisów.</w:t>
      </w:r>
    </w:p>
    <w:p w14:paraId="0156A5DD"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XI.14.</w:t>
      </w:r>
      <w:r w:rsidRPr="00E02F30">
        <w:rPr>
          <w:rFonts w:eastAsia="Times New Roman" w:cs="Arial"/>
          <w:szCs w:val="24"/>
          <w:lang w:eastAsia="pl-PL"/>
        </w:rPr>
        <w:t xml:space="preserve"> Urządzenia instalacji obsługiwane będą przez przeszkolonych pracowników na podstawie procedur, instrukcji stanowiskowych i polskich norm.</w:t>
      </w:r>
    </w:p>
    <w:p w14:paraId="7425C588"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XI.15.</w:t>
      </w:r>
      <w:r w:rsidRPr="00E02F30">
        <w:rPr>
          <w:rFonts w:eastAsia="Times New Roman" w:cs="Arial"/>
          <w:szCs w:val="24"/>
          <w:lang w:eastAsia="pl-PL"/>
        </w:rPr>
        <w:t xml:space="preserve"> Podejmowane będą niezbędne działania mające na celu kontrolę, ograniczenie rozprzestrzeniania się lub ograniczenie ilości substancji stwarzających zagrożenie, zidentyfikowanych na terenie zakładu.</w:t>
      </w:r>
    </w:p>
    <w:p w14:paraId="6817DFBA" w14:textId="77777777" w:rsidR="00E02F30" w:rsidRPr="00E02F30" w:rsidRDefault="00E02F30" w:rsidP="00E02F30">
      <w:pPr>
        <w:tabs>
          <w:tab w:val="left" w:pos="0"/>
        </w:tabs>
        <w:spacing w:after="0" w:line="276" w:lineRule="auto"/>
        <w:jc w:val="both"/>
        <w:rPr>
          <w:rFonts w:eastAsia="Times New Roman" w:cs="Arial"/>
          <w:szCs w:val="24"/>
          <w:lang w:val="x-none" w:eastAsia="pl-PL"/>
        </w:rPr>
      </w:pPr>
      <w:r w:rsidRPr="00E02F30">
        <w:rPr>
          <w:rFonts w:eastAsia="Times New Roman" w:cs="Arial"/>
          <w:b/>
          <w:szCs w:val="24"/>
          <w:lang w:val="x-none" w:eastAsia="pl-PL"/>
        </w:rPr>
        <w:t xml:space="preserve">XI.16. </w:t>
      </w:r>
      <w:r w:rsidRPr="00E02F30">
        <w:rPr>
          <w:rFonts w:eastAsia="Times New Roman" w:cs="Arial"/>
          <w:szCs w:val="24"/>
          <w:lang w:val="x-none" w:eastAsia="pl-PL"/>
        </w:rPr>
        <w:t>Po zakończeniu każdego miesiąca dokonywane będą analizy i oceny</w:t>
      </w:r>
      <w:r w:rsidRPr="00E02F30">
        <w:rPr>
          <w:rFonts w:eastAsia="Times New Roman" w:cs="Arial"/>
          <w:szCs w:val="24"/>
          <w:lang w:eastAsia="pl-PL"/>
        </w:rPr>
        <w:t xml:space="preserve"> </w:t>
      </w:r>
      <w:r w:rsidRPr="00E02F30">
        <w:rPr>
          <w:rFonts w:eastAsia="Times New Roman" w:cs="Arial"/>
          <w:szCs w:val="24"/>
          <w:lang w:val="x-none" w:eastAsia="pl-PL"/>
        </w:rPr>
        <w:t>wskaźników (norm) zużycia surowców i materiałów dla wytwarzanych wyrobów.</w:t>
      </w:r>
    </w:p>
    <w:p w14:paraId="76EEC88B" w14:textId="77777777" w:rsidR="00E02F30" w:rsidRPr="00E02F30" w:rsidRDefault="00E02F30" w:rsidP="00E02F30">
      <w:pPr>
        <w:spacing w:after="0" w:line="276" w:lineRule="auto"/>
        <w:jc w:val="both"/>
        <w:rPr>
          <w:rFonts w:eastAsia="Times New Roman" w:cs="Arial"/>
          <w:szCs w:val="24"/>
          <w:lang w:val="x-none" w:eastAsia="pl-PL"/>
        </w:rPr>
      </w:pPr>
      <w:r w:rsidRPr="00E02F30">
        <w:rPr>
          <w:rFonts w:eastAsia="Times New Roman" w:cs="Arial"/>
          <w:b/>
          <w:szCs w:val="24"/>
          <w:lang w:val="x-none" w:eastAsia="pl-PL"/>
        </w:rPr>
        <w:t>XI.1</w:t>
      </w:r>
      <w:r w:rsidRPr="00E02F30">
        <w:rPr>
          <w:rFonts w:eastAsia="Times New Roman" w:cs="Arial"/>
          <w:b/>
          <w:szCs w:val="24"/>
          <w:lang w:eastAsia="pl-PL"/>
        </w:rPr>
        <w:t>7</w:t>
      </w:r>
      <w:r w:rsidRPr="00E02F30">
        <w:rPr>
          <w:rFonts w:eastAsia="Times New Roman" w:cs="Arial"/>
          <w:b/>
          <w:szCs w:val="24"/>
          <w:lang w:val="x-none" w:eastAsia="pl-PL"/>
        </w:rPr>
        <w:t xml:space="preserve">. </w:t>
      </w:r>
      <w:r w:rsidRPr="00E02F30">
        <w:rPr>
          <w:rFonts w:eastAsia="Times New Roman" w:cs="Arial"/>
          <w:szCs w:val="24"/>
          <w:lang w:val="x-none" w:eastAsia="pl-PL"/>
        </w:rPr>
        <w:t>Każda nieprawidłowość w procesie będzie szczegółowo analizowana w celu ustalenia przyczyny i okoliczności oraz wprowadzenia działań korygujących zapobiegawczych zgodnie z procedurami zintegrowanego zakładowego systemu zarządzania.</w:t>
      </w:r>
    </w:p>
    <w:p w14:paraId="419084DE" w14:textId="77777777" w:rsidR="00E02F30" w:rsidRPr="00E02F30" w:rsidRDefault="00E02F30" w:rsidP="00E02F30">
      <w:pPr>
        <w:tabs>
          <w:tab w:val="left" w:pos="0"/>
        </w:tabs>
        <w:spacing w:after="0" w:line="276" w:lineRule="auto"/>
        <w:jc w:val="both"/>
        <w:rPr>
          <w:rFonts w:eastAsia="Times New Roman" w:cs="Arial"/>
          <w:szCs w:val="24"/>
          <w:lang w:val="x-none" w:eastAsia="pl-PL"/>
        </w:rPr>
      </w:pPr>
      <w:r w:rsidRPr="00E02F30">
        <w:rPr>
          <w:rFonts w:eastAsia="Times New Roman" w:cs="Arial"/>
          <w:b/>
          <w:szCs w:val="24"/>
          <w:lang w:val="x-none" w:eastAsia="pl-PL"/>
        </w:rPr>
        <w:t>XI.1</w:t>
      </w:r>
      <w:r w:rsidRPr="00E02F30">
        <w:rPr>
          <w:rFonts w:eastAsia="Times New Roman" w:cs="Arial"/>
          <w:b/>
          <w:szCs w:val="24"/>
          <w:lang w:eastAsia="pl-PL"/>
        </w:rPr>
        <w:t>8</w:t>
      </w:r>
      <w:r w:rsidRPr="00E02F30">
        <w:rPr>
          <w:rFonts w:eastAsia="Times New Roman" w:cs="Arial"/>
          <w:b/>
          <w:szCs w:val="24"/>
          <w:lang w:val="x-none" w:eastAsia="pl-PL"/>
        </w:rPr>
        <w:t>.</w:t>
      </w:r>
      <w:r w:rsidRPr="00E02F30">
        <w:rPr>
          <w:rFonts w:eastAsia="Times New Roman" w:cs="Arial"/>
          <w:b/>
          <w:szCs w:val="24"/>
          <w:lang w:eastAsia="pl-PL"/>
        </w:rPr>
        <w:t xml:space="preserve"> </w:t>
      </w:r>
      <w:r w:rsidRPr="00E02F30">
        <w:rPr>
          <w:rFonts w:eastAsia="Times New Roman" w:cs="Arial"/>
          <w:szCs w:val="24"/>
          <w:lang w:eastAsia="pl-PL"/>
        </w:rPr>
        <w:t>U</w:t>
      </w:r>
      <w:r w:rsidRPr="00E02F30">
        <w:rPr>
          <w:rFonts w:eastAsia="Times New Roman" w:cs="Arial"/>
          <w:szCs w:val="24"/>
          <w:lang w:val="x-none" w:eastAsia="pl-PL"/>
        </w:rPr>
        <w:t>trzymywane będą wykazy substancji i preparatów (mieszanin)</w:t>
      </w:r>
      <w:r w:rsidRPr="00E02F30">
        <w:rPr>
          <w:rFonts w:eastAsia="Times New Roman" w:cs="Arial"/>
          <w:szCs w:val="24"/>
          <w:lang w:eastAsia="pl-PL"/>
        </w:rPr>
        <w:t xml:space="preserve"> </w:t>
      </w:r>
      <w:r w:rsidRPr="00E02F30">
        <w:rPr>
          <w:rFonts w:eastAsia="Times New Roman" w:cs="Arial"/>
          <w:szCs w:val="24"/>
          <w:lang w:val="x-none" w:eastAsia="pl-PL"/>
        </w:rPr>
        <w:t>niebezpiecznych wraz z ich znakowaniem i aktualnymi kartami charakterystyki zgodnie z procedurami zintegrowanego zakładowego systemu zarządzania</w:t>
      </w:r>
      <w:r w:rsidRPr="00E02F30">
        <w:rPr>
          <w:rFonts w:eastAsia="Times New Roman" w:cs="Arial"/>
          <w:szCs w:val="24"/>
          <w:lang w:eastAsia="pl-PL"/>
        </w:rPr>
        <w:t xml:space="preserve"> </w:t>
      </w:r>
      <w:r w:rsidRPr="00E02F30">
        <w:rPr>
          <w:rFonts w:eastAsia="Times New Roman" w:cs="Arial"/>
          <w:szCs w:val="24"/>
          <w:lang w:val="x-none" w:eastAsia="pl-PL"/>
        </w:rPr>
        <w:t>i przepisami szczegółowymi.</w:t>
      </w:r>
    </w:p>
    <w:p w14:paraId="6046029A" w14:textId="77777777" w:rsidR="00E02F30" w:rsidRPr="00E02F30" w:rsidRDefault="00E02F30" w:rsidP="00E02F30">
      <w:pPr>
        <w:spacing w:after="0" w:line="276" w:lineRule="auto"/>
        <w:jc w:val="both"/>
        <w:rPr>
          <w:rFonts w:eastAsia="Times New Roman" w:cs="Arial"/>
          <w:szCs w:val="24"/>
          <w:lang w:val="x-none" w:eastAsia="pl-PL"/>
        </w:rPr>
      </w:pPr>
      <w:r w:rsidRPr="00E02F30">
        <w:rPr>
          <w:rFonts w:eastAsia="Times New Roman" w:cs="Arial"/>
          <w:b/>
          <w:szCs w:val="24"/>
          <w:lang w:val="x-none" w:eastAsia="pl-PL"/>
        </w:rPr>
        <w:t>XI.1</w:t>
      </w:r>
      <w:r w:rsidRPr="00E02F30">
        <w:rPr>
          <w:rFonts w:eastAsia="Times New Roman" w:cs="Arial"/>
          <w:b/>
          <w:szCs w:val="24"/>
          <w:lang w:eastAsia="pl-PL"/>
        </w:rPr>
        <w:t xml:space="preserve">9. </w:t>
      </w:r>
      <w:r w:rsidRPr="00E02F30">
        <w:rPr>
          <w:rFonts w:eastAsia="Times New Roman" w:cs="Arial"/>
          <w:szCs w:val="24"/>
          <w:lang w:val="x-none" w:eastAsia="pl-PL"/>
        </w:rPr>
        <w:t>Dokonywane będą okresowe kontrole i przeglądy techniczne zbiorników magazynowych przeznaczonych do magazynowania substancji niebezpiecznych zgodnie z</w:t>
      </w:r>
      <w:r w:rsidRPr="00E02F30">
        <w:rPr>
          <w:rFonts w:eastAsia="Times New Roman" w:cs="Arial"/>
          <w:szCs w:val="24"/>
          <w:lang w:eastAsia="pl-PL"/>
        </w:rPr>
        <w:t> </w:t>
      </w:r>
      <w:r w:rsidRPr="00E02F30">
        <w:rPr>
          <w:rFonts w:eastAsia="Times New Roman" w:cs="Arial"/>
          <w:szCs w:val="24"/>
          <w:lang w:val="x-none" w:eastAsia="pl-PL"/>
        </w:rPr>
        <w:t>procedurami zintegrowanego zakładowego systemu zarządzania</w:t>
      </w:r>
      <w:r w:rsidRPr="00E02F30">
        <w:rPr>
          <w:rFonts w:eastAsia="Times New Roman" w:cs="Arial"/>
          <w:szCs w:val="24"/>
          <w:lang w:eastAsia="pl-PL"/>
        </w:rPr>
        <w:t xml:space="preserve"> </w:t>
      </w:r>
      <w:r w:rsidRPr="00E02F30">
        <w:rPr>
          <w:rFonts w:eastAsia="Times New Roman" w:cs="Arial"/>
          <w:szCs w:val="24"/>
          <w:lang w:val="x-none" w:eastAsia="pl-PL"/>
        </w:rPr>
        <w:t>i przepisami o dozorze technicznym.</w:t>
      </w:r>
    </w:p>
    <w:p w14:paraId="78DEB27F" w14:textId="77777777" w:rsidR="00E02F30" w:rsidRPr="00E02F30" w:rsidRDefault="00E02F30" w:rsidP="00E02F30">
      <w:pPr>
        <w:tabs>
          <w:tab w:val="left" w:pos="0"/>
        </w:tabs>
        <w:spacing w:after="0" w:line="276" w:lineRule="auto"/>
        <w:jc w:val="both"/>
        <w:rPr>
          <w:rFonts w:eastAsia="Times New Roman" w:cs="Arial"/>
          <w:szCs w:val="24"/>
          <w:lang w:val="x-none" w:eastAsia="pl-PL"/>
        </w:rPr>
      </w:pPr>
      <w:r w:rsidRPr="00E02F30">
        <w:rPr>
          <w:rFonts w:eastAsia="Times New Roman" w:cs="Arial"/>
          <w:b/>
          <w:szCs w:val="24"/>
          <w:lang w:val="x-none" w:eastAsia="pl-PL"/>
        </w:rPr>
        <w:t>XI.</w:t>
      </w:r>
      <w:r w:rsidRPr="00E02F30">
        <w:rPr>
          <w:rFonts w:eastAsia="Times New Roman" w:cs="Arial"/>
          <w:b/>
          <w:szCs w:val="24"/>
          <w:lang w:eastAsia="pl-PL"/>
        </w:rPr>
        <w:t>20</w:t>
      </w:r>
      <w:r w:rsidRPr="00E02F30">
        <w:rPr>
          <w:rFonts w:eastAsia="Times New Roman" w:cs="Arial"/>
          <w:b/>
          <w:szCs w:val="24"/>
          <w:lang w:val="x-none" w:eastAsia="pl-PL"/>
        </w:rPr>
        <w:t>.</w:t>
      </w:r>
      <w:r w:rsidRPr="00E02F30">
        <w:rPr>
          <w:rFonts w:eastAsia="Times New Roman" w:cs="Arial"/>
          <w:b/>
          <w:szCs w:val="24"/>
          <w:lang w:eastAsia="pl-PL"/>
        </w:rPr>
        <w:t xml:space="preserve"> </w:t>
      </w:r>
      <w:r w:rsidRPr="00E02F30">
        <w:rPr>
          <w:rFonts w:eastAsia="Times New Roman" w:cs="Arial"/>
          <w:szCs w:val="24"/>
          <w:lang w:val="x-none" w:eastAsia="pl-PL"/>
        </w:rPr>
        <w:t xml:space="preserve">W zbiornikach magazynowych zagrożonych pożarem lub wybuchem stosowany będzie gaz </w:t>
      </w:r>
      <w:proofErr w:type="spellStart"/>
      <w:r w:rsidRPr="00E02F30">
        <w:rPr>
          <w:rFonts w:eastAsia="Times New Roman" w:cs="Arial"/>
          <w:szCs w:val="24"/>
          <w:lang w:val="x-none" w:eastAsia="pl-PL"/>
        </w:rPr>
        <w:t>inertny</w:t>
      </w:r>
      <w:proofErr w:type="spellEnd"/>
      <w:r w:rsidRPr="00E02F30">
        <w:rPr>
          <w:rFonts w:eastAsia="Times New Roman" w:cs="Arial"/>
          <w:szCs w:val="24"/>
          <w:lang w:val="x-none" w:eastAsia="pl-PL"/>
        </w:rPr>
        <w:t xml:space="preserve"> (azot) jako zabezpieczenie przed powstawaniem stężeń wybuchowych niebezpiecznych substancji.</w:t>
      </w:r>
    </w:p>
    <w:p w14:paraId="1272A933" w14:textId="77777777" w:rsidR="00E02F30" w:rsidRPr="00E02F30" w:rsidRDefault="00E02F30" w:rsidP="00E02F30">
      <w:pPr>
        <w:tabs>
          <w:tab w:val="left" w:pos="993"/>
        </w:tabs>
        <w:spacing w:after="0" w:line="276" w:lineRule="auto"/>
        <w:jc w:val="both"/>
        <w:rPr>
          <w:rFonts w:eastAsia="Times New Roman" w:cs="Arial"/>
          <w:szCs w:val="24"/>
          <w:lang w:val="x-none" w:eastAsia="pl-PL"/>
        </w:rPr>
      </w:pPr>
      <w:r w:rsidRPr="00E02F30">
        <w:rPr>
          <w:rFonts w:eastAsia="Times New Roman" w:cs="Arial"/>
          <w:b/>
          <w:szCs w:val="24"/>
          <w:lang w:val="x-none" w:eastAsia="pl-PL"/>
        </w:rPr>
        <w:t>X</w:t>
      </w:r>
      <w:r w:rsidRPr="00E02F30">
        <w:rPr>
          <w:rFonts w:eastAsia="Times New Roman" w:cs="Arial"/>
          <w:b/>
          <w:szCs w:val="24"/>
          <w:lang w:eastAsia="pl-PL"/>
        </w:rPr>
        <w:t>I</w:t>
      </w:r>
      <w:r w:rsidRPr="00E02F30">
        <w:rPr>
          <w:rFonts w:eastAsia="Times New Roman" w:cs="Arial"/>
          <w:b/>
          <w:szCs w:val="24"/>
          <w:lang w:val="x-none" w:eastAsia="pl-PL"/>
        </w:rPr>
        <w:t>.</w:t>
      </w:r>
      <w:r w:rsidRPr="00E02F30">
        <w:rPr>
          <w:rFonts w:eastAsia="Times New Roman" w:cs="Arial"/>
          <w:b/>
          <w:szCs w:val="24"/>
          <w:lang w:eastAsia="pl-PL"/>
        </w:rPr>
        <w:t>2</w:t>
      </w:r>
      <w:r w:rsidRPr="00E02F30">
        <w:rPr>
          <w:rFonts w:eastAsia="Times New Roman" w:cs="Arial"/>
          <w:b/>
          <w:szCs w:val="24"/>
          <w:lang w:val="x-none" w:eastAsia="pl-PL"/>
        </w:rPr>
        <w:t>1.</w:t>
      </w:r>
      <w:r w:rsidRPr="00E02F30">
        <w:rPr>
          <w:rFonts w:eastAsia="Times New Roman" w:cs="Arial"/>
          <w:szCs w:val="24"/>
          <w:lang w:val="x-none" w:eastAsia="pl-PL"/>
        </w:rPr>
        <w:tab/>
        <w:t>Prowadzone będą systematyczne przeglądy, konserwacje i naprawy zaworów oddechowych – zamknięć hydraulicznych, przerywaczy ognia, czujników poziomu oraz urządzeń zabezpieczających przed przelaniem zbiorników zgodnie z harmonogramem przeglądów i remontów.</w:t>
      </w:r>
    </w:p>
    <w:p w14:paraId="53D1D521" w14:textId="77777777" w:rsidR="00E02F30" w:rsidRPr="00E02F30" w:rsidRDefault="00E02F30" w:rsidP="00E02F30">
      <w:pPr>
        <w:tabs>
          <w:tab w:val="left" w:pos="993"/>
        </w:tabs>
        <w:spacing w:after="0" w:line="276" w:lineRule="auto"/>
        <w:jc w:val="both"/>
        <w:rPr>
          <w:rFonts w:eastAsia="Times New Roman" w:cs="Arial"/>
          <w:szCs w:val="24"/>
          <w:lang w:val="x-none" w:eastAsia="pl-PL"/>
        </w:rPr>
      </w:pPr>
      <w:r w:rsidRPr="00E02F30">
        <w:rPr>
          <w:rFonts w:eastAsia="Times New Roman" w:cs="Arial"/>
          <w:b/>
          <w:szCs w:val="24"/>
          <w:lang w:val="x-none" w:eastAsia="pl-PL"/>
        </w:rPr>
        <w:t>XI.</w:t>
      </w:r>
      <w:r w:rsidRPr="00E02F30">
        <w:rPr>
          <w:rFonts w:eastAsia="Times New Roman" w:cs="Arial"/>
          <w:b/>
          <w:szCs w:val="24"/>
          <w:lang w:eastAsia="pl-PL"/>
        </w:rPr>
        <w:t>22</w:t>
      </w:r>
      <w:r w:rsidRPr="00E02F30">
        <w:rPr>
          <w:rFonts w:eastAsia="Times New Roman" w:cs="Arial"/>
          <w:b/>
          <w:szCs w:val="24"/>
          <w:lang w:val="x-none" w:eastAsia="pl-PL"/>
        </w:rPr>
        <w:t>.</w:t>
      </w:r>
      <w:r w:rsidRPr="00E02F30">
        <w:rPr>
          <w:rFonts w:eastAsia="Times New Roman" w:cs="Arial"/>
          <w:szCs w:val="24"/>
          <w:lang w:val="x-none" w:eastAsia="pl-PL"/>
        </w:rPr>
        <w:tab/>
        <w:t>Prowadzone będą okresowe szkolenia (ćwiczenia) obsługi i nadzoru instalacji na okoliczność postępowania na wypadek awarii przemysłowej, pożaru bądź innej nienormalności zgodnie z procedurą zintegrowanego zakładowego systemu zarządzania i</w:t>
      </w:r>
      <w:r w:rsidRPr="00E02F30">
        <w:rPr>
          <w:rFonts w:eastAsia="Times New Roman" w:cs="Arial"/>
          <w:szCs w:val="24"/>
          <w:lang w:eastAsia="pl-PL"/>
        </w:rPr>
        <w:t> </w:t>
      </w:r>
      <w:r w:rsidRPr="00E02F30">
        <w:rPr>
          <w:rFonts w:eastAsia="Times New Roman" w:cs="Arial"/>
          <w:szCs w:val="24"/>
          <w:lang w:val="x-none" w:eastAsia="pl-PL"/>
        </w:rPr>
        <w:t>planami .</w:t>
      </w:r>
    </w:p>
    <w:p w14:paraId="33EA3765" w14:textId="77777777" w:rsidR="00E02F30" w:rsidRPr="00E02F30" w:rsidRDefault="00E02F30" w:rsidP="00E02F30">
      <w:pPr>
        <w:tabs>
          <w:tab w:val="left" w:pos="993"/>
        </w:tabs>
        <w:spacing w:after="0" w:line="276" w:lineRule="auto"/>
        <w:jc w:val="both"/>
        <w:rPr>
          <w:rFonts w:eastAsia="Times New Roman" w:cs="Arial"/>
          <w:szCs w:val="24"/>
          <w:lang w:val="x-none" w:eastAsia="pl-PL"/>
        </w:rPr>
      </w:pPr>
      <w:r w:rsidRPr="00E02F30">
        <w:rPr>
          <w:rFonts w:eastAsia="Times New Roman" w:cs="Arial"/>
          <w:b/>
          <w:szCs w:val="24"/>
          <w:lang w:val="x-none" w:eastAsia="pl-PL"/>
        </w:rPr>
        <w:t>XI.2</w:t>
      </w:r>
      <w:r w:rsidRPr="00E02F30">
        <w:rPr>
          <w:rFonts w:eastAsia="Times New Roman" w:cs="Arial"/>
          <w:b/>
          <w:szCs w:val="24"/>
          <w:lang w:eastAsia="pl-PL"/>
        </w:rPr>
        <w:t>3</w:t>
      </w:r>
      <w:r w:rsidRPr="00E02F30">
        <w:rPr>
          <w:rFonts w:eastAsia="Times New Roman" w:cs="Arial"/>
          <w:b/>
          <w:szCs w:val="24"/>
          <w:lang w:val="x-none" w:eastAsia="pl-PL"/>
        </w:rPr>
        <w:t>.</w:t>
      </w:r>
      <w:r w:rsidRPr="00E02F30">
        <w:rPr>
          <w:rFonts w:eastAsia="Times New Roman" w:cs="Arial"/>
          <w:szCs w:val="24"/>
          <w:lang w:val="x-none" w:eastAsia="pl-PL"/>
        </w:rPr>
        <w:tab/>
        <w:t>Dokonywane będą okresowe przeglądy urządzeń zabezpieczających, oceny ryzyka i szkolenia obsługi instalacji, w których może wystąpić atmosfera wybuchowa zgodnie z Dokumentami zabezpieczenia przed wybuchem.</w:t>
      </w:r>
    </w:p>
    <w:p w14:paraId="3B5BE074" w14:textId="77777777" w:rsidR="00E02F30" w:rsidRPr="00E02F30" w:rsidRDefault="00E02F30" w:rsidP="00E02F30">
      <w:pPr>
        <w:tabs>
          <w:tab w:val="left" w:pos="993"/>
        </w:tabs>
        <w:spacing w:after="0" w:line="276" w:lineRule="auto"/>
        <w:jc w:val="both"/>
        <w:rPr>
          <w:rFonts w:eastAsia="Times New Roman" w:cs="Arial"/>
          <w:szCs w:val="24"/>
          <w:lang w:val="x-none" w:eastAsia="pl-PL"/>
        </w:rPr>
      </w:pPr>
      <w:r w:rsidRPr="00E02F30">
        <w:rPr>
          <w:rFonts w:eastAsia="Times New Roman" w:cs="Arial"/>
          <w:b/>
          <w:szCs w:val="24"/>
          <w:lang w:val="x-none" w:eastAsia="pl-PL"/>
        </w:rPr>
        <w:t>XI.2</w:t>
      </w:r>
      <w:r w:rsidRPr="00E02F30">
        <w:rPr>
          <w:rFonts w:eastAsia="Times New Roman" w:cs="Arial"/>
          <w:b/>
          <w:szCs w:val="24"/>
          <w:lang w:eastAsia="pl-PL"/>
        </w:rPr>
        <w:t>4</w:t>
      </w:r>
      <w:r w:rsidRPr="00E02F30">
        <w:rPr>
          <w:rFonts w:eastAsia="Times New Roman" w:cs="Arial"/>
          <w:b/>
          <w:szCs w:val="24"/>
          <w:lang w:val="x-none" w:eastAsia="pl-PL"/>
        </w:rPr>
        <w:t>.</w:t>
      </w:r>
      <w:r w:rsidRPr="00E02F30">
        <w:rPr>
          <w:rFonts w:eastAsia="Times New Roman" w:cs="Arial"/>
          <w:szCs w:val="24"/>
          <w:lang w:val="x-none" w:eastAsia="pl-PL"/>
        </w:rPr>
        <w:tab/>
        <w:t>Utrzymywany będzie odpowiedni zapas sorbentów i sprzętu do zabezpieczenia i likwidacji rozlewów (w tym tzw. apteczek ekologicznych).</w:t>
      </w:r>
    </w:p>
    <w:p w14:paraId="4EBE95E9" w14:textId="77777777" w:rsidR="00E02F30" w:rsidRPr="00E02F30" w:rsidRDefault="00E02F30" w:rsidP="00E02F30">
      <w:pPr>
        <w:tabs>
          <w:tab w:val="left" w:pos="993"/>
        </w:tabs>
        <w:spacing w:after="0" w:line="276" w:lineRule="auto"/>
        <w:jc w:val="both"/>
        <w:rPr>
          <w:rFonts w:eastAsia="Times New Roman" w:cs="Arial"/>
          <w:szCs w:val="24"/>
          <w:lang w:val="x-none" w:eastAsia="pl-PL"/>
        </w:rPr>
      </w:pPr>
      <w:r w:rsidRPr="00E02F30">
        <w:rPr>
          <w:rFonts w:eastAsia="Times New Roman" w:cs="Arial"/>
          <w:b/>
          <w:szCs w:val="24"/>
          <w:lang w:val="x-none" w:eastAsia="pl-PL"/>
        </w:rPr>
        <w:t>XI.2</w:t>
      </w:r>
      <w:r w:rsidRPr="00E02F30">
        <w:rPr>
          <w:rFonts w:eastAsia="Times New Roman" w:cs="Arial"/>
          <w:b/>
          <w:szCs w:val="24"/>
          <w:lang w:eastAsia="pl-PL"/>
        </w:rPr>
        <w:t>5</w:t>
      </w:r>
      <w:r w:rsidRPr="00E02F30">
        <w:rPr>
          <w:rFonts w:eastAsia="Times New Roman" w:cs="Arial"/>
          <w:b/>
          <w:szCs w:val="24"/>
          <w:lang w:val="x-none" w:eastAsia="pl-PL"/>
        </w:rPr>
        <w:t>.</w:t>
      </w:r>
      <w:r w:rsidRPr="00E02F30">
        <w:rPr>
          <w:rFonts w:eastAsia="Times New Roman" w:cs="Arial"/>
          <w:szCs w:val="24"/>
          <w:lang w:val="x-none" w:eastAsia="pl-PL"/>
        </w:rPr>
        <w:tab/>
        <w:t>Sprzęt przeciwpożarowy utrzymywany będzie w sprawności oraz systemy alarmowania, powiadamiania i gaszenia pożarów.</w:t>
      </w:r>
    </w:p>
    <w:p w14:paraId="0089E856" w14:textId="77777777" w:rsidR="00E02F30" w:rsidRPr="00E02F30" w:rsidRDefault="00E02F30" w:rsidP="00E02F30">
      <w:pPr>
        <w:tabs>
          <w:tab w:val="left" w:pos="0"/>
          <w:tab w:val="left" w:pos="993"/>
        </w:tabs>
        <w:spacing w:after="0" w:line="276" w:lineRule="auto"/>
        <w:jc w:val="both"/>
        <w:rPr>
          <w:rFonts w:eastAsia="Times New Roman" w:cs="Arial"/>
          <w:szCs w:val="24"/>
          <w:lang w:val="x-none" w:eastAsia="pl-PL"/>
        </w:rPr>
      </w:pPr>
      <w:r w:rsidRPr="00E02F30">
        <w:rPr>
          <w:rFonts w:eastAsia="Times New Roman" w:cs="Arial"/>
          <w:b/>
          <w:szCs w:val="24"/>
          <w:lang w:val="x-none" w:eastAsia="pl-PL"/>
        </w:rPr>
        <w:t>XI.2</w:t>
      </w:r>
      <w:r w:rsidRPr="00E02F30">
        <w:rPr>
          <w:rFonts w:eastAsia="Times New Roman" w:cs="Arial"/>
          <w:b/>
          <w:szCs w:val="24"/>
          <w:lang w:eastAsia="pl-PL"/>
        </w:rPr>
        <w:t>6</w:t>
      </w:r>
      <w:r w:rsidRPr="00E02F30">
        <w:rPr>
          <w:rFonts w:eastAsia="Times New Roman" w:cs="Arial"/>
          <w:b/>
          <w:szCs w:val="24"/>
          <w:lang w:val="x-none" w:eastAsia="pl-PL"/>
        </w:rPr>
        <w:t>.</w:t>
      </w:r>
      <w:r w:rsidRPr="00E02F30">
        <w:rPr>
          <w:rFonts w:eastAsia="Times New Roman" w:cs="Arial"/>
          <w:szCs w:val="24"/>
          <w:lang w:val="x-none" w:eastAsia="pl-PL"/>
        </w:rPr>
        <w:tab/>
        <w:t>W przyległych, należących do operatora instalacji lasach, zakwalifikowanych jako lasy ochronne, prowadzona będzie gospodarka leśna zgodnie z „Planem urządzenia lasu Zakładów Chemicznych „Organika – Sarzyna” S.A.” zatwierdzonym decyzją Ministra Środowiska.</w:t>
      </w:r>
    </w:p>
    <w:p w14:paraId="45A2D2CE" w14:textId="77777777" w:rsidR="00E02F30" w:rsidRPr="00E02F30" w:rsidRDefault="00E02F30" w:rsidP="00E02F30">
      <w:pPr>
        <w:keepNext/>
        <w:widowControl w:val="0"/>
        <w:adjustRightInd w:val="0"/>
        <w:spacing w:after="0" w:line="240" w:lineRule="auto"/>
        <w:jc w:val="both"/>
        <w:textAlignment w:val="baseline"/>
        <w:outlineLvl w:val="1"/>
        <w:rPr>
          <w:rFonts w:eastAsia="Times New Roman" w:cs="Times New Roman"/>
          <w:b/>
          <w:szCs w:val="20"/>
          <w:lang w:val="en-US" w:eastAsia="pl-PL"/>
        </w:rPr>
      </w:pPr>
      <w:r w:rsidRPr="00E02F30">
        <w:rPr>
          <w:rFonts w:eastAsia="Times New Roman" w:cs="Times New Roman"/>
          <w:b/>
          <w:szCs w:val="20"/>
          <w:lang w:val="en-US" w:eastAsia="pl-PL"/>
        </w:rPr>
        <w:t xml:space="preserve">XII. </w:t>
      </w:r>
      <w:proofErr w:type="spellStart"/>
      <w:r w:rsidRPr="00E02F30">
        <w:rPr>
          <w:rFonts w:eastAsia="Times New Roman" w:cs="Times New Roman"/>
          <w:b/>
          <w:szCs w:val="20"/>
          <w:lang w:val="en-US" w:eastAsia="pl-PL"/>
        </w:rPr>
        <w:t>Sposoby</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zapewnienia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efektywnego</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wykorzystania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energii</w:t>
      </w:r>
      <w:proofErr w:type="spellEnd"/>
    </w:p>
    <w:p w14:paraId="127DFF15"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XII.1.</w:t>
      </w:r>
      <w:r w:rsidRPr="00E02F30">
        <w:rPr>
          <w:rFonts w:eastAsia="Times New Roman" w:cs="Arial"/>
          <w:szCs w:val="24"/>
          <w:lang w:eastAsia="pl-PL"/>
        </w:rPr>
        <w:t xml:space="preserve"> Analizowane będą nowoczesne technologie w zakresie efektywności energetycznej pod kątem możliwości ich zastosowania w zakładzie.</w:t>
      </w:r>
    </w:p>
    <w:p w14:paraId="06AF8A32"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XII.2.</w:t>
      </w:r>
      <w:r w:rsidRPr="00E02F30">
        <w:rPr>
          <w:rFonts w:eastAsia="Times New Roman" w:cs="Arial"/>
          <w:szCs w:val="24"/>
          <w:lang w:eastAsia="pl-PL"/>
        </w:rPr>
        <w:t xml:space="preserve"> Prowadzona będzie stała kontrola zużycia energii przez poszczególne instalacje.</w:t>
      </w:r>
    </w:p>
    <w:p w14:paraId="1755512C"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XII.3.</w:t>
      </w:r>
      <w:r w:rsidRPr="00E02F30">
        <w:rPr>
          <w:rFonts w:eastAsia="Times New Roman" w:cs="Arial"/>
          <w:szCs w:val="24"/>
          <w:lang w:eastAsia="pl-PL"/>
        </w:rPr>
        <w:t xml:space="preserve"> Prowadzący instalacje podejmować będą działania zmierzające do zapewnienia efektywnego wykorzystania energii:</w:t>
      </w:r>
    </w:p>
    <w:p w14:paraId="3F17B085"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-stosowanie energooszczędnych urządzeń,</w:t>
      </w:r>
    </w:p>
    <w:p w14:paraId="0ADBA640"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 efektywne wykorzystywanie i oszczędzanie energii elektrycznej i paliw płynnych,</w:t>
      </w:r>
    </w:p>
    <w:p w14:paraId="2785A71D"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-ograniczanie biegu jałowego maszyn i urządzeń elektrycznych,</w:t>
      </w:r>
    </w:p>
    <w:p w14:paraId="4D68D069"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-prawidłowy dobór mocy instalowanych urządzeń elektrycznych do potrzeb zakładu.</w:t>
      </w:r>
    </w:p>
    <w:p w14:paraId="491033EC" w14:textId="77777777" w:rsidR="00E02F30" w:rsidRPr="00E02F30" w:rsidRDefault="00E02F30" w:rsidP="00E02F30">
      <w:pPr>
        <w:keepNext/>
        <w:widowControl w:val="0"/>
        <w:adjustRightInd w:val="0"/>
        <w:spacing w:after="0" w:line="240" w:lineRule="auto"/>
        <w:jc w:val="both"/>
        <w:textAlignment w:val="baseline"/>
        <w:outlineLvl w:val="1"/>
        <w:rPr>
          <w:rFonts w:eastAsia="Times New Roman" w:cs="Times New Roman"/>
          <w:b/>
          <w:szCs w:val="20"/>
          <w:lang w:val="en-US" w:eastAsia="pl-PL"/>
        </w:rPr>
      </w:pPr>
      <w:r w:rsidRPr="00E02F30">
        <w:rPr>
          <w:rFonts w:eastAsia="Times New Roman" w:cs="Times New Roman"/>
          <w:b/>
          <w:szCs w:val="20"/>
          <w:lang w:val="en-US" w:eastAsia="pl-PL"/>
        </w:rPr>
        <w:t xml:space="preserve">XIII. </w:t>
      </w:r>
      <w:proofErr w:type="spellStart"/>
      <w:r w:rsidRPr="00E02F30">
        <w:rPr>
          <w:rFonts w:eastAsia="Times New Roman" w:cs="Times New Roman"/>
          <w:b/>
          <w:szCs w:val="20"/>
          <w:lang w:val="en-US" w:eastAsia="pl-PL"/>
        </w:rPr>
        <w:t>Sposoby</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postępowania</w:t>
      </w:r>
      <w:proofErr w:type="spellEnd"/>
      <w:r w:rsidRPr="00E02F30">
        <w:rPr>
          <w:rFonts w:eastAsia="Times New Roman" w:cs="Times New Roman"/>
          <w:b/>
          <w:szCs w:val="20"/>
          <w:lang w:val="en-US" w:eastAsia="pl-PL"/>
        </w:rPr>
        <w:t xml:space="preserve"> w </w:t>
      </w:r>
      <w:proofErr w:type="spellStart"/>
      <w:r w:rsidRPr="00E02F30">
        <w:rPr>
          <w:rFonts w:eastAsia="Times New Roman" w:cs="Times New Roman"/>
          <w:b/>
          <w:szCs w:val="20"/>
          <w:lang w:val="en-US" w:eastAsia="pl-PL"/>
        </w:rPr>
        <w:t>przypadku</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zakończenia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eksploatacji</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instalacji</w:t>
      </w:r>
      <w:proofErr w:type="spellEnd"/>
      <w:r w:rsidRPr="00E02F30">
        <w:rPr>
          <w:rFonts w:eastAsia="Times New Roman" w:cs="Times New Roman"/>
          <w:b/>
          <w:szCs w:val="20"/>
          <w:lang w:val="en-US" w:eastAsia="pl-PL"/>
        </w:rPr>
        <w:t>, w </w:t>
      </w:r>
      <w:proofErr w:type="spellStart"/>
      <w:r w:rsidRPr="00E02F30">
        <w:rPr>
          <w:rFonts w:eastAsia="Times New Roman" w:cs="Times New Roman"/>
          <w:b/>
          <w:szCs w:val="20"/>
          <w:lang w:val="en-US" w:eastAsia="pl-PL"/>
        </w:rPr>
        <w:t>tym</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sposoby</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usunięcia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negatywnych</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skutków</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powstałych</w:t>
      </w:r>
      <w:proofErr w:type="spellEnd"/>
      <w:r w:rsidRPr="00E02F30">
        <w:rPr>
          <w:rFonts w:eastAsia="Times New Roman" w:cs="Times New Roman"/>
          <w:b/>
          <w:szCs w:val="20"/>
          <w:lang w:val="en-US" w:eastAsia="pl-PL"/>
        </w:rPr>
        <w:t xml:space="preserve"> w </w:t>
      </w:r>
      <w:proofErr w:type="spellStart"/>
      <w:r w:rsidRPr="00E02F30">
        <w:rPr>
          <w:rFonts w:eastAsia="Times New Roman" w:cs="Times New Roman"/>
          <w:b/>
          <w:szCs w:val="20"/>
          <w:lang w:val="en-US" w:eastAsia="pl-PL"/>
        </w:rPr>
        <w:t>środowisku</w:t>
      </w:r>
      <w:proofErr w:type="spellEnd"/>
      <w:r w:rsidRPr="00E02F30">
        <w:rPr>
          <w:rFonts w:eastAsia="Times New Roman" w:cs="Times New Roman"/>
          <w:b/>
          <w:szCs w:val="20"/>
          <w:lang w:val="en-US" w:eastAsia="pl-PL"/>
        </w:rPr>
        <w:t xml:space="preserve"> w </w:t>
      </w:r>
      <w:proofErr w:type="spellStart"/>
      <w:r w:rsidRPr="00E02F30">
        <w:rPr>
          <w:rFonts w:eastAsia="Times New Roman" w:cs="Times New Roman"/>
          <w:b/>
          <w:szCs w:val="20"/>
          <w:lang w:val="en-US" w:eastAsia="pl-PL"/>
        </w:rPr>
        <w:t>wyniku</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prowadzonej</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eksploatacji</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gdy</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są</w:t>
      </w:r>
      <w:proofErr w:type="spellEnd"/>
      <w:r w:rsidRPr="00E02F30">
        <w:rPr>
          <w:rFonts w:eastAsia="Times New Roman" w:cs="Times New Roman"/>
          <w:b/>
          <w:szCs w:val="20"/>
          <w:lang w:val="en-US" w:eastAsia="pl-PL"/>
        </w:rPr>
        <w:t xml:space="preserve"> one </w:t>
      </w:r>
      <w:proofErr w:type="spellStart"/>
      <w:r w:rsidRPr="00E02F30">
        <w:rPr>
          <w:rFonts w:eastAsia="Times New Roman" w:cs="Times New Roman"/>
          <w:b/>
          <w:szCs w:val="20"/>
          <w:lang w:val="en-US" w:eastAsia="pl-PL"/>
        </w:rPr>
        <w:t>przewidywane</w:t>
      </w:r>
      <w:proofErr w:type="spellEnd"/>
    </w:p>
    <w:p w14:paraId="0DA4AE2B"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XIII.1.</w:t>
      </w:r>
      <w:r w:rsidRPr="00E02F30">
        <w:rPr>
          <w:rFonts w:eastAsia="Times New Roman" w:cs="Arial"/>
          <w:szCs w:val="24"/>
          <w:lang w:eastAsia="pl-PL"/>
        </w:rPr>
        <w:t xml:space="preserve"> W przypadku zakończenia eksploatacji obiekty i urządzenia wchodzące w skład instalacji będą zlikwidowane zgodnie z obowiązującymi w tym zakresie wymaganiami prawnymi, w szczególności z wymaganiami prawa budowlanego, które obligują do uzyskania pozwolenia na rozbiórkę obiektu budowlanego. </w:t>
      </w:r>
    </w:p>
    <w:p w14:paraId="01BA5B67"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XIII.2.</w:t>
      </w:r>
      <w:r w:rsidRPr="00E02F30">
        <w:rPr>
          <w:rFonts w:eastAsia="Times New Roman" w:cs="Arial"/>
          <w:szCs w:val="24"/>
          <w:lang w:eastAsia="pl-PL"/>
        </w:rPr>
        <w:t xml:space="preserve"> Zostanie opracowany program likwidacji uwzględniający zagadnienia z ochrony środowiska. </w:t>
      </w:r>
    </w:p>
    <w:p w14:paraId="65511F3C"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XIII.3.</w:t>
      </w:r>
      <w:r w:rsidRPr="00E02F30">
        <w:rPr>
          <w:rFonts w:eastAsia="Times New Roman" w:cs="Arial"/>
          <w:szCs w:val="24"/>
          <w:lang w:eastAsia="pl-PL"/>
        </w:rPr>
        <w:t xml:space="preserve"> W przypadku zakończenia eksploatacji instalacji wszelkiego rodzaju urządzenia zostaną wcześniej dokładnie wyczyszczone i zabezpieczone, w taki sposób aby uniemożliwić przedostanie się do środowiska jakichkolwiek substancji stwarzających zagrożenia dla środowiska naturalnego. </w:t>
      </w:r>
    </w:p>
    <w:p w14:paraId="74283011"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XIII.4</w:t>
      </w:r>
      <w:r w:rsidRPr="00E02F30">
        <w:rPr>
          <w:rFonts w:eastAsia="Times New Roman" w:cs="Arial"/>
          <w:szCs w:val="24"/>
          <w:lang w:eastAsia="pl-PL"/>
        </w:rPr>
        <w:t xml:space="preserve">. Proces likwidacji obiektów/instalacji będzie prowadzony pod szczegółowym nadzorem służb budowlanych zakładu oraz działu BHP i ochrony środowiska i odbywał się będzie w oparciu o opracowany projekt likwidacji obiektów i urządzeń uwzględniający (oprócz wymagań budowlanych i BHP) wymagania ochrony środowiska, głównie w odniesieniu do gospodarki odpadami. </w:t>
      </w:r>
    </w:p>
    <w:p w14:paraId="44C8E2E7"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XIII.5.</w:t>
      </w:r>
      <w:r w:rsidRPr="00E02F30">
        <w:rPr>
          <w:rFonts w:eastAsia="Times New Roman" w:cs="Arial"/>
          <w:szCs w:val="24"/>
          <w:lang w:eastAsia="pl-PL"/>
        </w:rPr>
        <w:t xml:space="preserve"> Wszystkie odpady niebezpieczne i inne niż niebezpieczne znajdujące się na terenie zakładu zostaną przekazane do odzysku lub unieszkodliwienia do firm specjalistycznych wraz z pojemnikami zanieczyszczonymi odpadami. Odpady, które powstaną podczas likwidacji obiektu instalacji będą przekazywane odpowiednim jednostkom, które posiadają odpowiednie pozwolenia na odbiór/zagospodarowanie odpadów.</w:t>
      </w:r>
    </w:p>
    <w:p w14:paraId="69B592F4"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XIII.6.</w:t>
      </w:r>
      <w:r w:rsidRPr="00E02F30">
        <w:rPr>
          <w:rFonts w:eastAsia="Times New Roman" w:cs="Arial"/>
          <w:szCs w:val="24"/>
          <w:lang w:eastAsia="pl-PL"/>
        </w:rPr>
        <w:t xml:space="preserve"> Nastąpi demontaż urządzeń, które w zależności od stopnia zużycia będą mogły być sprzedawane lub złomowane.</w:t>
      </w:r>
    </w:p>
    <w:p w14:paraId="75D38F14"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b/>
          <w:szCs w:val="24"/>
          <w:lang w:eastAsia="pl-PL"/>
        </w:rPr>
        <w:t>XIII.7.</w:t>
      </w:r>
      <w:r w:rsidRPr="00E02F30">
        <w:rPr>
          <w:rFonts w:eastAsia="Times New Roman" w:cs="Arial"/>
          <w:szCs w:val="24"/>
          <w:lang w:eastAsia="pl-PL"/>
        </w:rPr>
        <w:t xml:space="preserve"> Place i posadzki zostaną oczyszczone z wycieków przy użyciu środków do tego przeznaczonych, jeżeli takie wycieki będą miały miejsce. Ponadto, należy przeprowadzić czyszczenie separatorów.</w:t>
      </w:r>
    </w:p>
    <w:p w14:paraId="5024D672" w14:textId="77777777" w:rsidR="00E02F30" w:rsidRPr="00E02F30" w:rsidRDefault="00E02F30" w:rsidP="00E02F30">
      <w:pPr>
        <w:spacing w:after="0" w:line="276" w:lineRule="auto"/>
        <w:contextualSpacing/>
        <w:jc w:val="both"/>
        <w:rPr>
          <w:rFonts w:eastAsia="Times New Roman" w:cs="Arial"/>
          <w:szCs w:val="24"/>
          <w:lang w:eastAsia="pl-PL"/>
        </w:rPr>
      </w:pPr>
      <w:r w:rsidRPr="00E02F30">
        <w:rPr>
          <w:rFonts w:eastAsia="Times New Roman" w:cs="Arial"/>
          <w:b/>
          <w:szCs w:val="24"/>
          <w:lang w:val="x-none" w:eastAsia="pl-PL"/>
        </w:rPr>
        <w:t>XIII.</w:t>
      </w:r>
      <w:r w:rsidRPr="00E02F30">
        <w:rPr>
          <w:rFonts w:eastAsia="Times New Roman" w:cs="Arial"/>
          <w:b/>
          <w:szCs w:val="24"/>
          <w:lang w:eastAsia="pl-PL"/>
        </w:rPr>
        <w:t>8</w:t>
      </w:r>
      <w:r w:rsidRPr="00E02F30">
        <w:rPr>
          <w:rFonts w:eastAsia="Times New Roman" w:cs="Arial"/>
          <w:b/>
          <w:szCs w:val="24"/>
          <w:lang w:val="x-none" w:eastAsia="pl-PL"/>
        </w:rPr>
        <w:t>.</w:t>
      </w:r>
      <w:r w:rsidRPr="00E02F30">
        <w:rPr>
          <w:rFonts w:eastAsia="Times New Roman" w:cs="Arial"/>
          <w:b/>
          <w:szCs w:val="24"/>
          <w:lang w:eastAsia="pl-PL"/>
        </w:rPr>
        <w:t xml:space="preserve"> </w:t>
      </w:r>
      <w:r w:rsidRPr="00E02F30">
        <w:rPr>
          <w:rFonts w:eastAsia="Times New Roman" w:cs="Arial"/>
          <w:szCs w:val="24"/>
          <w:lang w:eastAsia="pl-PL"/>
        </w:rPr>
        <w:t>Likwidacja rurociągów, w szczególności podziemnych.</w:t>
      </w:r>
    </w:p>
    <w:p w14:paraId="3043A7B6" w14:textId="77777777" w:rsidR="00E02F30" w:rsidRPr="00E02F30" w:rsidRDefault="00E02F30" w:rsidP="00E02F30">
      <w:pPr>
        <w:keepNext/>
        <w:widowControl w:val="0"/>
        <w:adjustRightInd w:val="0"/>
        <w:spacing w:after="0" w:line="240" w:lineRule="auto"/>
        <w:jc w:val="both"/>
        <w:textAlignment w:val="baseline"/>
        <w:outlineLvl w:val="1"/>
        <w:rPr>
          <w:rFonts w:eastAsia="Times New Roman" w:cs="Times New Roman"/>
          <w:b/>
          <w:szCs w:val="20"/>
          <w:lang w:val="en-US" w:eastAsia="pl-PL"/>
        </w:rPr>
      </w:pPr>
      <w:r w:rsidRPr="00E02F30">
        <w:rPr>
          <w:rFonts w:eastAsia="Calibri" w:cs="Times New Roman"/>
          <w:b/>
          <w:szCs w:val="20"/>
          <w:lang w:val="en-US"/>
        </w:rPr>
        <w:t xml:space="preserve">XIV. </w:t>
      </w:r>
      <w:proofErr w:type="spellStart"/>
      <w:r w:rsidRPr="00E02F30">
        <w:rPr>
          <w:rFonts w:eastAsia="Times New Roman" w:cs="Times New Roman"/>
          <w:b/>
          <w:szCs w:val="20"/>
          <w:lang w:val="en-US" w:eastAsia="pl-PL"/>
        </w:rPr>
        <w:t>Dodatkowe</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wymagania</w:t>
      </w:r>
      <w:proofErr w:type="spellEnd"/>
      <w:r w:rsidRPr="00E02F30">
        <w:rPr>
          <w:rFonts w:eastAsia="Times New Roman" w:cs="Times New Roman"/>
          <w:b/>
          <w:szCs w:val="20"/>
          <w:lang w:val="en-US" w:eastAsia="pl-PL"/>
        </w:rPr>
        <w:t xml:space="preserve"> </w:t>
      </w:r>
    </w:p>
    <w:p w14:paraId="2E85B1DB" w14:textId="77777777" w:rsidR="00E02F30" w:rsidRPr="00E02F30" w:rsidRDefault="00E02F30" w:rsidP="00E02F30">
      <w:pPr>
        <w:keepNext/>
        <w:widowControl w:val="0"/>
        <w:adjustRightInd w:val="0"/>
        <w:spacing w:after="0" w:line="276" w:lineRule="auto"/>
        <w:jc w:val="both"/>
        <w:textAlignment w:val="baseline"/>
        <w:outlineLvl w:val="2"/>
        <w:rPr>
          <w:rFonts w:eastAsia="Times New Roman" w:cs="Times New Roman"/>
          <w:bCs/>
          <w:szCs w:val="24"/>
          <w:lang w:eastAsia="pl-PL"/>
        </w:rPr>
      </w:pPr>
      <w:r w:rsidRPr="00E02F30">
        <w:rPr>
          <w:rFonts w:eastAsia="Times New Roman" w:cs="Times New Roman"/>
          <w:b/>
          <w:szCs w:val="24"/>
          <w:lang w:eastAsia="pl-PL"/>
        </w:rPr>
        <w:t>XIV.1.</w:t>
      </w:r>
      <w:r w:rsidRPr="00E02F30">
        <w:rPr>
          <w:rFonts w:eastAsia="Times New Roman" w:cs="Times New Roman"/>
          <w:bCs/>
          <w:szCs w:val="24"/>
          <w:lang w:eastAsia="pl-PL"/>
        </w:rPr>
        <w:t xml:space="preserve"> </w:t>
      </w:r>
      <w:bookmarkStart w:id="18" w:name="_Hlk169075597"/>
      <w:r w:rsidRPr="00E02F30">
        <w:rPr>
          <w:rFonts w:eastAsia="Times New Roman" w:cs="Times New Roman"/>
          <w:bCs/>
          <w:szCs w:val="24"/>
          <w:lang w:eastAsia="pl-PL"/>
        </w:rPr>
        <w:t>Zgodnie z BAT 20 konkluzji dotyczących najlepszych dostępnych technik (zgodnie z dyrektywą Parlamentu Europejskiego i Rady 2010/75/UE w sprawie emisji przemysłowych, w odniesieniu do wspólnych systemów gospodarowania gazami odlotowymi i oczyszczania gazów odlotowych w sektorze chemicznym) będzie corocznie szacowana ilość emisji rozproszonych LZO za rok poprzedni począwszy od 12 grudnia 2026 r.</w:t>
      </w:r>
    </w:p>
    <w:bookmarkEnd w:id="18"/>
    <w:p w14:paraId="5A04F600" w14:textId="77777777" w:rsidR="00E02F30" w:rsidRPr="00E02F30" w:rsidRDefault="00E02F30" w:rsidP="00E02F30">
      <w:pPr>
        <w:keepNext/>
        <w:widowControl w:val="0"/>
        <w:adjustRightInd w:val="0"/>
        <w:spacing w:after="0" w:line="276" w:lineRule="auto"/>
        <w:jc w:val="both"/>
        <w:textAlignment w:val="baseline"/>
        <w:outlineLvl w:val="2"/>
        <w:rPr>
          <w:rFonts w:eastAsia="Times New Roman" w:cs="Times New Roman"/>
          <w:bCs/>
          <w:szCs w:val="24"/>
          <w:lang w:eastAsia="pl-PL"/>
        </w:rPr>
      </w:pPr>
      <w:r w:rsidRPr="00E02F30">
        <w:rPr>
          <w:rFonts w:eastAsia="Times New Roman" w:cs="Times New Roman"/>
          <w:b/>
          <w:szCs w:val="24"/>
          <w:lang w:eastAsia="pl-PL"/>
        </w:rPr>
        <w:t>XIV.2.</w:t>
      </w:r>
      <w:r w:rsidRPr="00E02F30">
        <w:rPr>
          <w:rFonts w:eastAsia="Times New Roman" w:cs="Times New Roman"/>
          <w:bCs/>
          <w:szCs w:val="24"/>
          <w:lang w:eastAsia="pl-PL"/>
        </w:rPr>
        <w:t xml:space="preserve"> Oszacowane wyniki (zgodnie z punktem XIV.1. niniejszej decyzji) emisji rozproszonych LZO należy przedstawić Marszałkowi Województwa do 31 marca danego roku za rok poprzedni. </w:t>
      </w:r>
    </w:p>
    <w:p w14:paraId="0B5E36DE" w14:textId="77777777" w:rsidR="00E02F30" w:rsidRPr="00E02F30" w:rsidRDefault="00E02F30" w:rsidP="00E02F30">
      <w:pPr>
        <w:keepNext/>
        <w:widowControl w:val="0"/>
        <w:adjustRightInd w:val="0"/>
        <w:spacing w:after="0" w:line="276" w:lineRule="auto"/>
        <w:jc w:val="both"/>
        <w:textAlignment w:val="baseline"/>
        <w:outlineLvl w:val="2"/>
        <w:rPr>
          <w:rFonts w:eastAsia="Times New Roman" w:cs="Times New Roman"/>
          <w:bCs/>
          <w:szCs w:val="24"/>
          <w:lang w:eastAsia="pl-PL"/>
        </w:rPr>
      </w:pPr>
      <w:r w:rsidRPr="00E02F30">
        <w:rPr>
          <w:rFonts w:eastAsia="Times New Roman" w:cs="Times New Roman"/>
          <w:b/>
          <w:szCs w:val="24"/>
          <w:lang w:eastAsia="pl-PL"/>
        </w:rPr>
        <w:t>XIV.3</w:t>
      </w:r>
      <w:r w:rsidRPr="00E02F30">
        <w:rPr>
          <w:rFonts w:eastAsia="Times New Roman" w:cs="Times New Roman"/>
          <w:bCs/>
          <w:szCs w:val="24"/>
          <w:lang w:eastAsia="pl-PL"/>
        </w:rPr>
        <w:t>. Do końca 2026 roku prowadzony będzie monitoring jakości powietrza.</w:t>
      </w:r>
    </w:p>
    <w:p w14:paraId="386BA676" w14:textId="77777777" w:rsidR="00E02F30" w:rsidRPr="00E02F30" w:rsidRDefault="00E02F30" w:rsidP="00E02F30">
      <w:pPr>
        <w:spacing w:before="60" w:after="60" w:line="276" w:lineRule="auto"/>
        <w:jc w:val="both"/>
        <w:rPr>
          <w:rFonts w:eastAsia="SimSun" w:cs="Arial"/>
          <w:bCs/>
          <w:color w:val="000000"/>
          <w:szCs w:val="24"/>
          <w:lang w:eastAsia="zh-CN"/>
        </w:rPr>
      </w:pPr>
      <w:r w:rsidRPr="00E02F30">
        <w:rPr>
          <w:rFonts w:eastAsia="Calibri" w:cs="Arial"/>
          <w:b/>
          <w:color w:val="000000"/>
          <w:szCs w:val="24"/>
        </w:rPr>
        <w:t>XIV.3.1</w:t>
      </w:r>
      <w:r w:rsidRPr="00E02F30">
        <w:rPr>
          <w:rFonts w:eastAsia="Calibri" w:cs="Arial"/>
          <w:bCs/>
          <w:color w:val="000000"/>
          <w:szCs w:val="24"/>
        </w:rPr>
        <w:t>.</w:t>
      </w:r>
      <w:r w:rsidRPr="00E02F30">
        <w:rPr>
          <w:rFonts w:eastAsia="SimSun" w:cs="Arial"/>
          <w:bCs/>
          <w:color w:val="000000"/>
          <w:szCs w:val="24"/>
          <w:lang w:eastAsia="zh-CN"/>
        </w:rPr>
        <w:t>Referencyjne punkty pomiarowe stężeń substancji w powietrzu określające oddziaływanie emisji gazów i pyłów z instalacji na jakość powietrza poza działkami, do których operator posiada tytuł prawny:</w:t>
      </w:r>
    </w:p>
    <w:p w14:paraId="14DDBF1B" w14:textId="77777777" w:rsidR="00E02F30" w:rsidRPr="00E02F30" w:rsidRDefault="00E02F30">
      <w:pPr>
        <w:keepNext/>
        <w:numPr>
          <w:ilvl w:val="0"/>
          <w:numId w:val="75"/>
        </w:numPr>
        <w:spacing w:before="60" w:after="60" w:line="276" w:lineRule="auto"/>
        <w:ind w:left="357" w:hanging="357"/>
        <w:jc w:val="both"/>
        <w:rPr>
          <w:rFonts w:eastAsia="Times New Roman" w:cs="Arial"/>
          <w:bCs/>
          <w:color w:val="000000" w:themeColor="text1"/>
          <w:szCs w:val="24"/>
          <w:lang w:eastAsia="pl-PL"/>
        </w:rPr>
      </w:pPr>
      <w:r w:rsidRPr="00E02F30">
        <w:rPr>
          <w:rFonts w:eastAsia="Times New Roman" w:cs="Arial"/>
          <w:bCs/>
          <w:color w:val="000000" w:themeColor="text1"/>
          <w:szCs w:val="24"/>
          <w:lang w:eastAsia="pl-PL"/>
        </w:rPr>
        <w:t>Punkt pomiarowy Nr P-1 – zlokalizowany na kierunku północno-wschodnim od |Zakładów, w sąsiedztwie JRG PSP (przy węźle CO);</w:t>
      </w:r>
    </w:p>
    <w:p w14:paraId="19F9382B" w14:textId="77777777" w:rsidR="00E02F30" w:rsidRPr="00E02F30" w:rsidRDefault="00E02F30">
      <w:pPr>
        <w:keepNext/>
        <w:numPr>
          <w:ilvl w:val="0"/>
          <w:numId w:val="75"/>
        </w:numPr>
        <w:spacing w:before="60" w:after="60" w:line="276" w:lineRule="auto"/>
        <w:ind w:left="357" w:hanging="357"/>
        <w:jc w:val="both"/>
        <w:rPr>
          <w:rFonts w:eastAsia="Times New Roman" w:cs="Arial"/>
          <w:bCs/>
          <w:color w:val="000000" w:themeColor="text1"/>
          <w:szCs w:val="24"/>
          <w:lang w:eastAsia="pl-PL"/>
        </w:rPr>
      </w:pPr>
      <w:r w:rsidRPr="00E02F30">
        <w:rPr>
          <w:rFonts w:eastAsia="Times New Roman" w:cs="Arial"/>
          <w:bCs/>
          <w:color w:val="000000" w:themeColor="text1"/>
          <w:szCs w:val="24"/>
          <w:lang w:eastAsia="pl-PL"/>
        </w:rPr>
        <w:t>Punkt pomiarowy Nr P-3 – zlokalizowany na kierunku wschodnim od Zakładów, (na terenie miasta Nowa Sarzyna – Osiedle Stałe);</w:t>
      </w:r>
    </w:p>
    <w:p w14:paraId="08EC766F" w14:textId="77777777" w:rsidR="00E02F30" w:rsidRPr="00E02F30" w:rsidRDefault="00E02F30">
      <w:pPr>
        <w:keepNext/>
        <w:numPr>
          <w:ilvl w:val="0"/>
          <w:numId w:val="75"/>
        </w:numPr>
        <w:spacing w:before="60" w:after="60" w:line="276" w:lineRule="auto"/>
        <w:ind w:left="357" w:hanging="357"/>
        <w:jc w:val="both"/>
        <w:rPr>
          <w:rFonts w:eastAsia="Times New Roman" w:cs="Arial"/>
          <w:bCs/>
          <w:color w:val="000000" w:themeColor="text1"/>
          <w:szCs w:val="24"/>
          <w:lang w:eastAsia="pl-PL"/>
        </w:rPr>
      </w:pPr>
      <w:r w:rsidRPr="00E02F30">
        <w:rPr>
          <w:rFonts w:eastAsia="Times New Roman" w:cs="Arial"/>
          <w:bCs/>
          <w:color w:val="000000" w:themeColor="text1"/>
          <w:szCs w:val="24"/>
          <w:lang w:eastAsia="pl-PL"/>
        </w:rPr>
        <w:t>Punkt pomiarowy Nr P-4 – zlokalizowany na kierunku południowo-wschodnim od Zakładów, w sąsiedztwie ogrodzenia (w obiekcie pompowni wody z ujęcia Trzebośnica);</w:t>
      </w:r>
    </w:p>
    <w:p w14:paraId="72882543" w14:textId="77777777" w:rsidR="00E02F30" w:rsidRPr="00E02F30" w:rsidRDefault="00E02F30">
      <w:pPr>
        <w:keepNext/>
        <w:numPr>
          <w:ilvl w:val="0"/>
          <w:numId w:val="75"/>
        </w:numPr>
        <w:spacing w:before="60" w:after="60" w:line="276" w:lineRule="auto"/>
        <w:ind w:left="357" w:hanging="357"/>
        <w:jc w:val="both"/>
        <w:rPr>
          <w:rFonts w:eastAsia="Times New Roman" w:cs="Arial"/>
          <w:bCs/>
          <w:color w:val="000000" w:themeColor="text1"/>
          <w:szCs w:val="24"/>
          <w:lang w:eastAsia="pl-PL"/>
        </w:rPr>
      </w:pPr>
      <w:r w:rsidRPr="00E02F30">
        <w:rPr>
          <w:rFonts w:eastAsia="Times New Roman" w:cs="Arial"/>
          <w:bCs/>
          <w:color w:val="000000" w:themeColor="text1"/>
          <w:szCs w:val="24"/>
          <w:lang w:eastAsia="pl-PL"/>
        </w:rPr>
        <w:t>Punkt pomiarowy Nr P-5 – zlokalizowany na kierunku południowo-zachodnim od Zakładów (przysiółek Smycze, teren gajówki).</w:t>
      </w:r>
    </w:p>
    <w:p w14:paraId="6C0A6A3B" w14:textId="77777777" w:rsidR="00E02F30" w:rsidRPr="00E02F30" w:rsidRDefault="00E02F30" w:rsidP="00E02F30">
      <w:pPr>
        <w:spacing w:before="60" w:after="60" w:line="276" w:lineRule="auto"/>
        <w:jc w:val="both"/>
        <w:rPr>
          <w:rFonts w:eastAsia="SimSun" w:cs="Arial"/>
          <w:bCs/>
          <w:color w:val="000000"/>
          <w:szCs w:val="24"/>
          <w:lang w:eastAsia="zh-CN"/>
        </w:rPr>
      </w:pPr>
      <w:r w:rsidRPr="00E02F30">
        <w:rPr>
          <w:rFonts w:eastAsia="SimSun" w:cs="Arial"/>
          <w:b/>
          <w:color w:val="000000"/>
          <w:szCs w:val="24"/>
          <w:lang w:eastAsia="zh-CN"/>
        </w:rPr>
        <w:t>XIV.3.2.</w:t>
      </w:r>
      <w:r w:rsidRPr="00E02F30">
        <w:rPr>
          <w:rFonts w:eastAsia="SimSun" w:cs="Arial"/>
          <w:bCs/>
          <w:color w:val="000000"/>
          <w:szCs w:val="24"/>
          <w:lang w:eastAsia="zh-CN"/>
        </w:rPr>
        <w:t xml:space="preserve"> Pomiary prowadzone będą w zakresie określonym w obowiązujących procedurach zintegrowanego zakładowego systemu zarządzania jednocześnie w czterech wyznaczonych punktach, dla charakterystycznych czterech emitowanych </w:t>
      </w:r>
      <w:r w:rsidRPr="00E02F30">
        <w:rPr>
          <w:rFonts w:eastAsia="SimSun" w:cs="Arial"/>
          <w:bCs/>
          <w:szCs w:val="24"/>
          <w:lang w:eastAsia="zh-CN"/>
        </w:rPr>
        <w:t xml:space="preserve">substancji: epichlorohydryna, ksylen, styren i toluen, z częstotliwością </w:t>
      </w:r>
      <w:r w:rsidRPr="00E02F30">
        <w:rPr>
          <w:rFonts w:eastAsia="SimSun" w:cs="Arial"/>
          <w:bCs/>
          <w:color w:val="000000"/>
          <w:szCs w:val="24"/>
          <w:lang w:eastAsia="zh-CN"/>
        </w:rPr>
        <w:t>minimum co 1 </w:t>
      </w:r>
      <w:r w:rsidRPr="00E02F30">
        <w:rPr>
          <w:rFonts w:eastAsia="SimSun" w:cs="Arial"/>
          <w:bCs/>
          <w:szCs w:val="24"/>
          <w:lang w:eastAsia="zh-CN"/>
        </w:rPr>
        <w:t xml:space="preserve">miesiąc </w:t>
      </w:r>
      <w:r w:rsidRPr="00E02F30">
        <w:rPr>
          <w:rFonts w:eastAsia="SimSun" w:cs="Arial"/>
          <w:bCs/>
          <w:color w:val="000000"/>
          <w:szCs w:val="24"/>
          <w:lang w:eastAsia="zh-CN"/>
        </w:rPr>
        <w:t xml:space="preserve">w zmiennych porach doby. </w:t>
      </w:r>
    </w:p>
    <w:p w14:paraId="669A530A" w14:textId="77777777" w:rsidR="00E02F30" w:rsidRPr="00E02F30" w:rsidRDefault="00E02F30" w:rsidP="00E02F30">
      <w:pPr>
        <w:spacing w:before="60" w:after="60" w:line="276" w:lineRule="auto"/>
        <w:jc w:val="both"/>
        <w:rPr>
          <w:rFonts w:eastAsia="SimSun" w:cs="Arial"/>
          <w:bCs/>
          <w:color w:val="000000"/>
          <w:szCs w:val="24"/>
          <w:lang w:eastAsia="zh-CN"/>
        </w:rPr>
      </w:pPr>
      <w:r w:rsidRPr="00E02F30">
        <w:rPr>
          <w:rFonts w:eastAsia="SimSun" w:cs="Arial"/>
          <w:b/>
          <w:color w:val="000000"/>
          <w:szCs w:val="24"/>
          <w:lang w:eastAsia="zh-CN"/>
        </w:rPr>
        <w:t>XIV.3.3.</w:t>
      </w:r>
      <w:r w:rsidRPr="00E02F30">
        <w:rPr>
          <w:rFonts w:eastAsia="SimSun" w:cs="Arial"/>
          <w:bCs/>
          <w:color w:val="000000"/>
          <w:szCs w:val="24"/>
          <w:lang w:eastAsia="zh-CN"/>
        </w:rPr>
        <w:t xml:space="preserve"> Pomiary stężeń substancji w powietrzu należy wykonywać zgodnie </w:t>
      </w:r>
      <w:r w:rsidRPr="00E02F30">
        <w:rPr>
          <w:rFonts w:eastAsia="SimSun" w:cs="Arial"/>
          <w:bCs/>
          <w:color w:val="000000"/>
          <w:szCs w:val="24"/>
          <w:lang w:eastAsia="zh-CN"/>
        </w:rPr>
        <w:br/>
        <w:t>z aktualnymi metodykami i / lub Polskimi Normami.</w:t>
      </w:r>
    </w:p>
    <w:p w14:paraId="49709F58" w14:textId="77777777" w:rsidR="00E02F30" w:rsidRPr="00E02F30" w:rsidRDefault="00E02F30" w:rsidP="00E02F30">
      <w:pPr>
        <w:spacing w:before="60" w:after="60" w:line="276" w:lineRule="auto"/>
        <w:jc w:val="both"/>
        <w:rPr>
          <w:rFonts w:eastAsia="SimSun" w:cs="Arial"/>
          <w:bCs/>
          <w:color w:val="000000"/>
          <w:szCs w:val="24"/>
          <w:lang w:eastAsia="zh-CN"/>
        </w:rPr>
      </w:pPr>
      <w:r w:rsidRPr="00E02F30">
        <w:rPr>
          <w:rFonts w:eastAsia="SimSun" w:cs="Arial"/>
          <w:b/>
          <w:color w:val="000000"/>
          <w:szCs w:val="24"/>
          <w:lang w:eastAsia="zh-CN"/>
        </w:rPr>
        <w:t>XIV.3.4.</w:t>
      </w:r>
      <w:r w:rsidRPr="00E02F30">
        <w:rPr>
          <w:rFonts w:eastAsia="SimSun" w:cs="Arial"/>
          <w:bCs/>
          <w:color w:val="000000"/>
          <w:szCs w:val="24"/>
          <w:lang w:eastAsia="zh-CN"/>
        </w:rPr>
        <w:t xml:space="preserve"> Wyniki monitoringu jakości powietrza będą przekazywane Marszałkowi Województwa Podkarpackiego i Podkarpackiemu Wojewódzkiemu Inspektorowi Ochrony Środowiska co najmniej co roku po zakończonym cyklu pomiarowym.</w:t>
      </w:r>
    </w:p>
    <w:p w14:paraId="009DBE5A" w14:textId="77777777" w:rsidR="00E02F30" w:rsidRPr="00E02F30" w:rsidRDefault="00E02F30" w:rsidP="00E02F30">
      <w:pPr>
        <w:keepNext/>
        <w:widowControl w:val="0"/>
        <w:adjustRightInd w:val="0"/>
        <w:spacing w:after="0" w:line="240" w:lineRule="auto"/>
        <w:jc w:val="both"/>
        <w:textAlignment w:val="baseline"/>
        <w:outlineLvl w:val="1"/>
        <w:rPr>
          <w:rFonts w:eastAsia="Times New Roman" w:cs="Times New Roman"/>
          <w:b/>
          <w:sz w:val="23"/>
          <w:szCs w:val="23"/>
          <w:lang w:val="en-US" w:eastAsia="pl-PL"/>
        </w:rPr>
      </w:pPr>
      <w:r w:rsidRPr="00E02F30">
        <w:rPr>
          <w:rFonts w:eastAsia="Calibri" w:cs="Times New Roman"/>
          <w:b/>
          <w:szCs w:val="20"/>
          <w:lang w:val="en-US"/>
        </w:rPr>
        <w:t xml:space="preserve">XV. </w:t>
      </w:r>
      <w:proofErr w:type="spellStart"/>
      <w:r w:rsidRPr="00E02F30">
        <w:rPr>
          <w:rFonts w:eastAsia="Times New Roman" w:cs="Times New Roman"/>
          <w:b/>
          <w:szCs w:val="20"/>
          <w:lang w:val="en-US" w:eastAsia="pl-PL"/>
        </w:rPr>
        <w:t>Pozwolenie</w:t>
      </w:r>
      <w:proofErr w:type="spellEnd"/>
      <w:r w:rsidRPr="00E02F30">
        <w:rPr>
          <w:rFonts w:eastAsia="Times New Roman" w:cs="Times New Roman"/>
          <w:b/>
          <w:szCs w:val="20"/>
          <w:lang w:val="en-US" w:eastAsia="pl-PL"/>
        </w:rPr>
        <w:t xml:space="preserve"> jest </w:t>
      </w:r>
      <w:proofErr w:type="spellStart"/>
      <w:r w:rsidRPr="00E02F30">
        <w:rPr>
          <w:rFonts w:eastAsia="Times New Roman" w:cs="Times New Roman"/>
          <w:b/>
          <w:szCs w:val="20"/>
          <w:lang w:val="en-US" w:eastAsia="pl-PL"/>
        </w:rPr>
        <w:t>wydane</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na</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czas</w:t>
      </w:r>
      <w:proofErr w:type="spellEnd"/>
      <w:r w:rsidRPr="00E02F30">
        <w:rPr>
          <w:rFonts w:eastAsia="Times New Roman" w:cs="Times New Roman"/>
          <w:b/>
          <w:szCs w:val="20"/>
          <w:lang w:val="en-US" w:eastAsia="pl-PL"/>
        </w:rPr>
        <w:t xml:space="preserve"> </w:t>
      </w:r>
      <w:proofErr w:type="spellStart"/>
      <w:r w:rsidRPr="00E02F30">
        <w:rPr>
          <w:rFonts w:eastAsia="Times New Roman" w:cs="Times New Roman"/>
          <w:b/>
          <w:szCs w:val="20"/>
          <w:lang w:val="en-US" w:eastAsia="pl-PL"/>
        </w:rPr>
        <w:t>nieoznaczony</w:t>
      </w:r>
      <w:proofErr w:type="spellEnd"/>
      <w:r w:rsidRPr="00E02F30">
        <w:rPr>
          <w:rFonts w:eastAsia="Times New Roman" w:cs="Times New Roman"/>
          <w:b/>
          <w:szCs w:val="20"/>
          <w:lang w:val="en-US" w:eastAsia="pl-PL"/>
        </w:rPr>
        <w:t>.</w:t>
      </w:r>
    </w:p>
    <w:p w14:paraId="3E9C2BD5" w14:textId="77777777" w:rsidR="00E02F30" w:rsidRPr="00E02F30" w:rsidRDefault="00E02F30" w:rsidP="00E02F30">
      <w:pPr>
        <w:keepNext/>
        <w:widowControl w:val="0"/>
        <w:adjustRightInd w:val="0"/>
        <w:spacing w:before="120" w:after="120" w:line="240" w:lineRule="auto"/>
        <w:jc w:val="center"/>
        <w:textAlignment w:val="baseline"/>
        <w:outlineLvl w:val="0"/>
        <w:rPr>
          <w:rFonts w:eastAsia="Calibri" w:cs="Times New Roman"/>
          <w:b/>
          <w:szCs w:val="20"/>
        </w:rPr>
      </w:pPr>
      <w:r w:rsidRPr="00E02F30">
        <w:rPr>
          <w:rFonts w:eastAsia="Calibri" w:cs="Times New Roman"/>
          <w:b/>
          <w:szCs w:val="20"/>
        </w:rPr>
        <w:t>Uzasadnienie</w:t>
      </w:r>
    </w:p>
    <w:p w14:paraId="084A5982" w14:textId="77777777" w:rsidR="00E02F30" w:rsidRPr="00E02F30" w:rsidRDefault="00E02F30" w:rsidP="00E02F30">
      <w:pPr>
        <w:spacing w:after="0" w:line="276" w:lineRule="auto"/>
        <w:ind w:firstLine="708"/>
        <w:jc w:val="both"/>
        <w:rPr>
          <w:rFonts w:eastAsia="Times New Roman" w:cs="Arial"/>
          <w:sz w:val="22"/>
        </w:rPr>
      </w:pPr>
      <w:r w:rsidRPr="00E02F30">
        <w:rPr>
          <w:rFonts w:eastAsia="Times New Roman" w:cs="Arial"/>
          <w:szCs w:val="24"/>
          <w:lang w:eastAsia="pl-PL"/>
        </w:rPr>
        <w:t xml:space="preserve">Wnioskiem </w:t>
      </w:r>
      <w:r w:rsidRPr="00E02F30">
        <w:rPr>
          <w:rFonts w:eastAsia="Times New Roman" w:cs="Arial"/>
          <w:szCs w:val="24"/>
          <w:lang w:eastAsia="pl-PL" w:bidi="pl-PL"/>
        </w:rPr>
        <w:t xml:space="preserve">z dnia </w:t>
      </w:r>
      <w:r w:rsidRPr="00E02F30">
        <w:rPr>
          <w:rFonts w:eastAsia="Times New Roman" w:cs="Arial"/>
          <w:szCs w:val="24"/>
          <w:lang w:eastAsia="pl-PL"/>
        </w:rPr>
        <w:t xml:space="preserve">24 października 2023 r. Spółka: Sarzyna </w:t>
      </w:r>
      <w:proofErr w:type="spellStart"/>
      <w:r w:rsidRPr="00E02F30">
        <w:rPr>
          <w:rFonts w:eastAsia="Times New Roman" w:cs="Arial"/>
          <w:szCs w:val="24"/>
          <w:lang w:eastAsia="pl-PL"/>
        </w:rPr>
        <w:t>Chemical</w:t>
      </w:r>
      <w:proofErr w:type="spellEnd"/>
      <w:r w:rsidRPr="00E02F30">
        <w:rPr>
          <w:rFonts w:eastAsia="Times New Roman" w:cs="Arial"/>
          <w:szCs w:val="24"/>
          <w:lang w:eastAsia="pl-PL"/>
        </w:rPr>
        <w:t xml:space="preserve"> Sp. z o.o. </w:t>
      </w:r>
      <w:r w:rsidRPr="00E02F30">
        <w:rPr>
          <w:rFonts w:eastAsia="Calibri" w:cs="Arial"/>
          <w:szCs w:val="24"/>
          <w:lang w:eastAsia="pl-PL"/>
        </w:rPr>
        <w:t>ul. Chemików 1, 37-310 Nowa Sarzyna NIP 7010625863, REGON 365703807</w:t>
      </w:r>
      <w:r w:rsidRPr="00E02F30">
        <w:rPr>
          <w:rFonts w:eastAsia="Times New Roman" w:cs="Arial"/>
          <w:szCs w:val="24"/>
          <w:lang w:eastAsia="pl-PL"/>
        </w:rPr>
        <w:t xml:space="preserve"> wystąpiła </w:t>
      </w:r>
      <w:r w:rsidRPr="00E02F30">
        <w:rPr>
          <w:rFonts w:eastAsia="Calibri" w:cs="Arial"/>
          <w:szCs w:val="24"/>
          <w:lang w:eastAsia="pl-PL"/>
        </w:rPr>
        <w:t xml:space="preserve">o wydanie </w:t>
      </w:r>
      <w:r w:rsidRPr="00E02F30">
        <w:rPr>
          <w:rFonts w:eastAsia="Times New Roman" w:cs="Arial"/>
          <w:szCs w:val="24"/>
          <w:shd w:val="clear" w:color="auto" w:fill="FFFFFF"/>
          <w:lang w:eastAsia="pl-PL"/>
        </w:rPr>
        <w:t xml:space="preserve">nowego pozwolenia zintegrowanego na prowadzenie instalacji w przemyśle chemicznym do wytwarzania przy zastosowaniu procesów chemicznych organicznych substancji chemicznych tj.: Instalacji Nienasyconych Żywic Poliestrowych (Z), </w:t>
      </w:r>
      <w:r w:rsidRPr="00E02F30">
        <w:rPr>
          <w:rFonts w:eastAsia="Times New Roman" w:cs="Arial"/>
          <w:szCs w:val="24"/>
          <w:lang w:eastAsia="it-IT"/>
        </w:rPr>
        <w:t xml:space="preserve">zlokalizowanej na terenie </w:t>
      </w:r>
      <w:r w:rsidRPr="00E02F30">
        <w:rPr>
          <w:rFonts w:eastAsia="Times New Roman" w:cs="Arial"/>
          <w:szCs w:val="24"/>
          <w:lang w:eastAsia="pl-PL"/>
        </w:rPr>
        <w:t>Spółki,</w:t>
      </w:r>
      <w:r w:rsidRPr="00E02F30">
        <w:rPr>
          <w:rFonts w:eastAsia="Times New Roman" w:cs="Arial"/>
          <w:szCs w:val="24"/>
          <w:lang w:eastAsia="it-IT"/>
        </w:rPr>
        <w:t xml:space="preserve"> </w:t>
      </w:r>
      <w:r w:rsidRPr="00E02F30">
        <w:rPr>
          <w:rFonts w:eastAsia="Times New Roman" w:cs="Arial"/>
          <w:szCs w:val="24"/>
          <w:lang w:eastAsia="pl-PL"/>
        </w:rPr>
        <w:t>na działce o </w:t>
      </w:r>
      <w:bookmarkStart w:id="19" w:name="_Hlk168480802"/>
      <w:r w:rsidRPr="00E02F30">
        <w:rPr>
          <w:rFonts w:eastAsia="Times New Roman" w:cs="Arial"/>
          <w:szCs w:val="24"/>
          <w:lang w:eastAsia="it-IT"/>
        </w:rPr>
        <w:t xml:space="preserve">nr </w:t>
      </w:r>
      <w:proofErr w:type="spellStart"/>
      <w:r w:rsidRPr="00E02F30">
        <w:rPr>
          <w:rFonts w:eastAsia="Times New Roman" w:cs="Arial"/>
          <w:szCs w:val="24"/>
          <w:lang w:eastAsia="it-IT"/>
        </w:rPr>
        <w:t>ewid</w:t>
      </w:r>
      <w:proofErr w:type="spellEnd"/>
      <w:r w:rsidRPr="00E02F30">
        <w:rPr>
          <w:rFonts w:eastAsia="Times New Roman" w:cs="Arial"/>
          <w:szCs w:val="24"/>
          <w:lang w:eastAsia="it-IT"/>
        </w:rPr>
        <w:t xml:space="preserve">. </w:t>
      </w:r>
      <w:r w:rsidRPr="00E02F30">
        <w:rPr>
          <w:rFonts w:eastAsia="Times New Roman" w:cs="Arial"/>
          <w:szCs w:val="24"/>
        </w:rPr>
        <w:t xml:space="preserve">2/303 </w:t>
      </w:r>
      <w:bookmarkEnd w:id="19"/>
      <w:r w:rsidRPr="00E02F30">
        <w:rPr>
          <w:rFonts w:eastAsia="Times New Roman" w:cs="Arial"/>
          <w:szCs w:val="24"/>
          <w:lang w:eastAsia="pl-PL"/>
        </w:rPr>
        <w:t>w obrębie nr 0007 Nowa Sarzyna</w:t>
      </w:r>
      <w:r w:rsidRPr="00E02F30">
        <w:rPr>
          <w:rFonts w:eastAsia="Times New Roman" w:cs="Arial"/>
          <w:szCs w:val="24"/>
          <w:lang w:eastAsia="it-IT"/>
        </w:rPr>
        <w:t xml:space="preserve">. </w:t>
      </w:r>
    </w:p>
    <w:p w14:paraId="275887FA" w14:textId="77777777" w:rsidR="00E02F30" w:rsidRPr="00E02F30" w:rsidRDefault="00E02F30" w:rsidP="00E02F30">
      <w:pPr>
        <w:keepNext/>
        <w:tabs>
          <w:tab w:val="left" w:pos="360"/>
        </w:tabs>
        <w:spacing w:before="60" w:after="60" w:line="276" w:lineRule="auto"/>
        <w:jc w:val="both"/>
        <w:rPr>
          <w:rFonts w:eastAsia="Times New Roman" w:cs="Arial"/>
          <w:szCs w:val="24"/>
          <w:lang w:eastAsia="pl-PL"/>
        </w:rPr>
      </w:pPr>
      <w:r w:rsidRPr="00E02F30">
        <w:rPr>
          <w:rFonts w:eastAsia="Times New Roman" w:cs="Arial"/>
          <w:color w:val="70AD47"/>
          <w:szCs w:val="24"/>
          <w:lang w:eastAsia="pl-PL"/>
        </w:rPr>
        <w:tab/>
      </w:r>
      <w:r w:rsidRPr="00E02F30">
        <w:rPr>
          <w:rFonts w:eastAsia="Times New Roman" w:cs="Arial"/>
          <w:color w:val="70AD47"/>
          <w:szCs w:val="24"/>
          <w:lang w:eastAsia="pl-PL"/>
        </w:rPr>
        <w:tab/>
      </w:r>
      <w:r w:rsidRPr="00E02F30">
        <w:rPr>
          <w:rFonts w:eastAsia="Times New Roman" w:cs="Arial"/>
          <w:szCs w:val="24"/>
          <w:lang w:eastAsia="pl-PL"/>
        </w:rPr>
        <w:t xml:space="preserve">Eksploatacja przedmiotowej instalacji kwalifikowanej zgodnie z ust. 4 pkt 1 załącznika do rozporządzenia do rozporządzenia Ministra Środowiska z dnia </w:t>
      </w:r>
      <w:r w:rsidRPr="00E02F30">
        <w:rPr>
          <w:rFonts w:eastAsia="Times New Roman" w:cs="Arial"/>
          <w:szCs w:val="24"/>
          <w:lang w:eastAsia="pl-PL"/>
        </w:rPr>
        <w:br/>
        <w:t>27 sierpnia 2014 r. w sprawie rodzajów instalacji mogących powodować znaczne zanieczyszczenie poszczególnych elementów przyrodniczych albo środowiska jako całości, tj. instalacji  w przemyśle chemicznym do wytwarzania przy zastosowaniu procesów chemicznych lub biologicznych organicznych substancji chemicznych, wymaga uzyskania pozwolenia zintegrowanego.</w:t>
      </w:r>
    </w:p>
    <w:p w14:paraId="0A653AB2" w14:textId="77777777" w:rsidR="00E02F30" w:rsidRPr="00E02F30" w:rsidRDefault="00E02F30" w:rsidP="00E02F30">
      <w:pPr>
        <w:spacing w:before="60" w:after="0" w:line="276" w:lineRule="auto"/>
        <w:ind w:firstLine="708"/>
        <w:contextualSpacing/>
        <w:jc w:val="both"/>
        <w:rPr>
          <w:rFonts w:eastAsia="Times New Roman" w:cs="Arial"/>
          <w:szCs w:val="24"/>
          <w:lang w:eastAsia="pl-PL"/>
        </w:rPr>
      </w:pPr>
      <w:r w:rsidRPr="00E02F30">
        <w:rPr>
          <w:rFonts w:eastAsia="Times New Roman" w:cs="Arial"/>
          <w:szCs w:val="24"/>
          <w:lang w:eastAsia="pl-PL"/>
        </w:rPr>
        <w:t>Przedmiotowa instalacja zgodnie z § 2 ust. 1 pkt 1 lit. a rozporządzenia Rady Ministrów z dn. 9 listopada 2010 r. w sprawie przedsięwzięć mogących znacząco oddziaływać na środowisko jest zaliczana do przedsięwzięć mogących zawsze znacząco oddziaływać na środowisko, jako instalacja służąca do wytwarzania podstawowych produktów lub półproduktów chemii organicznej, stąd też organem właściwym do wydania pozwolenia na podstawie art. 378 ust. 2a ustawy Prawo ochrony środowiska jest Marszałek Województwa Podkarpackiego.</w:t>
      </w:r>
    </w:p>
    <w:p w14:paraId="68896CF8" w14:textId="77777777" w:rsidR="00E02F30" w:rsidRPr="00E02F30" w:rsidRDefault="00E02F30" w:rsidP="00E02F30">
      <w:pPr>
        <w:spacing w:after="0" w:line="276" w:lineRule="auto"/>
        <w:ind w:firstLine="708"/>
        <w:jc w:val="both"/>
        <w:rPr>
          <w:rFonts w:eastAsia="Times New Roman" w:cs="Arial"/>
          <w:szCs w:val="24"/>
          <w:lang w:eastAsia="pl-PL"/>
        </w:rPr>
      </w:pPr>
      <w:r w:rsidRPr="00E02F30">
        <w:rPr>
          <w:rFonts w:eastAsia="Times New Roman" w:cs="Arial"/>
          <w:szCs w:val="24"/>
          <w:lang w:eastAsia="pl-PL"/>
        </w:rPr>
        <w:t xml:space="preserve">Wniosek Spółki został umieszczony w publicznie dostępnym wykazie danych </w:t>
      </w:r>
      <w:r w:rsidRPr="00E02F30">
        <w:rPr>
          <w:rFonts w:eastAsia="Times New Roman" w:cs="Arial"/>
          <w:szCs w:val="24"/>
          <w:lang w:eastAsia="pl-PL"/>
        </w:rPr>
        <w:br/>
        <w:t>o dokumentach zawierających informacje o środowisku i jego ochronie pod numerem 782/2023.</w:t>
      </w:r>
    </w:p>
    <w:p w14:paraId="7B2649AC" w14:textId="77777777" w:rsidR="00E02F30" w:rsidRPr="00E02F30" w:rsidRDefault="00E02F30" w:rsidP="00E02F30">
      <w:pPr>
        <w:spacing w:after="0" w:line="276" w:lineRule="auto"/>
        <w:ind w:firstLine="708"/>
        <w:jc w:val="both"/>
        <w:rPr>
          <w:rFonts w:eastAsia="Times New Roman" w:cs="Arial"/>
          <w:szCs w:val="24"/>
          <w:lang w:eastAsia="pl-PL"/>
        </w:rPr>
      </w:pPr>
      <w:r w:rsidRPr="00E02F30">
        <w:rPr>
          <w:rFonts w:eastAsia="Times New Roman" w:cs="Arial"/>
          <w:szCs w:val="24"/>
          <w:lang w:eastAsia="pl-PL"/>
        </w:rPr>
        <w:t xml:space="preserve">Pismem z dnia 26 października 2023 r. znak: OS-I.7222.29.29.2023.BK przesłano elektroniczną wersję wniosku do Ministra Klimatu i Środowiska. </w:t>
      </w:r>
    </w:p>
    <w:p w14:paraId="06E534B0" w14:textId="77777777" w:rsidR="00E02F30" w:rsidRPr="00E02F30" w:rsidRDefault="00E02F30" w:rsidP="00E02F30">
      <w:pPr>
        <w:spacing w:after="0" w:line="276" w:lineRule="auto"/>
        <w:ind w:firstLine="708"/>
        <w:jc w:val="both"/>
        <w:rPr>
          <w:rFonts w:eastAsia="Times New Roman" w:cs="Arial"/>
          <w:szCs w:val="24"/>
          <w:lang w:eastAsia="pl-PL"/>
        </w:rPr>
      </w:pPr>
      <w:r w:rsidRPr="00E02F30">
        <w:rPr>
          <w:rFonts w:eastAsia="Times New Roman" w:cs="Arial"/>
          <w:szCs w:val="24"/>
          <w:lang w:eastAsia="pl-PL"/>
        </w:rPr>
        <w:t xml:space="preserve">Po przeanalizowaniu wniosku stwierdzono, że zawiera braki formalne. Do wniosku nie dołączono </w:t>
      </w:r>
      <w:r w:rsidRPr="00E02F30">
        <w:rPr>
          <w:rFonts w:eastAsia="Times New Roman" w:cs="Arial"/>
          <w:szCs w:val="24"/>
        </w:rPr>
        <w:t>zaświadczenia o niekaralności prowadzącego instalację.</w:t>
      </w:r>
      <w:r w:rsidRPr="00E02F30">
        <w:rPr>
          <w:rFonts w:eastAsia="Times New Roman" w:cs="Arial"/>
          <w:szCs w:val="24"/>
        </w:rPr>
        <w:br/>
      </w:r>
      <w:r w:rsidRPr="00E02F30">
        <w:rPr>
          <w:rFonts w:eastAsia="Times New Roman" w:cs="Arial"/>
          <w:szCs w:val="24"/>
          <w:lang w:eastAsia="pl-PL"/>
        </w:rPr>
        <w:t xml:space="preserve">W związku z powyższym pismem z dnia 31 października 2023 r. znak: </w:t>
      </w:r>
      <w:r w:rsidRPr="00E02F30">
        <w:rPr>
          <w:rFonts w:eastAsia="Times New Roman" w:cs="Arial"/>
          <w:szCs w:val="24"/>
          <w:lang w:eastAsia="pl-PL"/>
        </w:rPr>
        <w:br/>
        <w:t>OS-I.7222.29.29.2023.BK wezwano Spółkę do uzupełnienia braków formalnych. Spółka przy piśmie z dnia 6 listopada 2023 r. znak: TO/112/366/23 r. złożyła uzupełnienie wniosku w ww. zakresie. W związku z powyższym p</w:t>
      </w:r>
      <w:r w:rsidRPr="00E02F30">
        <w:rPr>
          <w:rFonts w:eastAsia="Calibri" w:cs="Arial"/>
          <w:szCs w:val="24"/>
        </w:rPr>
        <w:t>ismem z dnia 15 listopada 2023 r. znak: OS-I.7222.29.29.2023.BK zawiadomiono Prowadzącego instalację o wszczęciu postępowania.</w:t>
      </w:r>
    </w:p>
    <w:p w14:paraId="2222F851" w14:textId="77777777" w:rsidR="00E02F30" w:rsidRPr="00E02F30" w:rsidRDefault="00E02F30" w:rsidP="00E02F30">
      <w:pPr>
        <w:spacing w:before="60" w:after="0" w:line="276" w:lineRule="auto"/>
        <w:ind w:firstLine="708"/>
        <w:contextualSpacing/>
        <w:jc w:val="both"/>
        <w:rPr>
          <w:rFonts w:eastAsia="Times New Roman" w:cs="Arial"/>
          <w:szCs w:val="24"/>
          <w:lang w:eastAsia="pl-PL"/>
        </w:rPr>
      </w:pPr>
      <w:r w:rsidRPr="00E02F30">
        <w:rPr>
          <w:rFonts w:eastAsia="Times New Roman" w:cs="Arial"/>
          <w:szCs w:val="24"/>
          <w:lang w:eastAsia="pl-PL"/>
        </w:rPr>
        <w:t>Jednocześnie na podstawie art. 218 ustawy Prawo ochrony środowiska, w związku z art. 33 ustawy z dnia 3 października 2008r. o udostępnianiu informacji o środowisku i jego ochronie, udziale społeczeństwa w ochronie środowiska oraz o ocenach oddziaływania na środowisko (</w:t>
      </w:r>
      <w:proofErr w:type="spellStart"/>
      <w:r w:rsidRPr="00E02F30">
        <w:rPr>
          <w:rFonts w:eastAsia="Times New Roman" w:cs="Arial"/>
          <w:szCs w:val="24"/>
          <w:lang w:eastAsia="pl-PL"/>
        </w:rPr>
        <w:t>t.j</w:t>
      </w:r>
      <w:proofErr w:type="spellEnd"/>
      <w:r w:rsidRPr="00E02F30">
        <w:rPr>
          <w:rFonts w:eastAsia="Times New Roman" w:cs="Arial"/>
          <w:szCs w:val="24"/>
          <w:lang w:eastAsia="pl-PL"/>
        </w:rPr>
        <w:t>. Dz. U. z 2023 r. poz. 1094 ze zm.), ogłoszono o wszczęciu postępowania administracyjnego w przedmiocie wydania pozwolenia zintegrowanego, o zamieszczeniu wniosku w publicznie dostępnym wykazie danych o dokumentach  zawierających informacje o środowisku i jego ochronie oraz o prawie wnoszenia uwag i wniosków do przedłożonej w sprawie dokumentacji. Ogłoszenie było dostępne przez 30 dni (tj. od dnia 28 listopada 2023 r. – do dnia 29 grudnia 2023 r.):</w:t>
      </w:r>
    </w:p>
    <w:p w14:paraId="329CEDA1" w14:textId="77777777" w:rsidR="00E02F30" w:rsidRPr="00E02F30" w:rsidRDefault="00E02F30">
      <w:pPr>
        <w:keepNext/>
        <w:numPr>
          <w:ilvl w:val="0"/>
          <w:numId w:val="78"/>
        </w:numPr>
        <w:spacing w:before="60" w:after="60" w:line="276" w:lineRule="auto"/>
        <w:ind w:left="364"/>
        <w:contextualSpacing/>
        <w:jc w:val="both"/>
        <w:rPr>
          <w:rFonts w:eastAsia="Times New Roman" w:cs="Arial"/>
          <w:szCs w:val="24"/>
          <w:lang w:val="x-none" w:eastAsia="pl-PL"/>
        </w:rPr>
      </w:pPr>
      <w:r w:rsidRPr="00E02F30">
        <w:rPr>
          <w:rFonts w:eastAsia="Times New Roman" w:cs="Arial"/>
          <w:szCs w:val="24"/>
          <w:lang w:val="x-none" w:eastAsia="pl-PL"/>
        </w:rPr>
        <w:t>na dwóch tablicach ogłoszeń tut. Urzędu Marszałkowskiego przy ul. Cieplińskiego 4 w Rzeszowie oraz przy ul. Lubelskiej 4 w Rzeszowie,</w:t>
      </w:r>
    </w:p>
    <w:p w14:paraId="495507CA" w14:textId="77777777" w:rsidR="00E02F30" w:rsidRPr="00E02F30" w:rsidRDefault="00E02F30">
      <w:pPr>
        <w:keepNext/>
        <w:numPr>
          <w:ilvl w:val="0"/>
          <w:numId w:val="78"/>
        </w:numPr>
        <w:spacing w:before="60" w:after="60" w:line="276" w:lineRule="auto"/>
        <w:ind w:left="364"/>
        <w:contextualSpacing/>
        <w:jc w:val="both"/>
        <w:rPr>
          <w:rFonts w:eastAsia="Times New Roman" w:cs="Arial"/>
          <w:szCs w:val="24"/>
          <w:lang w:val="x-none" w:eastAsia="pl-PL"/>
        </w:rPr>
      </w:pPr>
      <w:r w:rsidRPr="00E02F30">
        <w:rPr>
          <w:rFonts w:eastAsia="Times New Roman" w:cs="Arial"/>
          <w:szCs w:val="24"/>
          <w:lang w:val="x-none" w:eastAsia="pl-PL"/>
        </w:rPr>
        <w:t xml:space="preserve">na tablicy ogłoszeń Urzędu Miasta </w:t>
      </w:r>
      <w:r w:rsidRPr="00E02F30">
        <w:rPr>
          <w:rFonts w:eastAsia="Times New Roman" w:cs="Arial"/>
          <w:szCs w:val="24"/>
          <w:lang w:eastAsia="pl-PL"/>
        </w:rPr>
        <w:t>i Gminy w Nowej Sarzynie</w:t>
      </w:r>
      <w:r w:rsidRPr="00E02F30">
        <w:rPr>
          <w:rFonts w:eastAsia="Times New Roman" w:cs="Arial"/>
          <w:szCs w:val="24"/>
          <w:lang w:val="x-none" w:eastAsia="pl-PL"/>
        </w:rPr>
        <w:t>,</w:t>
      </w:r>
    </w:p>
    <w:p w14:paraId="5E18A31A" w14:textId="77777777" w:rsidR="00E02F30" w:rsidRPr="00E02F30" w:rsidRDefault="00E02F30">
      <w:pPr>
        <w:keepNext/>
        <w:numPr>
          <w:ilvl w:val="0"/>
          <w:numId w:val="78"/>
        </w:numPr>
        <w:spacing w:before="60" w:after="60" w:line="276" w:lineRule="auto"/>
        <w:ind w:left="364"/>
        <w:contextualSpacing/>
        <w:jc w:val="both"/>
        <w:rPr>
          <w:rFonts w:eastAsia="Times New Roman" w:cs="Arial"/>
          <w:szCs w:val="24"/>
          <w:lang w:val="x-none" w:eastAsia="pl-PL"/>
        </w:rPr>
      </w:pPr>
      <w:r w:rsidRPr="00E02F30">
        <w:rPr>
          <w:rFonts w:eastAsia="Times New Roman" w:cs="Arial"/>
          <w:szCs w:val="24"/>
          <w:lang w:val="x-none" w:eastAsia="pl-PL"/>
        </w:rPr>
        <w:t>na tablic</w:t>
      </w:r>
      <w:r w:rsidRPr="00E02F30">
        <w:rPr>
          <w:rFonts w:eastAsia="Times New Roman" w:cs="Arial"/>
          <w:szCs w:val="24"/>
          <w:lang w:eastAsia="pl-PL"/>
        </w:rPr>
        <w:t>ach</w:t>
      </w:r>
      <w:r w:rsidRPr="00E02F30">
        <w:rPr>
          <w:rFonts w:eastAsia="Times New Roman" w:cs="Arial"/>
          <w:szCs w:val="24"/>
          <w:lang w:val="x-none" w:eastAsia="pl-PL"/>
        </w:rPr>
        <w:t xml:space="preserve"> ogłoszeń w miejscu lokalizacji przedsięwzięcia</w:t>
      </w:r>
      <w:r w:rsidRPr="00E02F30">
        <w:rPr>
          <w:rFonts w:eastAsia="Times New Roman" w:cs="Arial"/>
          <w:szCs w:val="24"/>
          <w:lang w:eastAsia="pl-PL"/>
        </w:rPr>
        <w:t>,</w:t>
      </w:r>
    </w:p>
    <w:p w14:paraId="72360AA9" w14:textId="77777777" w:rsidR="00E02F30" w:rsidRPr="00E02F30" w:rsidRDefault="00E02F30">
      <w:pPr>
        <w:keepNext/>
        <w:numPr>
          <w:ilvl w:val="0"/>
          <w:numId w:val="78"/>
        </w:numPr>
        <w:spacing w:before="60" w:after="60" w:line="276" w:lineRule="auto"/>
        <w:ind w:left="364"/>
        <w:contextualSpacing/>
        <w:jc w:val="both"/>
        <w:rPr>
          <w:rFonts w:eastAsia="Times New Roman" w:cs="Arial"/>
          <w:szCs w:val="24"/>
          <w:lang w:val="x-none" w:eastAsia="pl-PL"/>
        </w:rPr>
      </w:pPr>
      <w:r w:rsidRPr="00E02F30">
        <w:rPr>
          <w:rFonts w:eastAsia="Times New Roman" w:cs="Arial"/>
          <w:szCs w:val="24"/>
          <w:lang w:val="x-none" w:eastAsia="pl-PL"/>
        </w:rPr>
        <w:t>na stronie internetowej BIP Urzędu Marszałkowskiego</w:t>
      </w:r>
      <w:r w:rsidRPr="00E02F30">
        <w:rPr>
          <w:rFonts w:eastAsia="Times New Roman" w:cs="Arial"/>
          <w:szCs w:val="24"/>
          <w:lang w:eastAsia="pl-PL"/>
        </w:rPr>
        <w:t xml:space="preserve"> Województwa Podkarpackiego </w:t>
      </w:r>
      <w:r w:rsidRPr="00E02F30">
        <w:rPr>
          <w:rFonts w:eastAsia="Calibri" w:cs="Arial"/>
          <w:szCs w:val="24"/>
          <w:lang w:val="x-none" w:eastAsia="pl-PL"/>
        </w:rPr>
        <w:t>.</w:t>
      </w:r>
    </w:p>
    <w:p w14:paraId="1E43FD04" w14:textId="77777777" w:rsidR="00E02F30" w:rsidRPr="00E02F30" w:rsidRDefault="00E02F30" w:rsidP="00E02F30">
      <w:pPr>
        <w:spacing w:after="0" w:line="276" w:lineRule="auto"/>
        <w:contextualSpacing/>
        <w:jc w:val="both"/>
        <w:rPr>
          <w:rFonts w:eastAsia="Times New Roman" w:cs="Arial"/>
          <w:szCs w:val="24"/>
          <w:lang w:eastAsia="pl-PL"/>
        </w:rPr>
      </w:pPr>
      <w:r w:rsidRPr="00E02F30">
        <w:rPr>
          <w:rFonts w:eastAsia="Times New Roman" w:cs="Arial"/>
          <w:szCs w:val="24"/>
          <w:lang w:eastAsia="pl-PL"/>
        </w:rPr>
        <w:t xml:space="preserve">W okresie udostępniania wniosku nie zostały wniesione żadne uwagi i wnioski do </w:t>
      </w:r>
      <w:r w:rsidRPr="00E02F30">
        <w:rPr>
          <w:rFonts w:eastAsia="Times New Roman" w:cs="Arial"/>
          <w:szCs w:val="24"/>
          <w:lang w:eastAsia="pl-PL"/>
        </w:rPr>
        <w:br/>
        <w:t>ww. sprawy.</w:t>
      </w:r>
    </w:p>
    <w:p w14:paraId="314E539A" w14:textId="77777777" w:rsidR="00E02F30" w:rsidRPr="00E02F30" w:rsidRDefault="00E02F30" w:rsidP="00E02F30">
      <w:pPr>
        <w:spacing w:after="0" w:line="276" w:lineRule="auto"/>
        <w:ind w:firstLine="708"/>
        <w:jc w:val="both"/>
        <w:rPr>
          <w:rFonts w:eastAsia="Times New Roman" w:cs="Arial"/>
          <w:szCs w:val="24"/>
          <w:lang w:eastAsia="pl-PL"/>
        </w:rPr>
      </w:pPr>
      <w:r w:rsidRPr="00E02F30">
        <w:rPr>
          <w:rFonts w:eastAsia="Times New Roman" w:cs="Arial"/>
          <w:szCs w:val="24"/>
          <w:lang w:eastAsia="pl-PL"/>
        </w:rPr>
        <w:t>Prowadzący instalację w złożonym wniosku odpowiedział także na wezwanie tutejszego organu z dnia 9 czerwca 2023 r. znak: OS-I.7222.29.11.2023.BK w sprawie przedłożenia wniosku o zmianę pozwolenia zintegrowanego, który powinien zawierać propozycje zmian wynikających z konkluzji dotyczących najlepszych dostępnych technik (BAT) zgodnych z dyrektywą Parlamentu Europejskiego i Rady 2010/75/UE w sprawie emisji przemysłowych, w odniesieniu do wspólnych systemów gospodarowania gazami odlotowymi i oczyszczania gazów odlotowych w sektorze chemicznym ustanowionymi Decyzją Wykonawczą Komisji (UE) 2022/2427 z dnia 6 grudnia 2022 r. (Dz. U. UE. L. z 2022 r. Nr 318, str. 157) tj.:</w:t>
      </w:r>
      <w:bookmarkStart w:id="20" w:name="_Hlk161659525"/>
    </w:p>
    <w:bookmarkEnd w:id="20"/>
    <w:p w14:paraId="24EA09EC" w14:textId="77777777" w:rsidR="00E02F30" w:rsidRPr="00E02F30" w:rsidRDefault="00E02F30">
      <w:pPr>
        <w:numPr>
          <w:ilvl w:val="0"/>
          <w:numId w:val="98"/>
        </w:numPr>
        <w:spacing w:after="0" w:line="276" w:lineRule="auto"/>
        <w:ind w:left="284" w:hanging="284"/>
        <w:contextualSpacing/>
        <w:jc w:val="both"/>
        <w:rPr>
          <w:rFonts w:eastAsia="Calibri" w:cs="Arial"/>
          <w:kern w:val="2"/>
          <w:szCs w:val="24"/>
        </w:rPr>
      </w:pPr>
      <w:r w:rsidRPr="00E02F30">
        <w:rPr>
          <w:rFonts w:eastAsia="Calibri" w:cs="Arial"/>
          <w:kern w:val="2"/>
          <w:szCs w:val="24"/>
        </w:rPr>
        <w:t xml:space="preserve">Zgodnie z wymaganiami BAT 2 należy zidentyfikować substancje emitowane </w:t>
      </w:r>
      <w:r w:rsidRPr="00E02F30">
        <w:rPr>
          <w:rFonts w:eastAsia="Calibri" w:cs="Arial"/>
          <w:kern w:val="2"/>
          <w:szCs w:val="24"/>
        </w:rPr>
        <w:br/>
        <w:t xml:space="preserve">z instalacji w sposób zorganizowany oraz rozproszony do powietrza </w:t>
      </w:r>
      <w:r w:rsidRPr="00E02F30">
        <w:rPr>
          <w:rFonts w:eastAsia="Calibri" w:cs="Arial"/>
          <w:kern w:val="2"/>
          <w:szCs w:val="24"/>
        </w:rPr>
        <w:br/>
        <w:t>z uwzględnieniem BAT 11, w tym należy wskazać substancje lub mieszaniny sklasyfikowane jako substancje CMR kategorii 1A, 1B lub 2. Należy również przedstawić charakterystykę każdego źródła emisji (np. ulotne lub nieulotne; statyczne lub ruchome; dostępność źródła emisji; objęte programem LDAR lub nie).</w:t>
      </w:r>
    </w:p>
    <w:p w14:paraId="418B6772" w14:textId="77777777" w:rsidR="00E02F30" w:rsidRPr="00E02F30" w:rsidRDefault="00E02F30">
      <w:pPr>
        <w:numPr>
          <w:ilvl w:val="0"/>
          <w:numId w:val="98"/>
        </w:numPr>
        <w:spacing w:after="0" w:line="276" w:lineRule="auto"/>
        <w:ind w:left="284" w:hanging="284"/>
        <w:contextualSpacing/>
        <w:jc w:val="both"/>
        <w:rPr>
          <w:rFonts w:eastAsia="Calibri" w:cs="Arial"/>
          <w:kern w:val="2"/>
          <w:szCs w:val="24"/>
        </w:rPr>
      </w:pPr>
      <w:r w:rsidRPr="00E02F30">
        <w:rPr>
          <w:rFonts w:eastAsia="Calibri" w:cs="Arial"/>
          <w:kern w:val="2"/>
          <w:szCs w:val="24"/>
        </w:rPr>
        <w:t xml:space="preserve">Zgodnie z wymaganiami BAT 8 należy przedstawić propozycję monitorowania emisji zorganizowanych do powietrza substancji zidentyfikowanych zgodnie </w:t>
      </w:r>
      <w:r w:rsidRPr="00E02F30">
        <w:rPr>
          <w:rFonts w:eastAsia="Calibri" w:cs="Arial"/>
          <w:kern w:val="2"/>
          <w:szCs w:val="24"/>
        </w:rPr>
        <w:br/>
        <w:t xml:space="preserve">z BAT 2. </w:t>
      </w:r>
    </w:p>
    <w:p w14:paraId="1C0C498C" w14:textId="77777777" w:rsidR="00E02F30" w:rsidRPr="00E02F30" w:rsidRDefault="00E02F30">
      <w:pPr>
        <w:numPr>
          <w:ilvl w:val="0"/>
          <w:numId w:val="98"/>
        </w:numPr>
        <w:spacing w:after="0" w:line="276" w:lineRule="auto"/>
        <w:ind w:left="284" w:hanging="284"/>
        <w:contextualSpacing/>
        <w:jc w:val="both"/>
        <w:rPr>
          <w:rFonts w:eastAsia="Calibri" w:cs="Arial"/>
          <w:kern w:val="2"/>
          <w:szCs w:val="24"/>
        </w:rPr>
      </w:pPr>
      <w:r w:rsidRPr="00E02F30">
        <w:rPr>
          <w:rFonts w:eastAsia="Calibri" w:cs="Arial"/>
          <w:kern w:val="2"/>
          <w:szCs w:val="24"/>
        </w:rPr>
        <w:t>Zgodnie z wymaganiami BAT 11, BAT 14 oraz BAT18 należy określić emisję dopuszczalną poszczególnych zanieczyszczeń z instalacji – na poziomie emisji rzeczywistych, z uwzględnieniem poziomów powiązanych z BAT (BAT-</w:t>
      </w:r>
      <w:proofErr w:type="spellStart"/>
      <w:r w:rsidRPr="00E02F30">
        <w:rPr>
          <w:rFonts w:eastAsia="Calibri" w:cs="Arial"/>
          <w:kern w:val="2"/>
          <w:szCs w:val="24"/>
        </w:rPr>
        <w:t>AELs</w:t>
      </w:r>
      <w:proofErr w:type="spellEnd"/>
      <w:r w:rsidRPr="00E02F30">
        <w:rPr>
          <w:rFonts w:eastAsia="Calibri" w:cs="Arial"/>
          <w:kern w:val="2"/>
          <w:szCs w:val="24"/>
        </w:rPr>
        <w:t>).</w:t>
      </w:r>
    </w:p>
    <w:p w14:paraId="1E6E3E21" w14:textId="77777777" w:rsidR="00E02F30" w:rsidRPr="00E02F30" w:rsidRDefault="00E02F30">
      <w:pPr>
        <w:numPr>
          <w:ilvl w:val="0"/>
          <w:numId w:val="98"/>
        </w:numPr>
        <w:spacing w:after="0" w:line="276" w:lineRule="auto"/>
        <w:ind w:left="284" w:hanging="284"/>
        <w:jc w:val="both"/>
        <w:rPr>
          <w:rFonts w:eastAsia="Calibri" w:cs="Arial"/>
          <w:kern w:val="2"/>
          <w:szCs w:val="24"/>
        </w:rPr>
      </w:pPr>
      <w:r w:rsidRPr="00E02F30">
        <w:rPr>
          <w:rFonts w:eastAsia="Calibri" w:cs="Arial"/>
          <w:kern w:val="2"/>
          <w:szCs w:val="24"/>
        </w:rPr>
        <w:t>Zgodnie z BAT 19 oraz BAT 20 należy przedstawić propozycję monitorowania emisji rozproszonej, tj. należy opracować i wdrożyć system zarządzania emisjami rozproszonymi LZO jako część systemu zarządzania środowiskowego oraz raz w roku szacować emisje ulotne i nieulotne LZO do powietrza.</w:t>
      </w:r>
    </w:p>
    <w:p w14:paraId="0652294C" w14:textId="77777777" w:rsidR="00E02F30" w:rsidRPr="00E02F30" w:rsidRDefault="00E02F30">
      <w:pPr>
        <w:numPr>
          <w:ilvl w:val="0"/>
          <w:numId w:val="98"/>
        </w:numPr>
        <w:spacing w:after="0" w:line="276" w:lineRule="auto"/>
        <w:ind w:left="284" w:hanging="284"/>
        <w:jc w:val="both"/>
        <w:rPr>
          <w:rFonts w:eastAsia="Calibri" w:cs="Arial"/>
          <w:kern w:val="2"/>
          <w:szCs w:val="24"/>
        </w:rPr>
      </w:pPr>
      <w:r w:rsidRPr="00E02F30">
        <w:rPr>
          <w:rFonts w:eastAsia="Calibri" w:cs="Arial"/>
          <w:kern w:val="2"/>
          <w:szCs w:val="24"/>
        </w:rPr>
        <w:t>Zgodnie z BAT 22 należy monitorować emisje rozproszone LZO. Możliwość zwolnienia z niniejszego obowiązku wynikać będzie z oszacowania emisji rozproszonej ulotnej i nieulotnej zgodnie z BAT 20.</w:t>
      </w:r>
    </w:p>
    <w:p w14:paraId="1906E9A8" w14:textId="77777777" w:rsidR="00E02F30" w:rsidRPr="00E02F30" w:rsidRDefault="00E02F30" w:rsidP="00E02F30">
      <w:pPr>
        <w:spacing w:line="276" w:lineRule="auto"/>
        <w:contextualSpacing/>
        <w:jc w:val="both"/>
        <w:rPr>
          <w:rFonts w:eastAsia="Calibri" w:cs="Arial"/>
          <w:kern w:val="2"/>
          <w:szCs w:val="24"/>
        </w:rPr>
      </w:pPr>
      <w:r w:rsidRPr="00E02F30">
        <w:rPr>
          <w:rFonts w:eastAsia="Calibri" w:cs="Arial"/>
          <w:kern w:val="2"/>
          <w:szCs w:val="24"/>
        </w:rPr>
        <w:t>Dostosowanie instalacji IPPC do wymagań ww. konkluzji powinno nastąpić w ciągu 4 lat od ich ogłoszenia, a więc do 12 grudnia 2026 r.</w:t>
      </w:r>
    </w:p>
    <w:p w14:paraId="393E897B" w14:textId="77777777" w:rsidR="00E02F30" w:rsidRPr="00E02F30" w:rsidRDefault="00E02F30" w:rsidP="00E02F30">
      <w:pPr>
        <w:spacing w:line="276" w:lineRule="auto"/>
        <w:ind w:firstLine="708"/>
        <w:contextualSpacing/>
        <w:jc w:val="both"/>
        <w:rPr>
          <w:rFonts w:eastAsia="Times New Roman" w:cs="Arial"/>
          <w:szCs w:val="24"/>
          <w:lang w:eastAsia="pl-PL"/>
        </w:rPr>
      </w:pPr>
    </w:p>
    <w:p w14:paraId="2F2CF70C" w14:textId="77777777" w:rsidR="00E02F30" w:rsidRPr="00E02F30" w:rsidRDefault="00E02F30" w:rsidP="00E02F30">
      <w:pPr>
        <w:spacing w:line="276" w:lineRule="auto"/>
        <w:ind w:firstLine="708"/>
        <w:contextualSpacing/>
        <w:jc w:val="both"/>
        <w:rPr>
          <w:rFonts w:eastAsia="Calibri" w:cs="Arial"/>
          <w:kern w:val="2"/>
          <w:szCs w:val="24"/>
        </w:rPr>
      </w:pPr>
      <w:r w:rsidRPr="00E02F30">
        <w:rPr>
          <w:rFonts w:eastAsia="Times New Roman" w:cs="Arial"/>
          <w:szCs w:val="24"/>
          <w:lang w:eastAsia="pl-PL"/>
        </w:rPr>
        <w:t>Szczegółowa analiza przedłożonej dokumentacji wykazała, że nie przedstawia ona w sposób dostateczny wszystkich zagadnień istotnych z punktu widzenia ochrony środowiska wynikających z art. 204 oraz art. 208 ustawy Prawo ochrony środowiska.</w:t>
      </w:r>
    </w:p>
    <w:p w14:paraId="6B0E4626" w14:textId="77777777" w:rsidR="00E02F30" w:rsidRPr="00E02F30" w:rsidRDefault="00E02F30" w:rsidP="00E02F30">
      <w:pPr>
        <w:spacing w:after="0" w:line="276" w:lineRule="auto"/>
        <w:contextualSpacing/>
        <w:jc w:val="both"/>
        <w:rPr>
          <w:rFonts w:eastAsia="Times New Roman" w:cs="Arial"/>
          <w:szCs w:val="24"/>
          <w:lang w:eastAsia="pl-PL"/>
        </w:rPr>
      </w:pPr>
      <w:r w:rsidRPr="00E02F30">
        <w:rPr>
          <w:rFonts w:eastAsia="Times New Roman" w:cs="Arial"/>
          <w:szCs w:val="24"/>
          <w:lang w:eastAsia="pl-PL"/>
        </w:rPr>
        <w:t xml:space="preserve">W związku z tym postanowieniem z dnia 21 marca 2024 r. znak: OS- I.7222.29.29.2023.BK wezwano Prowadzącego instalację do uzupełnienia przedłożonego wniosku w zakresie emisji zanieczyszczeń do powietrza. Wnioskodawca przedłożył dokumentację uzupełniającą do wniosku przy piśmie z dnia 3 czerwca 2024 r. znak: TO/48/213/24 w zakresie zanieczyszczeń do powietrza, przedstawił także propozycje monitoringu jakości wód rzeki San. Dodatkowo Wnioskodawca przesłał wyjaśnienia do wniosku drogą elektroniczną tj. poprzez wiadomości e – mail: z dnia 13 marca 2024 r., z dnia 18 marca 2024 r., z dnia 20 maja 2024 r. w zakresie: monitoringu emisji hałasu do środowiska, podał nr działek na których zlokalizowane są przedmiotowe instalacje, wyjaśnił, dlaczego emitory wpięte są w układ Dopalacza termicznego </w:t>
      </w:r>
      <w:proofErr w:type="spellStart"/>
      <w:r w:rsidRPr="00E02F30">
        <w:rPr>
          <w:rFonts w:eastAsia="Times New Roman" w:cs="Arial"/>
          <w:szCs w:val="24"/>
          <w:lang w:eastAsia="pl-PL"/>
        </w:rPr>
        <w:t>odgazów</w:t>
      </w:r>
      <w:proofErr w:type="spellEnd"/>
      <w:r w:rsidRPr="00E02F30">
        <w:rPr>
          <w:rFonts w:eastAsia="Times New Roman" w:cs="Arial"/>
          <w:szCs w:val="24"/>
          <w:lang w:eastAsia="pl-PL"/>
        </w:rPr>
        <w:t>, dokonał analizy dokumentów referencyjnych BREF, Prowadzący instalacje przedłożył także projekt monitoringu powierzchni ziemi przy piśmie z dnia 6 maja 2024 r. znak: TO/42/190/24.</w:t>
      </w:r>
    </w:p>
    <w:p w14:paraId="1DA601E3" w14:textId="77777777" w:rsidR="00E02F30" w:rsidRPr="00E02F30" w:rsidRDefault="00E02F30" w:rsidP="00E02F30">
      <w:pPr>
        <w:spacing w:after="60" w:line="276" w:lineRule="auto"/>
        <w:ind w:firstLine="708"/>
        <w:contextualSpacing/>
        <w:jc w:val="both"/>
        <w:rPr>
          <w:rFonts w:eastAsia="Times New Roman" w:cs="Arial"/>
          <w:szCs w:val="24"/>
          <w:lang w:eastAsia="pl-PL"/>
        </w:rPr>
      </w:pPr>
      <w:r w:rsidRPr="00E02F30">
        <w:rPr>
          <w:rFonts w:eastAsia="Times New Roman" w:cs="Arial"/>
          <w:szCs w:val="24"/>
          <w:lang w:eastAsia="pl-PL"/>
        </w:rPr>
        <w:t xml:space="preserve">Po przeanalizowaniu </w:t>
      </w:r>
      <w:r w:rsidRPr="00E02F30">
        <w:rPr>
          <w:rFonts w:eastAsia="Times New Roman" w:cs="Arial"/>
          <w:bCs/>
          <w:szCs w:val="24"/>
          <w:lang w:eastAsia="pl-PL"/>
        </w:rPr>
        <w:t>dokumentów i wyjaśnień</w:t>
      </w:r>
      <w:r w:rsidRPr="00E02F30">
        <w:rPr>
          <w:rFonts w:eastAsia="Times New Roman" w:cs="Arial"/>
          <w:szCs w:val="24"/>
          <w:lang w:eastAsia="pl-PL"/>
        </w:rPr>
        <w:t xml:space="preserve"> przedłożonych przez Wnioskodawcę uznano, że uzupełniony wniosek zawiera elementy wymagane przepisami prawa w tym zakresie i spełnia wymogi art. 204 i art. 208 ustawy Prawo ochrony środowiska.</w:t>
      </w:r>
    </w:p>
    <w:p w14:paraId="04A33277" w14:textId="77777777" w:rsidR="00E02F30" w:rsidRPr="00E02F30" w:rsidRDefault="00E02F30" w:rsidP="00E02F30">
      <w:pPr>
        <w:spacing w:after="0" w:line="276" w:lineRule="auto"/>
        <w:ind w:firstLine="708"/>
        <w:contextualSpacing/>
        <w:jc w:val="both"/>
        <w:rPr>
          <w:rFonts w:eastAsia="Times New Roman" w:cs="Arial"/>
          <w:szCs w:val="24"/>
          <w:lang w:eastAsia="pl-PL"/>
        </w:rPr>
      </w:pPr>
    </w:p>
    <w:p w14:paraId="03D3C046" w14:textId="77777777" w:rsidR="00E02F30" w:rsidRPr="00E02F30" w:rsidRDefault="00E02F30" w:rsidP="00E02F30">
      <w:pPr>
        <w:autoSpaceDE w:val="0"/>
        <w:autoSpaceDN w:val="0"/>
        <w:adjustRightInd w:val="0"/>
        <w:spacing w:before="60" w:after="60" w:line="240" w:lineRule="auto"/>
        <w:ind w:firstLine="709"/>
        <w:contextualSpacing/>
        <w:jc w:val="both"/>
        <w:rPr>
          <w:rFonts w:eastAsia="Calibri" w:cs="Arial"/>
          <w:szCs w:val="24"/>
          <w:u w:val="single"/>
        </w:rPr>
      </w:pPr>
      <w:r w:rsidRPr="00E02F30">
        <w:rPr>
          <w:rFonts w:eastAsia="Calibri" w:cs="Arial"/>
          <w:szCs w:val="24"/>
          <w:u w:val="single"/>
        </w:rPr>
        <w:t>Uwzględniając wniosek oraz przedstawione dokumenty w niniejszym postępowaniu ustalono co następuje:</w:t>
      </w:r>
    </w:p>
    <w:p w14:paraId="6D83E404"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it-IT"/>
        </w:rPr>
        <w:t xml:space="preserve">W dniu 31 </w:t>
      </w:r>
      <w:bookmarkStart w:id="21" w:name="_Hlk167436728"/>
      <w:r w:rsidRPr="00E02F30">
        <w:rPr>
          <w:rFonts w:eastAsia="Times New Roman" w:cs="Arial"/>
          <w:szCs w:val="24"/>
          <w:lang w:eastAsia="it-IT"/>
        </w:rPr>
        <w:t xml:space="preserve">października 2006r. Wojewoda Podkarpacki decyzją znak: ŚR.III-6618/1/06 </w:t>
      </w:r>
      <w:bookmarkEnd w:id="21"/>
      <w:r w:rsidRPr="00E02F30">
        <w:rPr>
          <w:rFonts w:eastAsia="Times New Roman" w:cs="Arial"/>
          <w:szCs w:val="24"/>
          <w:lang w:eastAsia="it-IT"/>
        </w:rPr>
        <w:t xml:space="preserve">udzielił pozwolenia zintegrowanego na prowadzenie instalacji IPPC funkcjonujących na terenie Spółki – wówczas pn.: Zakłady Chemiczne „Organika – Sarzyna” S.A. Pozwolenie to zmienione było decyzjami Marszałka Województwa Podkarpackiego: </w:t>
      </w:r>
      <w:r w:rsidRPr="00E02F30">
        <w:rPr>
          <w:rFonts w:eastAsia="Times New Roman" w:cs="Arial"/>
          <w:szCs w:val="24"/>
          <w:lang w:eastAsia="pl-PL"/>
        </w:rPr>
        <w:t xml:space="preserve">z dnia 19 czerwca 2008r., znak: RŚ.VI.7660-16/12/08, z dnia 5 stycznia 2011r., znak: </w:t>
      </w:r>
      <w:r w:rsidRPr="00E02F30">
        <w:rPr>
          <w:rFonts w:eastAsia="Times New Roman" w:cs="Arial"/>
          <w:bCs/>
          <w:szCs w:val="24"/>
          <w:lang w:eastAsia="pl-PL"/>
        </w:rPr>
        <w:t xml:space="preserve">RŚ.VI.DW.7660/6-15/10, z dnia 10 grudnia 2012r., znak: OS.I.7222.29.17.2012.DW oraz z dnia 4 grudnia 2014r., znak: </w:t>
      </w:r>
      <w:r w:rsidRPr="00E02F30">
        <w:rPr>
          <w:rFonts w:eastAsia="Times New Roman" w:cs="Arial"/>
          <w:szCs w:val="24"/>
          <w:lang w:eastAsia="pl-PL"/>
        </w:rPr>
        <w:t>OS-I.7222.21.17.2014.DW.</w:t>
      </w:r>
    </w:p>
    <w:p w14:paraId="77CF5C32" w14:textId="77777777" w:rsidR="00E02F30" w:rsidRPr="00E02F30" w:rsidRDefault="00E02F30" w:rsidP="00E02F30">
      <w:pPr>
        <w:spacing w:before="60" w:after="60" w:line="276" w:lineRule="auto"/>
        <w:ind w:firstLine="709"/>
        <w:jc w:val="both"/>
        <w:rPr>
          <w:rFonts w:eastAsia="Times New Roman" w:cs="Arial"/>
          <w:szCs w:val="24"/>
          <w:lang w:eastAsia="it-IT"/>
        </w:rPr>
      </w:pPr>
      <w:r w:rsidRPr="00E02F30">
        <w:rPr>
          <w:rFonts w:eastAsia="Times New Roman" w:cs="Arial"/>
          <w:szCs w:val="24"/>
          <w:lang w:eastAsia="it-IT"/>
        </w:rPr>
        <w:t xml:space="preserve">W 2017 roku Prowadzący instalacje wówczas </w:t>
      </w:r>
      <w:r w:rsidRPr="00E02F30">
        <w:rPr>
          <w:rFonts w:eastAsia="Times New Roman" w:cs="Arial"/>
          <w:szCs w:val="24"/>
          <w:lang w:eastAsia="pl-PL"/>
        </w:rPr>
        <w:t>CIECH Sarzyna</w:t>
      </w:r>
      <w:r w:rsidRPr="00E02F30">
        <w:rPr>
          <w:rFonts w:eastAsia="Calibri" w:cs="Arial"/>
          <w:szCs w:val="24"/>
          <w:lang w:eastAsia="pl-PL"/>
        </w:rPr>
        <w:t xml:space="preserve"> S.A. </w:t>
      </w:r>
      <w:r w:rsidRPr="00E02F30">
        <w:rPr>
          <w:rFonts w:eastAsia="Times New Roman" w:cs="Arial"/>
          <w:szCs w:val="24"/>
          <w:lang w:eastAsia="it-IT"/>
        </w:rPr>
        <w:t xml:space="preserve">zawnioskował o wydanie nowego pozwolenia zintegrowanego dla istniejących instalacji ze względu na zmiany technologiczne i organizacyjne w Zakładzie, a także zwrócił się o stwierdzenie wygaśnięcia dotychczasowego pozwolenia zintegrowanego z dniem wydania decyzji udzielającej nowego pozwolenia. Marszałek Województwa Podkarpackiego decyzją z dnia 30 stycznia 2019 r. znak: OS-I.7222.40.16.2017.DW udzielił pozwolenia zintegrowanego na prowadzenie ośmiu instalacji, w tym: </w:t>
      </w:r>
    </w:p>
    <w:p w14:paraId="6910D5FC" w14:textId="77777777" w:rsidR="00E02F30" w:rsidRPr="00E02F30" w:rsidRDefault="00E02F30" w:rsidP="00E02F30">
      <w:pPr>
        <w:spacing w:after="0" w:line="276" w:lineRule="auto"/>
        <w:jc w:val="both"/>
        <w:rPr>
          <w:rFonts w:eastAsia="Times New Roman" w:cs="Arial"/>
          <w:szCs w:val="24"/>
          <w:lang w:eastAsia="it-IT"/>
        </w:rPr>
      </w:pPr>
      <w:r w:rsidRPr="00E02F30">
        <w:rPr>
          <w:rFonts w:eastAsia="Times New Roman" w:cs="Arial"/>
          <w:szCs w:val="24"/>
          <w:lang w:eastAsia="it-IT"/>
        </w:rPr>
        <w:t>- sześć instalacji do wytwarzania przy zastosowaniu procesów chemicznych, organicznych substancji chemicznych</w:t>
      </w:r>
    </w:p>
    <w:p w14:paraId="45EE0D12" w14:textId="77777777" w:rsidR="00E02F30" w:rsidRPr="00E02F30" w:rsidRDefault="00E02F30" w:rsidP="00E02F30">
      <w:pPr>
        <w:spacing w:after="0" w:line="276" w:lineRule="auto"/>
        <w:jc w:val="both"/>
        <w:rPr>
          <w:rFonts w:eastAsia="Times New Roman" w:cs="Arial"/>
          <w:szCs w:val="24"/>
          <w:lang w:eastAsia="it-IT"/>
        </w:rPr>
      </w:pPr>
      <w:r w:rsidRPr="00E02F30">
        <w:rPr>
          <w:rFonts w:eastAsia="Times New Roman" w:cs="Arial"/>
          <w:szCs w:val="24"/>
          <w:lang w:eastAsia="it-IT"/>
        </w:rPr>
        <w:t>1.</w:t>
      </w:r>
      <w:r w:rsidRPr="00E02F30">
        <w:rPr>
          <w:rFonts w:eastAsia="Times New Roman" w:cs="Arial"/>
          <w:szCs w:val="24"/>
          <w:lang w:eastAsia="it-IT"/>
        </w:rPr>
        <w:tab/>
        <w:t>Nienasycone żywice poliestrowe (Z)</w:t>
      </w:r>
    </w:p>
    <w:p w14:paraId="5878544A" w14:textId="77777777" w:rsidR="00E02F30" w:rsidRPr="00E02F30" w:rsidRDefault="00E02F30" w:rsidP="00E02F30">
      <w:pPr>
        <w:spacing w:after="0" w:line="276" w:lineRule="auto"/>
        <w:jc w:val="both"/>
        <w:rPr>
          <w:rFonts w:eastAsia="Times New Roman" w:cs="Arial"/>
          <w:szCs w:val="24"/>
          <w:lang w:eastAsia="it-IT"/>
        </w:rPr>
      </w:pPr>
      <w:r w:rsidRPr="00E02F30">
        <w:rPr>
          <w:rFonts w:eastAsia="Times New Roman" w:cs="Arial"/>
          <w:szCs w:val="24"/>
          <w:lang w:eastAsia="it-IT"/>
        </w:rPr>
        <w:t>2.</w:t>
      </w:r>
      <w:r w:rsidRPr="00E02F30">
        <w:rPr>
          <w:rFonts w:eastAsia="Times New Roman" w:cs="Arial"/>
          <w:szCs w:val="24"/>
          <w:lang w:eastAsia="it-IT"/>
        </w:rPr>
        <w:tab/>
        <w:t>Żywice epoksydowe (E)</w:t>
      </w:r>
    </w:p>
    <w:p w14:paraId="1B46722D" w14:textId="77777777" w:rsidR="00E02F30" w:rsidRPr="00E02F30" w:rsidRDefault="00E02F30" w:rsidP="00E02F30">
      <w:pPr>
        <w:spacing w:after="0" w:line="276" w:lineRule="auto"/>
        <w:jc w:val="both"/>
        <w:rPr>
          <w:rFonts w:eastAsia="Times New Roman" w:cs="Arial"/>
          <w:szCs w:val="24"/>
          <w:lang w:eastAsia="it-IT"/>
        </w:rPr>
      </w:pPr>
      <w:r w:rsidRPr="00E02F30">
        <w:rPr>
          <w:rFonts w:eastAsia="Times New Roman" w:cs="Arial"/>
          <w:szCs w:val="24"/>
          <w:lang w:eastAsia="it-IT"/>
        </w:rPr>
        <w:t>3.</w:t>
      </w:r>
      <w:r w:rsidRPr="00E02F30">
        <w:rPr>
          <w:rFonts w:eastAsia="Times New Roman" w:cs="Arial"/>
          <w:szCs w:val="24"/>
          <w:lang w:eastAsia="it-IT"/>
        </w:rPr>
        <w:tab/>
      </w:r>
      <w:proofErr w:type="spellStart"/>
      <w:r w:rsidRPr="00E02F30">
        <w:rPr>
          <w:rFonts w:eastAsia="Times New Roman" w:cs="Arial"/>
          <w:szCs w:val="24"/>
          <w:lang w:eastAsia="it-IT"/>
        </w:rPr>
        <w:t>Flodury</w:t>
      </w:r>
      <w:proofErr w:type="spellEnd"/>
      <w:r w:rsidRPr="00E02F30">
        <w:rPr>
          <w:rFonts w:eastAsia="Times New Roman" w:cs="Arial"/>
          <w:szCs w:val="24"/>
          <w:lang w:eastAsia="it-IT"/>
        </w:rPr>
        <w:t xml:space="preserve"> (L)</w:t>
      </w:r>
    </w:p>
    <w:p w14:paraId="7896F346" w14:textId="77777777" w:rsidR="00E02F30" w:rsidRPr="00E02F30" w:rsidRDefault="00E02F30" w:rsidP="00E02F30">
      <w:pPr>
        <w:spacing w:after="0" w:line="276" w:lineRule="auto"/>
        <w:jc w:val="both"/>
        <w:rPr>
          <w:rFonts w:eastAsia="Times New Roman" w:cs="Arial"/>
          <w:szCs w:val="24"/>
          <w:lang w:eastAsia="it-IT"/>
        </w:rPr>
      </w:pPr>
      <w:r w:rsidRPr="00E02F30">
        <w:rPr>
          <w:rFonts w:eastAsia="Times New Roman" w:cs="Arial"/>
          <w:szCs w:val="24"/>
          <w:lang w:eastAsia="it-IT"/>
        </w:rPr>
        <w:t>4.</w:t>
      </w:r>
      <w:r w:rsidRPr="00E02F30">
        <w:rPr>
          <w:rFonts w:eastAsia="Times New Roman" w:cs="Arial"/>
          <w:szCs w:val="24"/>
          <w:lang w:eastAsia="it-IT"/>
        </w:rPr>
        <w:tab/>
        <w:t xml:space="preserve">Żywice fenolowo-formaldehydowe (F) </w:t>
      </w:r>
    </w:p>
    <w:p w14:paraId="51FFB6D8" w14:textId="77777777" w:rsidR="00E02F30" w:rsidRPr="00E02F30" w:rsidRDefault="00E02F30" w:rsidP="00E02F30">
      <w:pPr>
        <w:spacing w:after="0" w:line="276" w:lineRule="auto"/>
        <w:jc w:val="both"/>
        <w:rPr>
          <w:rFonts w:eastAsia="Times New Roman" w:cs="Arial"/>
          <w:szCs w:val="24"/>
          <w:lang w:eastAsia="it-IT"/>
        </w:rPr>
      </w:pPr>
      <w:r w:rsidRPr="00E02F30">
        <w:rPr>
          <w:rFonts w:eastAsia="Times New Roman" w:cs="Arial"/>
          <w:szCs w:val="24"/>
          <w:lang w:eastAsia="it-IT"/>
        </w:rPr>
        <w:t>5.</w:t>
      </w:r>
      <w:r w:rsidRPr="00E02F30">
        <w:rPr>
          <w:rFonts w:eastAsia="Times New Roman" w:cs="Arial"/>
          <w:szCs w:val="24"/>
          <w:lang w:eastAsia="it-IT"/>
        </w:rPr>
        <w:tab/>
        <w:t>Utwardzacze do żywic epoksydowych (U)</w:t>
      </w:r>
    </w:p>
    <w:p w14:paraId="5A166465" w14:textId="77777777" w:rsidR="00E02F30" w:rsidRPr="00E02F30" w:rsidRDefault="00E02F30" w:rsidP="00E02F30">
      <w:pPr>
        <w:spacing w:after="0" w:line="276" w:lineRule="auto"/>
        <w:jc w:val="both"/>
        <w:rPr>
          <w:rFonts w:eastAsia="Times New Roman" w:cs="Arial"/>
          <w:szCs w:val="24"/>
          <w:lang w:eastAsia="it-IT"/>
        </w:rPr>
      </w:pPr>
      <w:r w:rsidRPr="00E02F30">
        <w:rPr>
          <w:rFonts w:eastAsia="Times New Roman" w:cs="Arial"/>
          <w:szCs w:val="24"/>
          <w:lang w:eastAsia="it-IT"/>
        </w:rPr>
        <w:t>6.</w:t>
      </w:r>
      <w:r w:rsidRPr="00E02F30">
        <w:rPr>
          <w:rFonts w:eastAsia="Times New Roman" w:cs="Arial"/>
          <w:szCs w:val="24"/>
          <w:lang w:eastAsia="it-IT"/>
        </w:rPr>
        <w:tab/>
        <w:t>Nasycone żywice poliestrowe (N)</w:t>
      </w:r>
    </w:p>
    <w:p w14:paraId="28164E0F" w14:textId="77777777" w:rsidR="00E02F30" w:rsidRPr="00E02F30" w:rsidRDefault="00E02F30" w:rsidP="00E02F30">
      <w:pPr>
        <w:spacing w:after="0" w:line="276" w:lineRule="auto"/>
        <w:jc w:val="both"/>
        <w:rPr>
          <w:rFonts w:eastAsia="Times New Roman" w:cs="Arial"/>
          <w:szCs w:val="24"/>
          <w:lang w:eastAsia="it-IT"/>
        </w:rPr>
      </w:pPr>
      <w:r w:rsidRPr="00E02F30">
        <w:rPr>
          <w:rFonts w:eastAsia="Times New Roman" w:cs="Arial"/>
          <w:szCs w:val="24"/>
          <w:lang w:eastAsia="it-IT"/>
        </w:rPr>
        <w:t>- dwie instalacje do wytwarzania przy zastosowaniu procesów chemicznych, środków ochrony roślin</w:t>
      </w:r>
    </w:p>
    <w:p w14:paraId="7ABD6758" w14:textId="77777777" w:rsidR="00E02F30" w:rsidRPr="00E02F30" w:rsidRDefault="00E02F30" w:rsidP="00E02F30">
      <w:pPr>
        <w:spacing w:after="0" w:line="276" w:lineRule="auto"/>
        <w:jc w:val="both"/>
        <w:rPr>
          <w:rFonts w:eastAsia="Times New Roman" w:cs="Arial"/>
          <w:szCs w:val="24"/>
          <w:lang w:eastAsia="it-IT"/>
        </w:rPr>
      </w:pPr>
      <w:r w:rsidRPr="00E02F30">
        <w:rPr>
          <w:rFonts w:eastAsia="Times New Roman" w:cs="Arial"/>
          <w:szCs w:val="24"/>
          <w:lang w:eastAsia="it-IT"/>
        </w:rPr>
        <w:t>7.</w:t>
      </w:r>
      <w:r w:rsidRPr="00E02F30">
        <w:rPr>
          <w:rFonts w:eastAsia="Times New Roman" w:cs="Arial"/>
          <w:szCs w:val="24"/>
          <w:lang w:eastAsia="it-IT"/>
        </w:rPr>
        <w:tab/>
        <w:t>MCPA i MCPP (M)</w:t>
      </w:r>
    </w:p>
    <w:p w14:paraId="4F328943" w14:textId="77777777" w:rsidR="00E02F30" w:rsidRPr="00E02F30" w:rsidRDefault="00E02F30" w:rsidP="00E02F30">
      <w:pPr>
        <w:spacing w:after="0" w:line="276" w:lineRule="auto"/>
        <w:jc w:val="both"/>
        <w:rPr>
          <w:rFonts w:eastAsia="Times New Roman" w:cs="Arial"/>
          <w:szCs w:val="24"/>
          <w:lang w:eastAsia="it-IT"/>
        </w:rPr>
      </w:pPr>
      <w:r w:rsidRPr="00E02F30">
        <w:rPr>
          <w:rFonts w:eastAsia="Times New Roman" w:cs="Arial"/>
          <w:szCs w:val="24"/>
          <w:lang w:eastAsia="it-IT"/>
        </w:rPr>
        <w:t>8.</w:t>
      </w:r>
      <w:r w:rsidRPr="00E02F30">
        <w:rPr>
          <w:rFonts w:eastAsia="Times New Roman" w:cs="Arial"/>
          <w:szCs w:val="24"/>
          <w:lang w:eastAsia="it-IT"/>
        </w:rPr>
        <w:tab/>
        <w:t xml:space="preserve">Estry z estryfikacji </w:t>
      </w:r>
      <w:proofErr w:type="spellStart"/>
      <w:r w:rsidRPr="00E02F30">
        <w:rPr>
          <w:rFonts w:eastAsia="Times New Roman" w:cs="Arial"/>
          <w:szCs w:val="24"/>
          <w:lang w:eastAsia="it-IT"/>
        </w:rPr>
        <w:t>fenoksykwasów</w:t>
      </w:r>
      <w:proofErr w:type="spellEnd"/>
      <w:r w:rsidRPr="00E02F30">
        <w:rPr>
          <w:rFonts w:eastAsia="Times New Roman" w:cs="Arial"/>
          <w:szCs w:val="24"/>
          <w:lang w:eastAsia="it-IT"/>
        </w:rPr>
        <w:t xml:space="preserve"> (D), oraz wygasił pozwolenie zintegrowane udzielone przez Wojewodę Podkarpackiego decyzją z dnia 31 października 2006r. znak: ŚR.III-6618/1/06.</w:t>
      </w:r>
    </w:p>
    <w:p w14:paraId="60C8B790" w14:textId="77777777" w:rsidR="00E02F30" w:rsidRPr="00E02F30" w:rsidRDefault="00E02F30" w:rsidP="00E02F30">
      <w:pPr>
        <w:suppressAutoHyphens/>
        <w:autoSpaceDE w:val="0"/>
        <w:spacing w:after="0" w:line="276" w:lineRule="auto"/>
        <w:jc w:val="both"/>
        <w:rPr>
          <w:rFonts w:eastAsia="Times New Roman" w:cs="Arial"/>
          <w:szCs w:val="24"/>
          <w:lang w:eastAsia="it-IT"/>
        </w:rPr>
      </w:pPr>
      <w:r w:rsidRPr="00E02F30">
        <w:rPr>
          <w:rFonts w:eastAsia="Times New Roman" w:cs="Arial"/>
          <w:szCs w:val="24"/>
          <w:lang w:eastAsia="it-IT"/>
        </w:rPr>
        <w:t>Pozwolenie to Marszałek Województwa Podkarpackiego zmieniał trzy razy na wniosek Prowadzącego instalację.</w:t>
      </w:r>
    </w:p>
    <w:p w14:paraId="0F37028E" w14:textId="77777777" w:rsidR="00E02F30" w:rsidRPr="00E02F30" w:rsidRDefault="00E02F30" w:rsidP="00E02F30">
      <w:pPr>
        <w:suppressAutoHyphens/>
        <w:autoSpaceDE w:val="0"/>
        <w:spacing w:after="0" w:line="276" w:lineRule="auto"/>
        <w:ind w:firstLine="708"/>
        <w:jc w:val="both"/>
        <w:rPr>
          <w:rFonts w:eastAsia="Times New Roman" w:cs="Times New Roman"/>
          <w:szCs w:val="24"/>
          <w:lang w:eastAsia="ar-SA"/>
        </w:rPr>
      </w:pPr>
      <w:r w:rsidRPr="00E02F30">
        <w:rPr>
          <w:rFonts w:eastAsia="Times New Roman" w:cs="Arial"/>
          <w:szCs w:val="24"/>
          <w:lang w:eastAsia="it-IT"/>
        </w:rPr>
        <w:t xml:space="preserve">Pierwsza zmiana pozwolenia zintegrowanego dokonana decyzją z dnia 18 lutego 2020 r. znak: OS-I.7222.16.1.2020.MH dotyczyła oznaczenia prowadzącego instalację zgodnie z art. 189 ust. 2 ustawy Prawo ochrony środowiska. </w:t>
      </w:r>
      <w:r w:rsidRPr="00E02F30">
        <w:rPr>
          <w:rFonts w:eastAsia="Times New Roman" w:cs="Times New Roman"/>
          <w:szCs w:val="24"/>
          <w:lang w:eastAsia="ar-SA"/>
        </w:rPr>
        <w:t xml:space="preserve">Podział dokonany został na mocy uchwały nadzwyczajnego walnego zgromadzenia Spółki: CIECH Sarzyna S.A. o podziale Spółki CIECH Sarzyna, podjętej w dniu 16 grudnia 2019 r. oraz uchwały nadzwyczajnego walnego zgromadzenia CIECH Żywice Sp. z o.o. o podziale Spółki CIECH Sarzyna, podjętej w dniu 16 grudnia 2019 r. Plan podziału uzgodniony został przez zarządy obydwu Spółek w dniu 31 października 2019 r. Na mocy planu podziału uzgodniono, że CIECH Żywice </w:t>
      </w:r>
      <w:r w:rsidRPr="00E02F30">
        <w:rPr>
          <w:rFonts w:eastAsia="Times New Roman" w:cs="Times New Roman"/>
          <w:szCs w:val="24"/>
          <w:lang w:eastAsia="ar-SA"/>
        </w:rPr>
        <w:br/>
        <w:t>Sp. z o.o. nabył tytuł prawny do zorganizowanej części przedsiębiorstwa obejmującej działalność żywic tj.:</w:t>
      </w:r>
    </w:p>
    <w:p w14:paraId="4C69C2FF" w14:textId="77777777" w:rsidR="00E02F30" w:rsidRPr="00E02F30" w:rsidRDefault="00E02F30" w:rsidP="00E02F30">
      <w:pPr>
        <w:suppressAutoHyphens/>
        <w:autoSpaceDE w:val="0"/>
        <w:spacing w:after="0" w:line="276" w:lineRule="auto"/>
        <w:rPr>
          <w:rFonts w:eastAsia="Times New Roman" w:cs="Times New Roman"/>
          <w:szCs w:val="24"/>
          <w:lang w:eastAsia="ar-SA"/>
        </w:rPr>
      </w:pPr>
      <w:r w:rsidRPr="00E02F30">
        <w:rPr>
          <w:rFonts w:eastAsia="Times New Roman" w:cs="Times New Roman"/>
          <w:szCs w:val="24"/>
          <w:lang w:eastAsia="ar-SA"/>
        </w:rPr>
        <w:t>- instalacji nienasyconych żywic poliestrowych (Z),</w:t>
      </w:r>
    </w:p>
    <w:p w14:paraId="106AA06F" w14:textId="77777777" w:rsidR="00E02F30" w:rsidRPr="00E02F30" w:rsidRDefault="00E02F30" w:rsidP="00E02F30">
      <w:pPr>
        <w:suppressAutoHyphens/>
        <w:autoSpaceDE w:val="0"/>
        <w:spacing w:after="0" w:line="276" w:lineRule="auto"/>
        <w:rPr>
          <w:rFonts w:eastAsia="Times New Roman" w:cs="Times New Roman"/>
          <w:szCs w:val="24"/>
          <w:lang w:eastAsia="ar-SA"/>
        </w:rPr>
      </w:pPr>
      <w:r w:rsidRPr="00E02F30">
        <w:rPr>
          <w:rFonts w:eastAsia="Times New Roman" w:cs="Times New Roman"/>
          <w:szCs w:val="24"/>
          <w:lang w:eastAsia="ar-SA"/>
        </w:rPr>
        <w:t>- instalacji żywic epoksydowych (E),</w:t>
      </w:r>
    </w:p>
    <w:p w14:paraId="65997619" w14:textId="77777777" w:rsidR="00E02F30" w:rsidRPr="00E02F30" w:rsidRDefault="00E02F30" w:rsidP="00E02F30">
      <w:pPr>
        <w:suppressAutoHyphens/>
        <w:autoSpaceDE w:val="0"/>
        <w:spacing w:after="0" w:line="276" w:lineRule="auto"/>
        <w:rPr>
          <w:rFonts w:eastAsia="Times New Roman" w:cs="Times New Roman"/>
          <w:szCs w:val="24"/>
          <w:lang w:eastAsia="ar-SA"/>
        </w:rPr>
      </w:pPr>
      <w:r w:rsidRPr="00E02F30">
        <w:rPr>
          <w:rFonts w:eastAsia="Times New Roman" w:cs="Times New Roman"/>
          <w:szCs w:val="24"/>
          <w:lang w:eastAsia="ar-SA"/>
        </w:rPr>
        <w:t xml:space="preserve">- instalacji </w:t>
      </w:r>
      <w:proofErr w:type="spellStart"/>
      <w:r w:rsidRPr="00E02F30">
        <w:rPr>
          <w:rFonts w:eastAsia="Times New Roman" w:cs="Times New Roman"/>
          <w:szCs w:val="24"/>
          <w:lang w:eastAsia="ar-SA"/>
        </w:rPr>
        <w:t>flodurów</w:t>
      </w:r>
      <w:proofErr w:type="spellEnd"/>
      <w:r w:rsidRPr="00E02F30">
        <w:rPr>
          <w:rFonts w:eastAsia="Times New Roman" w:cs="Times New Roman"/>
          <w:szCs w:val="24"/>
          <w:lang w:eastAsia="ar-SA"/>
        </w:rPr>
        <w:t xml:space="preserve"> (L),</w:t>
      </w:r>
    </w:p>
    <w:p w14:paraId="4B548AA0" w14:textId="77777777" w:rsidR="00E02F30" w:rsidRPr="00E02F30" w:rsidRDefault="00E02F30" w:rsidP="00E02F30">
      <w:pPr>
        <w:suppressAutoHyphens/>
        <w:autoSpaceDE w:val="0"/>
        <w:spacing w:after="0" w:line="276" w:lineRule="auto"/>
        <w:rPr>
          <w:rFonts w:eastAsia="Times New Roman" w:cs="Times New Roman"/>
          <w:szCs w:val="24"/>
          <w:lang w:eastAsia="ar-SA"/>
        </w:rPr>
      </w:pPr>
      <w:r w:rsidRPr="00E02F30">
        <w:rPr>
          <w:rFonts w:eastAsia="Times New Roman" w:cs="Times New Roman"/>
          <w:szCs w:val="24"/>
          <w:lang w:eastAsia="ar-SA"/>
        </w:rPr>
        <w:t>- instalacji żywic fenolowo-formaldehydowych (F),</w:t>
      </w:r>
    </w:p>
    <w:p w14:paraId="05570B66" w14:textId="77777777" w:rsidR="00E02F30" w:rsidRPr="00E02F30" w:rsidRDefault="00E02F30" w:rsidP="00E02F30">
      <w:pPr>
        <w:suppressAutoHyphens/>
        <w:autoSpaceDE w:val="0"/>
        <w:spacing w:after="0" w:line="276" w:lineRule="auto"/>
        <w:rPr>
          <w:rFonts w:eastAsia="Times New Roman" w:cs="Times New Roman"/>
          <w:szCs w:val="24"/>
          <w:lang w:eastAsia="ar-SA"/>
        </w:rPr>
      </w:pPr>
      <w:r w:rsidRPr="00E02F30">
        <w:rPr>
          <w:rFonts w:eastAsia="Times New Roman" w:cs="Times New Roman"/>
          <w:szCs w:val="24"/>
          <w:lang w:eastAsia="ar-SA"/>
        </w:rPr>
        <w:t>- instalacji utwardzaczy do żywic epoksydowych (U),</w:t>
      </w:r>
    </w:p>
    <w:p w14:paraId="775CF169" w14:textId="77777777" w:rsidR="00E02F30" w:rsidRPr="00E02F30" w:rsidRDefault="00E02F30" w:rsidP="00E02F30">
      <w:pPr>
        <w:suppressAutoHyphens/>
        <w:autoSpaceDE w:val="0"/>
        <w:spacing w:after="0" w:line="276" w:lineRule="auto"/>
        <w:rPr>
          <w:rFonts w:eastAsia="Times New Roman" w:cs="Times New Roman"/>
          <w:szCs w:val="24"/>
          <w:lang w:eastAsia="ar-SA"/>
        </w:rPr>
      </w:pPr>
      <w:r w:rsidRPr="00E02F30">
        <w:rPr>
          <w:rFonts w:eastAsia="Times New Roman" w:cs="Times New Roman"/>
          <w:szCs w:val="24"/>
          <w:lang w:eastAsia="ar-SA"/>
        </w:rPr>
        <w:t>- instalacji nasyconych żywic poliestrowych (N).</w:t>
      </w:r>
    </w:p>
    <w:p w14:paraId="43A6538A" w14:textId="77777777" w:rsidR="00E02F30" w:rsidRPr="00E02F30" w:rsidRDefault="00E02F30" w:rsidP="00E02F30">
      <w:pPr>
        <w:suppressAutoHyphens/>
        <w:autoSpaceDE w:val="0"/>
        <w:spacing w:after="0" w:line="276" w:lineRule="auto"/>
        <w:jc w:val="both"/>
        <w:rPr>
          <w:rFonts w:eastAsia="Times New Roman" w:cs="Arial"/>
          <w:szCs w:val="24"/>
          <w:lang w:eastAsia="ar-SA"/>
        </w:rPr>
      </w:pPr>
      <w:r w:rsidRPr="00E02F30">
        <w:rPr>
          <w:rFonts w:eastAsia="Times New Roman" w:cs="Times New Roman"/>
          <w:szCs w:val="24"/>
          <w:lang w:eastAsia="ar-SA"/>
        </w:rPr>
        <w:t xml:space="preserve">Uprawnionym do władania instalacją </w:t>
      </w:r>
      <w:r w:rsidRPr="00E02F30">
        <w:rPr>
          <w:rFonts w:eastAsia="Times New Roman" w:cs="Arial"/>
          <w:szCs w:val="24"/>
          <w:lang w:eastAsia="ar-SA"/>
        </w:rPr>
        <w:t>MCPA i MCPP (M) oraz</w:t>
      </w:r>
      <w:r w:rsidRPr="00E02F30">
        <w:rPr>
          <w:rFonts w:eastAsia="Times New Roman" w:cs="Times New Roman"/>
          <w:szCs w:val="24"/>
          <w:lang w:eastAsia="ar-SA"/>
        </w:rPr>
        <w:t xml:space="preserve"> instalacją </w:t>
      </w:r>
      <w:r w:rsidRPr="00E02F30">
        <w:rPr>
          <w:rFonts w:eastAsia="Times New Roman" w:cs="Arial"/>
          <w:szCs w:val="24"/>
          <w:lang w:eastAsia="ar-SA"/>
        </w:rPr>
        <w:t xml:space="preserve">estrów z estryfikacji </w:t>
      </w:r>
      <w:proofErr w:type="spellStart"/>
      <w:r w:rsidRPr="00E02F30">
        <w:rPr>
          <w:rFonts w:eastAsia="Times New Roman" w:cs="Arial"/>
          <w:szCs w:val="24"/>
          <w:lang w:eastAsia="ar-SA"/>
        </w:rPr>
        <w:t>fenoksykwasów</w:t>
      </w:r>
      <w:proofErr w:type="spellEnd"/>
      <w:r w:rsidRPr="00E02F30">
        <w:rPr>
          <w:rFonts w:eastAsia="Times New Roman" w:cs="Arial"/>
          <w:szCs w:val="24"/>
          <w:lang w:eastAsia="ar-SA"/>
        </w:rPr>
        <w:t xml:space="preserve"> (D) pozostaje Spółka: CIECH Sarzyna S.A.</w:t>
      </w:r>
    </w:p>
    <w:p w14:paraId="5EDF9B7D" w14:textId="77777777" w:rsidR="00E02F30" w:rsidRPr="00E02F30" w:rsidRDefault="00E02F30" w:rsidP="00E02F30">
      <w:pPr>
        <w:suppressAutoHyphens/>
        <w:autoSpaceDE w:val="0"/>
        <w:spacing w:after="0" w:line="276" w:lineRule="auto"/>
        <w:jc w:val="both"/>
        <w:rPr>
          <w:rFonts w:eastAsia="Times New Roman" w:cs="Arial"/>
          <w:szCs w:val="24"/>
          <w:lang w:eastAsia="ar-SA"/>
        </w:rPr>
      </w:pPr>
      <w:r w:rsidRPr="00E02F30">
        <w:rPr>
          <w:rFonts w:eastAsia="Times New Roman" w:cs="Arial"/>
          <w:szCs w:val="24"/>
          <w:lang w:eastAsia="ar-SA"/>
        </w:rPr>
        <w:tab/>
        <w:t>Druga zmiana pozwolenia dokonana decyzją z dnia 19 czerwca 2020 r. znak: OS-I.7222.16.12.2020.MH</w:t>
      </w:r>
      <w:r w:rsidRPr="00E02F30">
        <w:rPr>
          <w:rFonts w:eastAsia="Times New Roman" w:cs="Arial"/>
          <w:b/>
          <w:szCs w:val="24"/>
          <w:lang w:eastAsia="ar-SA"/>
        </w:rPr>
        <w:tab/>
      </w:r>
      <w:r w:rsidRPr="00E02F30">
        <w:rPr>
          <w:rFonts w:eastAsia="Times New Roman" w:cs="Arial"/>
          <w:szCs w:val="24"/>
          <w:lang w:eastAsia="ar-SA"/>
        </w:rPr>
        <w:t xml:space="preserve"> dotyczyła zmiany punktu IX pozwolenia, mówiącego o obowiązku przekazywania corocznej informacji pozwalającej na przeprowadzenie oceny zgodności z warunkami określonymi w pozwoleniu, w związku z przeprowadzonym podziałem Spółki: CIECH Sarzyna S.A. Ustalono, że raporty z monitoringu instalacji objętych przedmiotowym pozwoleniem wykonywane i przedkładane będą </w:t>
      </w:r>
      <w:r w:rsidRPr="00E02F30">
        <w:rPr>
          <w:rFonts w:eastAsia="Calibri" w:cs="Arial"/>
          <w:szCs w:val="24"/>
          <w:lang w:eastAsia="ar-SA"/>
        </w:rPr>
        <w:t>przez Spółkę: CIECH Sarzyna S.A., natomiast CIECH Żywice Sp. z o.o. zamieści jedynie informacje o raportowaniu ich przez Spółkę: CIECH Sarzyna S.A.</w:t>
      </w:r>
    </w:p>
    <w:p w14:paraId="435CF9C1" w14:textId="77777777" w:rsidR="00E02F30" w:rsidRPr="00E02F30" w:rsidRDefault="00E02F30" w:rsidP="00E02F30">
      <w:pPr>
        <w:autoSpaceDE w:val="0"/>
        <w:autoSpaceDN w:val="0"/>
        <w:adjustRightInd w:val="0"/>
        <w:spacing w:after="0" w:line="276" w:lineRule="auto"/>
        <w:jc w:val="both"/>
        <w:rPr>
          <w:rFonts w:eastAsia="Times New Roman" w:cs="Arial"/>
          <w:szCs w:val="24"/>
          <w:lang w:eastAsia="pl-PL"/>
        </w:rPr>
      </w:pPr>
      <w:r w:rsidRPr="00E02F30">
        <w:rPr>
          <w:rFonts w:eastAsia="Times New Roman" w:cs="Times New Roman"/>
          <w:szCs w:val="24"/>
          <w:lang w:eastAsia="pl-PL"/>
        </w:rPr>
        <w:tab/>
        <w:t xml:space="preserve">Trzecia zmiana pozwolenia dokonana została decyzją z dnia 13 lipca 2021 r. znak:  </w:t>
      </w:r>
      <w:r w:rsidRPr="00E02F30">
        <w:rPr>
          <w:rFonts w:eastAsia="Times New Roman" w:cs="Arial"/>
          <w:szCs w:val="24"/>
          <w:lang w:eastAsia="pl-PL"/>
        </w:rPr>
        <w:t>OS-I.7222.21.17.2021.MH, a</w:t>
      </w:r>
      <w:r w:rsidRPr="00E02F30">
        <w:rPr>
          <w:rFonts w:eastAsia="Times New Roman" w:cs="Times New Roman"/>
          <w:szCs w:val="24"/>
          <w:lang w:eastAsia="pl-PL"/>
        </w:rPr>
        <w:t xml:space="preserve"> </w:t>
      </w:r>
      <w:r w:rsidRPr="00E02F30">
        <w:rPr>
          <w:rFonts w:eastAsia="Times New Roman" w:cs="Arial"/>
          <w:szCs w:val="24"/>
          <w:lang w:eastAsia="pl-PL"/>
        </w:rPr>
        <w:t xml:space="preserve">dotyczyła zmiany pozwolenia w zakresie oznaczenia prowadzącego instalację zgodnie z art. 189 ust. 2 ustawy Prawo ochrony środowiska, a mianowicie </w:t>
      </w:r>
      <w:r w:rsidRPr="00E02F30">
        <w:rPr>
          <w:rFonts w:eastAsia="Times New Roman" w:cs="Times New Roman"/>
          <w:szCs w:val="24"/>
          <w:lang w:eastAsia="pl-PL"/>
        </w:rPr>
        <w:t xml:space="preserve">CIECH Żywice Sp. z o.o., posiadająca tytuł prawny do sześciu instalacji zmieniła nazwę na Sarzyna </w:t>
      </w:r>
      <w:proofErr w:type="spellStart"/>
      <w:r w:rsidRPr="00E02F30">
        <w:rPr>
          <w:rFonts w:eastAsia="Times New Roman" w:cs="Times New Roman"/>
          <w:szCs w:val="24"/>
          <w:lang w:eastAsia="pl-PL"/>
        </w:rPr>
        <w:t>Chemical</w:t>
      </w:r>
      <w:proofErr w:type="spellEnd"/>
      <w:r w:rsidRPr="00E02F30">
        <w:rPr>
          <w:rFonts w:eastAsia="Times New Roman" w:cs="Times New Roman"/>
          <w:szCs w:val="24"/>
          <w:lang w:eastAsia="pl-PL"/>
        </w:rPr>
        <w:t xml:space="preserve"> Sp. z o.o.</w:t>
      </w:r>
    </w:p>
    <w:p w14:paraId="60E637CE" w14:textId="77777777" w:rsidR="00E02F30" w:rsidRPr="00E02F30" w:rsidRDefault="00E02F30" w:rsidP="00E02F30">
      <w:pPr>
        <w:autoSpaceDE w:val="0"/>
        <w:autoSpaceDN w:val="0"/>
        <w:adjustRightInd w:val="0"/>
        <w:spacing w:after="0" w:line="276" w:lineRule="auto"/>
        <w:jc w:val="both"/>
        <w:rPr>
          <w:rFonts w:eastAsia="Times New Roman" w:cs="Times New Roman"/>
          <w:szCs w:val="24"/>
          <w:lang w:eastAsia="pl-PL"/>
        </w:rPr>
      </w:pPr>
      <w:r w:rsidRPr="00E02F30">
        <w:rPr>
          <w:rFonts w:eastAsia="Times New Roman" w:cs="Times New Roman"/>
          <w:szCs w:val="24"/>
          <w:lang w:eastAsia="pl-PL"/>
        </w:rPr>
        <w:t xml:space="preserve">Nowa nazwa Spółki wpisana została do Krajowego Rejestru Sądowego, prowadzonego przez Sąd Rejonowy w Rzeszowie, XII Wydział Gospodarczy KRS, </w:t>
      </w:r>
      <w:r w:rsidRPr="00E02F30">
        <w:rPr>
          <w:rFonts w:eastAsia="Times New Roman" w:cs="Times New Roman"/>
          <w:szCs w:val="24"/>
          <w:lang w:eastAsia="pl-PL"/>
        </w:rPr>
        <w:br/>
        <w:t xml:space="preserve">w dniu 20 maja 2021 r., pod numerem KRS 0000643555. Adres siedziby Spółki, REGON oraz NIP pozostały bez zmian. </w:t>
      </w:r>
    </w:p>
    <w:p w14:paraId="7AF7B9BE" w14:textId="77777777" w:rsidR="00E02F30" w:rsidRPr="00E02F30" w:rsidRDefault="00E02F30" w:rsidP="00E02F30">
      <w:pPr>
        <w:spacing w:after="0" w:line="276" w:lineRule="auto"/>
        <w:ind w:firstLine="708"/>
        <w:jc w:val="both"/>
        <w:rPr>
          <w:rFonts w:eastAsia="Times New Roman" w:cs="Arial"/>
          <w:szCs w:val="24"/>
          <w:shd w:val="clear" w:color="auto" w:fill="FFFFFF"/>
          <w:lang w:eastAsia="pl-PL"/>
        </w:rPr>
      </w:pPr>
      <w:r w:rsidRPr="00E02F30">
        <w:rPr>
          <w:rFonts w:eastAsia="Times New Roman" w:cs="Times New Roman"/>
          <w:szCs w:val="24"/>
          <w:lang w:eastAsia="pl-PL"/>
        </w:rPr>
        <w:t xml:space="preserve">Z uwagi na potrzebę </w:t>
      </w:r>
      <w:r w:rsidRPr="00E02F30">
        <w:rPr>
          <w:rFonts w:eastAsia="Times New Roman" w:cs="Arial"/>
          <w:szCs w:val="24"/>
          <w:lang w:eastAsia="it-IT"/>
        </w:rPr>
        <w:t xml:space="preserve">uporządkowania wszystkich zapisów pozwolenia zintegrowanego wynikających ze zmian technologicznych i organizacyjnych jakie zaistniały na przestrzeni czasu, w tym zmian we władaniu niektórych terenów w Spółce, które wcześniej stanowiły jednolity obszar zakładu, Spółka: </w:t>
      </w:r>
      <w:r w:rsidRPr="00E02F30">
        <w:rPr>
          <w:rFonts w:eastAsia="Times New Roman" w:cs="Arial"/>
          <w:szCs w:val="24"/>
          <w:lang w:eastAsia="pl-PL"/>
        </w:rPr>
        <w:t xml:space="preserve">Sarzyna </w:t>
      </w:r>
      <w:proofErr w:type="spellStart"/>
      <w:r w:rsidRPr="00E02F30">
        <w:rPr>
          <w:rFonts w:eastAsia="Times New Roman" w:cs="Arial"/>
          <w:szCs w:val="24"/>
          <w:lang w:eastAsia="pl-PL"/>
        </w:rPr>
        <w:t>Chemical</w:t>
      </w:r>
      <w:proofErr w:type="spellEnd"/>
      <w:r w:rsidRPr="00E02F30">
        <w:rPr>
          <w:rFonts w:eastAsia="Times New Roman" w:cs="Arial"/>
          <w:szCs w:val="24"/>
          <w:lang w:eastAsia="pl-PL"/>
        </w:rPr>
        <w:t xml:space="preserve"> Sp. z  o.o. </w:t>
      </w:r>
      <w:r w:rsidRPr="00E02F30">
        <w:rPr>
          <w:rFonts w:eastAsia="Calibri" w:cs="Arial"/>
          <w:szCs w:val="24"/>
          <w:lang w:eastAsia="pl-PL"/>
        </w:rPr>
        <w:t>ul. Chemików 1, 37-310 Nowa Sarzyna (NIP 7010625863, REGON 365703807)</w:t>
      </w:r>
      <w:r w:rsidRPr="00E02F30">
        <w:rPr>
          <w:rFonts w:eastAsia="Times New Roman" w:cs="Times New Roman"/>
          <w:szCs w:val="24"/>
          <w:lang w:eastAsia="pl-PL"/>
        </w:rPr>
        <w:t xml:space="preserve"> w dniu 24 października 2023 r. </w:t>
      </w:r>
      <w:r w:rsidRPr="00E02F30">
        <w:rPr>
          <w:rFonts w:eastAsia="Times New Roman" w:cs="Arial"/>
          <w:szCs w:val="24"/>
          <w:lang w:eastAsia="pl-PL"/>
        </w:rPr>
        <w:t xml:space="preserve">wystąpiła do tutejszego organu </w:t>
      </w:r>
      <w:r w:rsidRPr="00E02F30">
        <w:rPr>
          <w:rFonts w:eastAsia="Calibri" w:cs="Arial"/>
          <w:szCs w:val="24"/>
          <w:lang w:eastAsia="pl-PL"/>
        </w:rPr>
        <w:t xml:space="preserve">o wydanie trzech </w:t>
      </w:r>
      <w:r w:rsidRPr="00E02F30">
        <w:rPr>
          <w:rFonts w:eastAsia="Times New Roman" w:cs="Arial"/>
          <w:szCs w:val="24"/>
          <w:shd w:val="clear" w:color="auto" w:fill="FFFFFF"/>
          <w:lang w:eastAsia="pl-PL"/>
        </w:rPr>
        <w:t>nowych pozwoleń zintegrowanych (PZ1,PZ2,PZ3) na prowadzenie instalacji w przemyśle chemicznym do wytwarzania przy zastosowaniu procesów chemicznych organicznych substancji chemicznych:</w:t>
      </w:r>
    </w:p>
    <w:p w14:paraId="0C9D9B0C" w14:textId="77777777" w:rsidR="00E02F30" w:rsidRPr="00E02F30" w:rsidRDefault="00E02F30">
      <w:pPr>
        <w:numPr>
          <w:ilvl w:val="0"/>
          <w:numId w:val="71"/>
        </w:numPr>
        <w:spacing w:after="0" w:line="240" w:lineRule="auto"/>
        <w:ind w:left="709" w:hanging="349"/>
        <w:jc w:val="both"/>
        <w:rPr>
          <w:rFonts w:eastAsia="Times New Roman" w:cs="Arial"/>
          <w:szCs w:val="24"/>
          <w:lang w:eastAsia="pl-PL"/>
        </w:rPr>
      </w:pPr>
      <w:r w:rsidRPr="00E02F30">
        <w:rPr>
          <w:rFonts w:eastAsia="Times New Roman" w:cs="Arial"/>
          <w:szCs w:val="24"/>
          <w:shd w:val="clear" w:color="auto" w:fill="FFFFFF"/>
          <w:lang w:eastAsia="pl-PL"/>
        </w:rPr>
        <w:t xml:space="preserve">PZ1: </w:t>
      </w:r>
      <w:bookmarkStart w:id="22" w:name="_Hlk167191422"/>
      <w:r w:rsidRPr="00E02F30">
        <w:rPr>
          <w:rFonts w:eastAsia="Times New Roman" w:cs="Arial"/>
          <w:szCs w:val="24"/>
          <w:shd w:val="clear" w:color="auto" w:fill="FFFFFF"/>
          <w:lang w:eastAsia="pl-PL"/>
        </w:rPr>
        <w:t xml:space="preserve">– </w:t>
      </w:r>
      <w:bookmarkEnd w:id="22"/>
      <w:r w:rsidRPr="00E02F30">
        <w:rPr>
          <w:rFonts w:eastAsia="Times New Roman" w:cs="Arial"/>
          <w:szCs w:val="24"/>
          <w:shd w:val="clear" w:color="auto" w:fill="FFFFFF"/>
          <w:lang w:eastAsia="pl-PL"/>
        </w:rPr>
        <w:t xml:space="preserve">Instalacja </w:t>
      </w:r>
      <w:r w:rsidRPr="00E02F30">
        <w:rPr>
          <w:rFonts w:eastAsia="Times New Roman" w:cs="Arial"/>
          <w:szCs w:val="24"/>
          <w:lang w:eastAsia="pl-PL"/>
        </w:rPr>
        <w:t>Żywic Epoksydowych (E),</w:t>
      </w:r>
    </w:p>
    <w:p w14:paraId="1551D9ED" w14:textId="77777777" w:rsidR="00E02F30" w:rsidRPr="00E02F30" w:rsidRDefault="00E02F30" w:rsidP="00E02F30">
      <w:pPr>
        <w:spacing w:after="0" w:line="240" w:lineRule="auto"/>
        <w:ind w:left="567" w:firstLine="708"/>
        <w:jc w:val="both"/>
        <w:rPr>
          <w:rFonts w:eastAsia="Times New Roman" w:cs="Arial"/>
          <w:szCs w:val="24"/>
          <w:lang w:eastAsia="pl-PL"/>
        </w:rPr>
      </w:pPr>
      <w:r w:rsidRPr="00E02F30">
        <w:rPr>
          <w:rFonts w:eastAsia="Times New Roman" w:cs="Arial"/>
          <w:szCs w:val="24"/>
          <w:shd w:val="clear" w:color="auto" w:fill="FFFFFF"/>
          <w:lang w:eastAsia="pl-PL"/>
        </w:rPr>
        <w:t xml:space="preserve">– </w:t>
      </w:r>
      <w:r w:rsidRPr="00E02F30">
        <w:rPr>
          <w:rFonts w:eastAsia="Times New Roman" w:cs="Arial"/>
          <w:szCs w:val="24"/>
          <w:lang w:eastAsia="pl-PL"/>
        </w:rPr>
        <w:t xml:space="preserve">Instalacja </w:t>
      </w:r>
      <w:proofErr w:type="spellStart"/>
      <w:r w:rsidRPr="00E02F30">
        <w:rPr>
          <w:rFonts w:eastAsia="Times New Roman" w:cs="Arial"/>
          <w:szCs w:val="24"/>
          <w:lang w:eastAsia="pl-PL"/>
        </w:rPr>
        <w:t>Flodurów</w:t>
      </w:r>
      <w:proofErr w:type="spellEnd"/>
      <w:r w:rsidRPr="00E02F30">
        <w:rPr>
          <w:rFonts w:eastAsia="Times New Roman" w:cs="Arial"/>
          <w:szCs w:val="24"/>
          <w:lang w:eastAsia="pl-PL"/>
        </w:rPr>
        <w:t xml:space="preserve"> (L)</w:t>
      </w:r>
    </w:p>
    <w:p w14:paraId="00222647" w14:textId="77777777" w:rsidR="00E02F30" w:rsidRPr="00E02F30" w:rsidRDefault="00E02F30" w:rsidP="00E02F30">
      <w:pPr>
        <w:spacing w:after="0" w:line="240" w:lineRule="auto"/>
        <w:ind w:left="567" w:firstLine="708"/>
        <w:jc w:val="both"/>
        <w:rPr>
          <w:rFonts w:eastAsia="Times New Roman" w:cs="Arial"/>
          <w:szCs w:val="24"/>
          <w:lang w:eastAsia="pl-PL"/>
        </w:rPr>
      </w:pPr>
      <w:r w:rsidRPr="00E02F30">
        <w:rPr>
          <w:rFonts w:eastAsia="Times New Roman" w:cs="Arial"/>
          <w:szCs w:val="24"/>
          <w:shd w:val="clear" w:color="auto" w:fill="FFFFFF"/>
          <w:lang w:eastAsia="pl-PL"/>
        </w:rPr>
        <w:t xml:space="preserve">– </w:t>
      </w:r>
      <w:r w:rsidRPr="00E02F30">
        <w:rPr>
          <w:rFonts w:eastAsia="Times New Roman" w:cs="Arial"/>
          <w:szCs w:val="24"/>
          <w:lang w:eastAsia="pl-PL"/>
        </w:rPr>
        <w:t>Instalacja Nasyconych Żywic Poliestrowych (N),</w:t>
      </w:r>
    </w:p>
    <w:p w14:paraId="392328B7" w14:textId="77777777" w:rsidR="00E02F30" w:rsidRPr="00E02F30" w:rsidRDefault="00E02F30">
      <w:pPr>
        <w:numPr>
          <w:ilvl w:val="0"/>
          <w:numId w:val="71"/>
        </w:numPr>
        <w:spacing w:after="0" w:line="240" w:lineRule="auto"/>
        <w:jc w:val="center"/>
        <w:rPr>
          <w:rFonts w:eastAsia="Times New Roman" w:cs="Arial"/>
          <w:szCs w:val="24"/>
          <w:lang w:eastAsia="pl-PL"/>
        </w:rPr>
      </w:pPr>
      <w:r w:rsidRPr="00E02F30">
        <w:rPr>
          <w:rFonts w:eastAsia="Times New Roman" w:cs="Arial"/>
          <w:szCs w:val="24"/>
          <w:shd w:val="clear" w:color="auto" w:fill="FFFFFF"/>
          <w:lang w:eastAsia="pl-PL"/>
        </w:rPr>
        <w:t>PZ2</w:t>
      </w:r>
      <w:r w:rsidRPr="00E02F30">
        <w:rPr>
          <w:rFonts w:eastAsia="Times New Roman" w:cs="Arial"/>
          <w:szCs w:val="24"/>
          <w:lang w:eastAsia="pl-PL"/>
        </w:rPr>
        <w:t>: – Instalacja Żywic Fenolowo-Formaldehydowych (F)</w:t>
      </w:r>
    </w:p>
    <w:p w14:paraId="14DDD3CB" w14:textId="77777777" w:rsidR="00E02F30" w:rsidRPr="00E02F30" w:rsidRDefault="00E02F30" w:rsidP="00E02F30">
      <w:pPr>
        <w:spacing w:after="0" w:line="240" w:lineRule="auto"/>
        <w:ind w:left="708" w:firstLine="568"/>
        <w:rPr>
          <w:rFonts w:eastAsia="Times New Roman" w:cs="Arial"/>
          <w:szCs w:val="24"/>
          <w:lang w:eastAsia="pl-PL"/>
        </w:rPr>
      </w:pPr>
      <w:r w:rsidRPr="00E02F30">
        <w:rPr>
          <w:rFonts w:eastAsia="Times New Roman" w:cs="Arial"/>
          <w:szCs w:val="24"/>
          <w:lang w:eastAsia="pl-PL"/>
        </w:rPr>
        <w:t>– Instalacja Utwardzaczy do Żywic Epoksydowych (U)</w:t>
      </w:r>
    </w:p>
    <w:p w14:paraId="1D12D669" w14:textId="77777777" w:rsidR="00E02F30" w:rsidRPr="00E02F30" w:rsidRDefault="00E02F30">
      <w:pPr>
        <w:numPr>
          <w:ilvl w:val="0"/>
          <w:numId w:val="71"/>
        </w:numPr>
        <w:spacing w:after="0" w:line="240" w:lineRule="auto"/>
        <w:jc w:val="center"/>
        <w:rPr>
          <w:rFonts w:eastAsia="Times New Roman" w:cs="Arial"/>
          <w:szCs w:val="24"/>
          <w:lang w:eastAsia="pl-PL"/>
        </w:rPr>
      </w:pPr>
      <w:r w:rsidRPr="00E02F30">
        <w:rPr>
          <w:rFonts w:eastAsia="Times New Roman" w:cs="Arial"/>
          <w:szCs w:val="24"/>
          <w:shd w:val="clear" w:color="auto" w:fill="FFFFFF"/>
          <w:lang w:eastAsia="pl-PL"/>
        </w:rPr>
        <w:t>PZ3</w:t>
      </w:r>
      <w:r w:rsidRPr="00E02F30">
        <w:rPr>
          <w:rFonts w:eastAsia="Times New Roman" w:cs="Arial"/>
          <w:szCs w:val="24"/>
          <w:lang w:eastAsia="pl-PL"/>
        </w:rPr>
        <w:t>: – Instalacja Nienasyconych Żywic Poliestrowych (Z)</w:t>
      </w:r>
    </w:p>
    <w:p w14:paraId="76B82E71" w14:textId="77777777" w:rsidR="00E02F30" w:rsidRPr="00E02F30" w:rsidRDefault="00E02F30" w:rsidP="00E02F30">
      <w:pPr>
        <w:spacing w:after="0" w:line="276" w:lineRule="auto"/>
        <w:jc w:val="both"/>
        <w:rPr>
          <w:rFonts w:eastAsia="Times New Roman" w:cs="Arial"/>
          <w:szCs w:val="24"/>
          <w:shd w:val="clear" w:color="auto" w:fill="FFFFFF"/>
          <w:lang w:eastAsia="pl-PL"/>
        </w:rPr>
      </w:pPr>
    </w:p>
    <w:p w14:paraId="12DA9D04" w14:textId="77777777" w:rsidR="00E02F30" w:rsidRPr="00E02F30" w:rsidRDefault="00E02F30" w:rsidP="00E02F30">
      <w:pPr>
        <w:spacing w:after="0" w:line="276" w:lineRule="auto"/>
        <w:ind w:firstLine="708"/>
        <w:jc w:val="both"/>
        <w:rPr>
          <w:rFonts w:eastAsia="Times New Roman" w:cs="Arial"/>
          <w:szCs w:val="24"/>
          <w:u w:val="single"/>
          <w:lang w:eastAsia="it-IT"/>
        </w:rPr>
      </w:pPr>
      <w:r w:rsidRPr="00E02F30">
        <w:rPr>
          <w:rFonts w:eastAsia="Times New Roman" w:cs="Arial"/>
          <w:szCs w:val="24"/>
          <w:u w:val="single"/>
          <w:shd w:val="clear" w:color="auto" w:fill="FFFFFF"/>
          <w:lang w:eastAsia="pl-PL"/>
        </w:rPr>
        <w:t>Niniejsza decyzja dotyczy udzielenia pozwolenia zintegrowanego (PZ3)</w:t>
      </w:r>
      <w:r w:rsidRPr="00E02F30">
        <w:rPr>
          <w:rFonts w:eastAsia="Calibri" w:cs="Arial"/>
          <w:b/>
          <w:bCs/>
          <w:szCs w:val="24"/>
          <w:u w:val="single"/>
        </w:rPr>
        <w:t xml:space="preserve"> </w:t>
      </w:r>
      <w:r w:rsidRPr="00E02F30">
        <w:rPr>
          <w:rFonts w:eastAsia="Times New Roman" w:cs="Arial"/>
          <w:szCs w:val="24"/>
          <w:u w:val="single"/>
          <w:shd w:val="clear" w:color="auto" w:fill="FFFFFF"/>
          <w:lang w:eastAsia="pl-PL"/>
        </w:rPr>
        <w:t xml:space="preserve">dla Instalacji Nienasyconych Żywic Poliestrowych (Z) </w:t>
      </w:r>
      <w:r w:rsidRPr="00E02F30">
        <w:rPr>
          <w:rFonts w:eastAsia="Times New Roman" w:cs="Arial"/>
          <w:szCs w:val="24"/>
          <w:u w:val="single"/>
          <w:lang w:eastAsia="it-IT"/>
        </w:rPr>
        <w:t xml:space="preserve">zlokalizowanej na terenie Spółki: </w:t>
      </w:r>
      <w:r w:rsidRPr="00E02F30">
        <w:rPr>
          <w:rFonts w:eastAsia="Times New Roman" w:cs="Arial"/>
          <w:szCs w:val="24"/>
          <w:u w:val="single"/>
          <w:lang w:eastAsia="pl-PL"/>
        </w:rPr>
        <w:t xml:space="preserve">Sarzyna </w:t>
      </w:r>
      <w:proofErr w:type="spellStart"/>
      <w:r w:rsidRPr="00E02F30">
        <w:rPr>
          <w:rFonts w:eastAsia="Times New Roman" w:cs="Arial"/>
          <w:szCs w:val="24"/>
          <w:u w:val="single"/>
          <w:lang w:eastAsia="pl-PL"/>
        </w:rPr>
        <w:t>Chemical</w:t>
      </w:r>
      <w:proofErr w:type="spellEnd"/>
      <w:r w:rsidRPr="00E02F30">
        <w:rPr>
          <w:rFonts w:eastAsia="Times New Roman" w:cs="Arial"/>
          <w:szCs w:val="24"/>
          <w:u w:val="single"/>
          <w:lang w:eastAsia="pl-PL"/>
        </w:rPr>
        <w:t xml:space="preserve"> Sp. z o.o. </w:t>
      </w:r>
      <w:r w:rsidRPr="00E02F30">
        <w:rPr>
          <w:rFonts w:eastAsia="Calibri" w:cs="Arial"/>
          <w:szCs w:val="24"/>
          <w:u w:val="single"/>
          <w:lang w:eastAsia="pl-PL"/>
        </w:rPr>
        <w:t>ul. Chemików 1</w:t>
      </w:r>
      <w:r w:rsidRPr="00E02F30">
        <w:rPr>
          <w:rFonts w:eastAsia="Times New Roman" w:cs="Arial"/>
          <w:szCs w:val="24"/>
          <w:u w:val="single"/>
          <w:lang w:eastAsia="it-IT"/>
        </w:rPr>
        <w:t xml:space="preserve">, </w:t>
      </w:r>
      <w:r w:rsidRPr="00E02F30">
        <w:rPr>
          <w:rFonts w:eastAsia="Times New Roman" w:cs="Arial"/>
          <w:szCs w:val="24"/>
          <w:u w:val="single"/>
          <w:lang w:eastAsia="pl-PL"/>
        </w:rPr>
        <w:t>na działce o </w:t>
      </w:r>
      <w:r w:rsidRPr="00E02F30">
        <w:rPr>
          <w:rFonts w:eastAsia="Times New Roman" w:cs="Arial"/>
          <w:szCs w:val="24"/>
          <w:u w:val="single"/>
          <w:lang w:eastAsia="it-IT"/>
        </w:rPr>
        <w:t xml:space="preserve">nr </w:t>
      </w:r>
      <w:proofErr w:type="spellStart"/>
      <w:r w:rsidRPr="00E02F30">
        <w:rPr>
          <w:rFonts w:eastAsia="Times New Roman" w:cs="Arial"/>
          <w:szCs w:val="24"/>
          <w:u w:val="single"/>
          <w:lang w:eastAsia="it-IT"/>
        </w:rPr>
        <w:t>ewid</w:t>
      </w:r>
      <w:proofErr w:type="spellEnd"/>
      <w:r w:rsidRPr="00E02F30">
        <w:rPr>
          <w:rFonts w:eastAsia="Times New Roman" w:cs="Arial"/>
          <w:szCs w:val="24"/>
          <w:u w:val="single"/>
          <w:lang w:eastAsia="it-IT"/>
        </w:rPr>
        <w:t xml:space="preserve">. </w:t>
      </w:r>
      <w:r w:rsidRPr="00E02F30">
        <w:rPr>
          <w:rFonts w:eastAsia="Times New Roman" w:cs="Arial"/>
          <w:szCs w:val="24"/>
          <w:u w:val="single"/>
        </w:rPr>
        <w:t xml:space="preserve">2/303 </w:t>
      </w:r>
      <w:r w:rsidRPr="00E02F30">
        <w:rPr>
          <w:rFonts w:eastAsia="Times New Roman" w:cs="Arial"/>
          <w:szCs w:val="24"/>
          <w:u w:val="single"/>
          <w:lang w:eastAsia="pl-PL"/>
        </w:rPr>
        <w:t>w obrębie nr 0007 Nowa Sarzyna</w:t>
      </w:r>
      <w:r w:rsidRPr="00E02F30">
        <w:rPr>
          <w:rFonts w:eastAsia="Times New Roman" w:cs="Arial"/>
          <w:szCs w:val="24"/>
          <w:u w:val="single"/>
          <w:lang w:eastAsia="it-IT"/>
        </w:rPr>
        <w:t xml:space="preserve">. </w:t>
      </w:r>
    </w:p>
    <w:p w14:paraId="67C64E95"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it-IT"/>
        </w:rPr>
        <w:t xml:space="preserve">Na terenie Spółki: Sarzyna </w:t>
      </w:r>
      <w:proofErr w:type="spellStart"/>
      <w:r w:rsidRPr="00E02F30">
        <w:rPr>
          <w:rFonts w:eastAsia="Times New Roman" w:cs="Arial"/>
          <w:szCs w:val="24"/>
          <w:lang w:eastAsia="it-IT"/>
        </w:rPr>
        <w:t>Chemical</w:t>
      </w:r>
      <w:proofErr w:type="spellEnd"/>
      <w:r w:rsidRPr="00E02F30">
        <w:rPr>
          <w:rFonts w:eastAsia="Times New Roman" w:cs="Arial"/>
          <w:szCs w:val="24"/>
          <w:lang w:eastAsia="it-IT"/>
        </w:rPr>
        <w:t xml:space="preserve"> Sp. z o.o., </w:t>
      </w:r>
      <w:r w:rsidRPr="00E02F30">
        <w:rPr>
          <w:rFonts w:eastAsia="Times New Roman" w:cs="Arial"/>
          <w:szCs w:val="24"/>
          <w:lang w:eastAsia="pl-PL"/>
        </w:rPr>
        <w:t xml:space="preserve">ul. Chemików 1, 37-310 Nowa Sarzyna </w:t>
      </w:r>
      <w:r w:rsidRPr="00E02F30">
        <w:rPr>
          <w:rFonts w:eastAsia="Times New Roman" w:cs="Arial"/>
          <w:szCs w:val="24"/>
          <w:lang w:eastAsia="it-IT"/>
        </w:rPr>
        <w:t xml:space="preserve">prowadzona będzie działalność związana z </w:t>
      </w:r>
      <w:r w:rsidRPr="00E02F30">
        <w:rPr>
          <w:rFonts w:eastAsia="Times New Roman" w:cs="Arial"/>
          <w:szCs w:val="24"/>
          <w:lang w:eastAsia="pl-PL"/>
        </w:rPr>
        <w:t xml:space="preserve">wytwarzaniem przy zastosowaniu procesów chemicznych organicznych substancji chemicznych. </w:t>
      </w:r>
    </w:p>
    <w:p w14:paraId="3DC1A9CF" w14:textId="77777777" w:rsidR="00E02F30" w:rsidRPr="00E02F30" w:rsidRDefault="00E02F30" w:rsidP="00E02F30">
      <w:pPr>
        <w:autoSpaceDE w:val="0"/>
        <w:autoSpaceDN w:val="0"/>
        <w:adjustRightInd w:val="0"/>
        <w:spacing w:before="120" w:after="60" w:line="276" w:lineRule="auto"/>
        <w:ind w:firstLine="709"/>
        <w:contextualSpacing/>
        <w:jc w:val="both"/>
        <w:rPr>
          <w:rFonts w:eastAsia="Calibri" w:cs="Arial"/>
          <w:szCs w:val="24"/>
          <w:lang w:eastAsia="it-IT"/>
        </w:rPr>
      </w:pPr>
      <w:r w:rsidRPr="00E02F30">
        <w:rPr>
          <w:rFonts w:eastAsia="Calibri" w:cs="Arial"/>
          <w:szCs w:val="24"/>
          <w:lang w:eastAsia="it-IT"/>
        </w:rPr>
        <w:t xml:space="preserve">Spółka: Sarzyna </w:t>
      </w:r>
      <w:proofErr w:type="spellStart"/>
      <w:r w:rsidRPr="00E02F30">
        <w:rPr>
          <w:rFonts w:eastAsia="Calibri" w:cs="Arial"/>
          <w:szCs w:val="24"/>
          <w:lang w:eastAsia="it-IT"/>
        </w:rPr>
        <w:t>Chemical</w:t>
      </w:r>
      <w:proofErr w:type="spellEnd"/>
      <w:r w:rsidRPr="00E02F30">
        <w:rPr>
          <w:rFonts w:eastAsia="Calibri" w:cs="Arial"/>
          <w:szCs w:val="24"/>
          <w:lang w:eastAsia="it-IT"/>
        </w:rPr>
        <w:t xml:space="preserve"> Sp. z o.o. </w:t>
      </w:r>
      <w:r w:rsidRPr="00E02F30">
        <w:rPr>
          <w:rFonts w:eastAsia="Calibri" w:cs="Arial"/>
          <w:szCs w:val="24"/>
        </w:rPr>
        <w:t xml:space="preserve">w Nowej Sarzynie </w:t>
      </w:r>
      <w:r w:rsidRPr="00E02F30">
        <w:rPr>
          <w:rFonts w:eastAsia="Calibri" w:cs="Arial"/>
          <w:szCs w:val="24"/>
          <w:lang w:eastAsia="it-IT"/>
        </w:rPr>
        <w:t xml:space="preserve">posiada tytuł prawny do instalacji. </w:t>
      </w:r>
      <w:bookmarkStart w:id="23" w:name="_Hlk168300555"/>
      <w:r w:rsidRPr="00E02F30">
        <w:rPr>
          <w:rFonts w:eastAsia="Calibri" w:cs="Arial"/>
          <w:szCs w:val="24"/>
          <w:lang w:eastAsia="it-IT"/>
        </w:rPr>
        <w:t>Spółka ta jest także właścicielem nieruchomości tj.: użytkownikiem wieczystym  gruntów, na których znajduje się zakład, jest też użytkownikiem (operatorem) instalacji, których eksploatacja wymaga uzyskania pozwolenia zintegrowanego.</w:t>
      </w:r>
      <w:bookmarkStart w:id="24" w:name="_Hlk168300583"/>
      <w:bookmarkEnd w:id="23"/>
      <w:r w:rsidRPr="00E02F30">
        <w:rPr>
          <w:rFonts w:eastAsia="Calibri" w:cs="Arial"/>
          <w:szCs w:val="24"/>
          <w:lang w:eastAsia="it-IT"/>
        </w:rPr>
        <w:t xml:space="preserve"> </w:t>
      </w:r>
      <w:r w:rsidRPr="00E02F30">
        <w:rPr>
          <w:rFonts w:eastAsia="Times New Roman" w:cs="Arial"/>
          <w:szCs w:val="24"/>
          <w:lang w:eastAsia="pl-PL"/>
        </w:rPr>
        <w:t>Wnioskodawca jest prowadzącym instalacje oraz właścicielem wszystkich urządzeń i obiektów wchodzących w ich skład, a do terenu, na którym znajdują się instalacje IPPC, posiada tytuł prawny w formie użytkowania wieczystego.</w:t>
      </w:r>
    </w:p>
    <w:bookmarkEnd w:id="24"/>
    <w:p w14:paraId="499C3175" w14:textId="77777777" w:rsidR="00E02F30" w:rsidRPr="00E02F30" w:rsidRDefault="00E02F30" w:rsidP="00E02F30">
      <w:pPr>
        <w:spacing w:before="60" w:after="60" w:line="276" w:lineRule="auto"/>
        <w:jc w:val="both"/>
        <w:rPr>
          <w:rFonts w:eastAsia="Times New Roman" w:cs="Arial"/>
          <w:szCs w:val="24"/>
          <w:highlight w:val="lightGray"/>
          <w:lang w:eastAsia="it-IT"/>
        </w:rPr>
      </w:pPr>
      <w:r w:rsidRPr="00E02F30">
        <w:rPr>
          <w:rFonts w:eastAsia="Times New Roman" w:cs="Arial"/>
          <w:szCs w:val="24"/>
          <w:lang w:eastAsia="it-IT"/>
        </w:rPr>
        <w:t xml:space="preserve">Cały teren Spółki: Sarzyna </w:t>
      </w:r>
      <w:proofErr w:type="spellStart"/>
      <w:r w:rsidRPr="00E02F30">
        <w:rPr>
          <w:rFonts w:eastAsia="Times New Roman" w:cs="Arial"/>
          <w:szCs w:val="24"/>
          <w:lang w:eastAsia="it-IT"/>
        </w:rPr>
        <w:t>Chemical</w:t>
      </w:r>
      <w:proofErr w:type="spellEnd"/>
      <w:r w:rsidRPr="00E02F30">
        <w:rPr>
          <w:rFonts w:eastAsia="Times New Roman" w:cs="Arial"/>
          <w:szCs w:val="24"/>
          <w:lang w:eastAsia="it-IT"/>
        </w:rPr>
        <w:t xml:space="preserve"> Sp. z o.o. jest ogrodzony i chroniony całodobowo.</w:t>
      </w:r>
    </w:p>
    <w:p w14:paraId="08222562" w14:textId="77777777" w:rsidR="00E02F30" w:rsidRPr="00E02F30" w:rsidRDefault="00E02F30" w:rsidP="00E02F30">
      <w:pPr>
        <w:spacing w:after="0" w:line="276" w:lineRule="auto"/>
        <w:ind w:firstLine="708"/>
        <w:jc w:val="both"/>
        <w:rPr>
          <w:rFonts w:eastAsia="Times New Roman" w:cs="Arial"/>
          <w:szCs w:val="24"/>
          <w:lang w:eastAsia="pl-PL"/>
        </w:rPr>
      </w:pPr>
      <w:bookmarkStart w:id="25" w:name="_Hlk167192508"/>
      <w:r w:rsidRPr="00E02F30">
        <w:rPr>
          <w:rFonts w:eastAsia="Calibri" w:cs="Arial"/>
          <w:szCs w:val="24"/>
        </w:rPr>
        <w:t xml:space="preserve">Spółka zgodnie z rozporządzeniem Ministra Rozwoju z dnia 29 stycznia 2016 r. w sprawie rodzajów i ilości znajdujących się w zakładzie substancji niebezpiecznych, decydujących o zaliczeniu zakładu do zakładu o zwiększonym lub dużym ryzyku wystąpienia poważnej awarii przemysłowej (Dz. U. poz. 138) została zakwalifikowana do zakładów o dużym ryzyku wystąpienia awarii przemysłowej. </w:t>
      </w:r>
      <w:r w:rsidRPr="00E02F30">
        <w:rPr>
          <w:rFonts w:eastAsia="Calibri" w:cs="Arial"/>
          <w:szCs w:val="24"/>
        </w:rPr>
        <w:br/>
      </w:r>
      <w:bookmarkEnd w:id="25"/>
      <w:r w:rsidRPr="00E02F30">
        <w:rPr>
          <w:rFonts w:eastAsia="Times New Roman" w:cs="Arial"/>
          <w:szCs w:val="24"/>
          <w:lang w:eastAsia="pl-PL"/>
        </w:rPr>
        <w:t>W zakładzie utrzymywany jest system prewencyjny przeciwdziałający powstaniu awarii i ochrony środowiska przed awariami prowadzonych instalacji. Spółka utrzymuje w związku z tym właściwy System Bezpieczeństwa i związane z nim procedury. W zakładzie realizowane są nałożone obowiązki prawne w tym zakresie. Spółka opracowała, uzgodniła i wdrożyła oraz aktualizuje:</w:t>
      </w:r>
    </w:p>
    <w:p w14:paraId="2100C5D8" w14:textId="77777777" w:rsidR="00E02F30" w:rsidRPr="00E02F30" w:rsidRDefault="00E02F30">
      <w:pPr>
        <w:widowControl w:val="0"/>
        <w:numPr>
          <w:ilvl w:val="0"/>
          <w:numId w:val="92"/>
        </w:numPr>
        <w:adjustRightInd w:val="0"/>
        <w:spacing w:after="0" w:line="276" w:lineRule="auto"/>
        <w:ind w:left="284" w:hanging="284"/>
        <w:jc w:val="both"/>
        <w:textAlignment w:val="baseline"/>
        <w:rPr>
          <w:rFonts w:eastAsia="Calibri" w:cs="Arial"/>
          <w:snapToGrid w:val="0"/>
          <w:szCs w:val="24"/>
        </w:rPr>
      </w:pPr>
      <w:r w:rsidRPr="00E02F30">
        <w:rPr>
          <w:rFonts w:eastAsia="Calibri" w:cs="Arial"/>
          <w:snapToGrid w:val="0"/>
          <w:szCs w:val="24"/>
        </w:rPr>
        <w:t>dokumenty zgłoszenia do Podkarpackiego Komendanta Wojewódzkiego Państwowej Straży Pożarnej (PKW PSP),</w:t>
      </w:r>
    </w:p>
    <w:p w14:paraId="35B2AD83" w14:textId="77777777" w:rsidR="00E02F30" w:rsidRPr="00E02F30" w:rsidRDefault="00E02F30">
      <w:pPr>
        <w:widowControl w:val="0"/>
        <w:numPr>
          <w:ilvl w:val="0"/>
          <w:numId w:val="92"/>
        </w:numPr>
        <w:adjustRightInd w:val="0"/>
        <w:spacing w:after="0" w:line="276" w:lineRule="auto"/>
        <w:ind w:left="284" w:hanging="284"/>
        <w:jc w:val="both"/>
        <w:textAlignment w:val="baseline"/>
        <w:rPr>
          <w:rFonts w:eastAsia="Calibri" w:cs="Arial"/>
          <w:snapToGrid w:val="0"/>
          <w:szCs w:val="24"/>
        </w:rPr>
      </w:pPr>
      <w:r w:rsidRPr="00E02F30">
        <w:rPr>
          <w:rFonts w:eastAsia="Calibri" w:cs="Arial"/>
          <w:snapToGrid w:val="0"/>
          <w:szCs w:val="24"/>
        </w:rPr>
        <w:t>Zakładowy Program Zapobiegania Awariom (PZA),</w:t>
      </w:r>
    </w:p>
    <w:p w14:paraId="22B73D5A" w14:textId="77777777" w:rsidR="00E02F30" w:rsidRPr="00E02F30" w:rsidRDefault="00E02F30">
      <w:pPr>
        <w:widowControl w:val="0"/>
        <w:numPr>
          <w:ilvl w:val="0"/>
          <w:numId w:val="92"/>
        </w:numPr>
        <w:adjustRightInd w:val="0"/>
        <w:spacing w:after="0" w:line="276" w:lineRule="auto"/>
        <w:ind w:left="284" w:hanging="284"/>
        <w:jc w:val="both"/>
        <w:textAlignment w:val="baseline"/>
        <w:rPr>
          <w:rFonts w:eastAsia="Calibri" w:cs="Arial"/>
          <w:snapToGrid w:val="0"/>
          <w:szCs w:val="24"/>
        </w:rPr>
      </w:pPr>
      <w:r w:rsidRPr="00E02F30">
        <w:rPr>
          <w:rFonts w:eastAsia="Calibri" w:cs="Arial"/>
          <w:snapToGrid w:val="0"/>
          <w:szCs w:val="24"/>
        </w:rPr>
        <w:t>Raport o Bezpieczeństwie (</w:t>
      </w:r>
      <w:proofErr w:type="spellStart"/>
      <w:r w:rsidRPr="00E02F30">
        <w:rPr>
          <w:rFonts w:eastAsia="Calibri" w:cs="Arial"/>
          <w:snapToGrid w:val="0"/>
          <w:szCs w:val="24"/>
        </w:rPr>
        <w:t>RoB</w:t>
      </w:r>
      <w:proofErr w:type="spellEnd"/>
      <w:r w:rsidRPr="00E02F30">
        <w:rPr>
          <w:rFonts w:eastAsia="Calibri" w:cs="Arial"/>
          <w:snapToGrid w:val="0"/>
          <w:szCs w:val="24"/>
        </w:rPr>
        <w:t>) – zatwierdzony każdorazowo przez PKW PSP,</w:t>
      </w:r>
    </w:p>
    <w:p w14:paraId="6AB97976" w14:textId="77777777" w:rsidR="00E02F30" w:rsidRPr="00E02F30" w:rsidRDefault="00E02F30">
      <w:pPr>
        <w:widowControl w:val="0"/>
        <w:numPr>
          <w:ilvl w:val="0"/>
          <w:numId w:val="92"/>
        </w:numPr>
        <w:adjustRightInd w:val="0"/>
        <w:spacing w:after="0" w:line="276" w:lineRule="auto"/>
        <w:ind w:left="284" w:hanging="284"/>
        <w:jc w:val="both"/>
        <w:textAlignment w:val="baseline"/>
        <w:rPr>
          <w:rFonts w:eastAsia="Calibri" w:cs="Arial"/>
          <w:snapToGrid w:val="0"/>
          <w:szCs w:val="24"/>
        </w:rPr>
      </w:pPr>
      <w:r w:rsidRPr="00E02F30">
        <w:rPr>
          <w:rFonts w:eastAsia="Calibri" w:cs="Arial"/>
          <w:snapToGrid w:val="0"/>
          <w:szCs w:val="24"/>
        </w:rPr>
        <w:t>wewnętrzny i zewnętrzny plan operacyjno-ratowniczy (PO-R).</w:t>
      </w:r>
    </w:p>
    <w:p w14:paraId="6875A6EA"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Działania zapobiegające lub ograniczające wpływy ewentualnych awarii na środowisko obejmują również procedury zintegrowanego systemu zarządzania.</w:t>
      </w:r>
    </w:p>
    <w:p w14:paraId="0491534D"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Na podstawie art. 188 i art. 211 ustawy Prawo ochrony środowiska w podpunkcie I.1. niniejszej decyzji określono rodzaj prowadzonej działalności, parametry konstrukcyjne i technologiczne przedmiotowych instalacji, istotne z punktu widzenia przeciwdziałania zanieczyszczeniom oraz przedstawiono charakterystykę procesów technologicznych prowadzonych w instalacjach IPPC. Natomiast w podpunkcie I.2. zestawiono podstawowe maszyny i urządzenia wykorzystywane w poszczególnych instalacjach.</w:t>
      </w:r>
    </w:p>
    <w:p w14:paraId="563560DA"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W punkcie II. niniejszej decyzji ustalono maksymalną dopuszczalną emisję w warunkach normalnego funkcjonowania instalacji. Prowadzone na terenie zakładu procesy technologiczne powodują emisję gazów i pyłów do powietrza, emisję hałasu do środowiska, zużycie wody, powstawanie ścieków technologicznych oraz powstawanie odpadów w trakcie funkcjonowania instalacji.</w:t>
      </w:r>
    </w:p>
    <w:p w14:paraId="58D167A8"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 xml:space="preserve">W związku z funkcjonowaniem instalacji IPPC do powietrza wprowadzane są gazy i pyły przez 9 emitorów. Zgodnie z art. 202 ust. 1 ustawy Prawo ochrony środowiska w pozwoleniu określono wielkość dopuszczalnej emisji gazów i pyłów do powietrza w warunkach normalnego funkcjonowania instalacji. We wniosku wykazano, że emisja do powietrza nie powoduje przekroczeń wartości dopuszczalnych określonych w załączniku nr 1 do rozporządzenia Ministra Środowiska z dnia 24 sierpnia 2012 r. w sprawie poziomów niektórych substancji w powietrzu. </w:t>
      </w:r>
    </w:p>
    <w:p w14:paraId="74827769"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 xml:space="preserve">Ponadto emisja gazów i pyłów z poszczególnych źródeł instalacji nie spowoduje przekroczeń wartości odniesienia określonych w rozporządzeniu Ministra Środowiska z dnia 26 stycznia 2010 r. w sprawie wartości odniesienia dla niektórych substancji w powietrzu. </w:t>
      </w:r>
    </w:p>
    <w:p w14:paraId="4C2C001D"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W instalacji nie eksploatuje się źródeł, dla których stosowane są wymogi rozporządzenia Ministra Środowiska z dnia 4 listopada 2014 r. w sprawie standardów emisyjnych dla niektórych rodzajów instalacji, źródeł spalania paliw oraz urządzeń spalania lub współspalania odpadów.</w:t>
      </w:r>
    </w:p>
    <w:p w14:paraId="4F0D33DF"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Zgodnie z art. 224 ust 1 pkt 2 ustawy - Prawo ochrony środowiska  w pozwoleniu określono usytuowanie stanowisk do pomiarów wielkości emisji w zakresie gazów lub pyłów wprowadzanych do powietrza. Stanowiska do pomiaru będą zamontowane na wszystkich emitorach.</w:t>
      </w:r>
    </w:p>
    <w:p w14:paraId="488BDBF6"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 xml:space="preserve">W celu kontroli eksploatacji instalacji korzystając z uprawnień wynikających z art. 188 ust.3 pkt 5 ustawy z dnia 27 kwietnia 2001 r. Prawo ochrony środowiska, w decyzji określono wymagania w zakresie wykonywania okresowych pomiarów emisji na wszystkich emitorach wymienionych w Tabeli nr 11 oraz 11a.  </w:t>
      </w:r>
    </w:p>
    <w:p w14:paraId="38824010" w14:textId="77777777" w:rsidR="00E02F30" w:rsidRPr="00E02F30" w:rsidRDefault="00E02F30" w:rsidP="00E02F30">
      <w:pPr>
        <w:autoSpaceDE w:val="0"/>
        <w:autoSpaceDN w:val="0"/>
        <w:adjustRightInd w:val="0"/>
        <w:spacing w:after="0" w:line="276" w:lineRule="auto"/>
        <w:ind w:firstLine="709"/>
        <w:jc w:val="both"/>
        <w:rPr>
          <w:rFonts w:ascii="Times New Roman" w:eastAsia="Times New Roman" w:hAnsi="Times New Roman" w:cs="Times New Roman"/>
          <w:color w:val="FF0000"/>
          <w:szCs w:val="24"/>
          <w:lang w:eastAsia="pl-PL"/>
        </w:rPr>
      </w:pPr>
      <w:r w:rsidRPr="00E02F30">
        <w:rPr>
          <w:rFonts w:eastAsia="Times New Roman" w:cs="Arial"/>
          <w:szCs w:val="24"/>
          <w:lang w:eastAsia="pl-PL"/>
        </w:rPr>
        <w:t>Dobór metodyki przy wykonywaniu pomiarów okresowych powinien być adekwatny do wartości mierzonej emisji, w szczególności umożliwiającymi wykonanie oznaczenia powyżej granicy oznaczalności metody. W Tabeli 11a  niniejszej decyzji wprowadzono obowiązki pomiarowe wynikające z konkluzji BAT WGC. Dodatkowo w punkcie XIV niniejszej decyzji zobowiązano Prowadzącego Instalacje do corocznego szacowania ilości emisji rozproszonych LZO zgodnie z BAT 20 konkluzji dotyczących najlepszych dostępnych technik (zgodnie z dyrektywą Parlamentu Europejskiego i Rady 2010/75/UE w sprawie emisji przemysłowych, w odniesieniu do wspólnych systemów gospodarowania gazami odlotowymi i oczyszczania gazów odlotowych w  sektorze chemicznym) oraz przekazywania ich do tutejszego organu.</w:t>
      </w:r>
    </w:p>
    <w:p w14:paraId="77E07B87" w14:textId="77777777" w:rsidR="00E02F30" w:rsidRPr="00E02F30" w:rsidRDefault="00E02F30" w:rsidP="00E02F30">
      <w:pPr>
        <w:autoSpaceDE w:val="0"/>
        <w:autoSpaceDN w:val="0"/>
        <w:adjustRightInd w:val="0"/>
        <w:spacing w:after="0" w:line="276" w:lineRule="auto"/>
        <w:ind w:firstLine="709"/>
        <w:jc w:val="both"/>
        <w:rPr>
          <w:rFonts w:ascii="Times New Roman" w:eastAsia="Times New Roman" w:hAnsi="Times New Roman" w:cs="Times New Roman"/>
          <w:szCs w:val="24"/>
          <w:lang w:eastAsia="pl-PL"/>
        </w:rPr>
      </w:pPr>
      <w:r w:rsidRPr="00E02F30">
        <w:rPr>
          <w:rFonts w:eastAsia="Times New Roman" w:cs="Arial"/>
          <w:szCs w:val="24"/>
          <w:lang w:eastAsia="pl-PL"/>
        </w:rPr>
        <w:t xml:space="preserve">We wniosku przedstawiono wykaz zidentyfikowanych substancji emitowanych </w:t>
      </w:r>
      <w:r w:rsidRPr="00E02F30">
        <w:rPr>
          <w:rFonts w:eastAsia="Times New Roman" w:cs="Arial"/>
          <w:szCs w:val="24"/>
          <w:lang w:eastAsia="pl-PL"/>
        </w:rPr>
        <w:br/>
        <w:t>z instalacji IPPC, zgodnie z wymaganiem BAT 2 konkluzji dotyczących najlepszych dostępnych technik (BAT) zgodnie z dyrektywą Parlamentu Europejskiego i Rady 2010/75/UE w sprawie emisji przemysłowych, w odniesieniu do wspólnych systemów gospodarowania gazami odlotowymi i oczyszczania gazów odlotowych w sektorze chemicznym (konkluzje BAT WGC), dla których określono poziomy BAT-</w:t>
      </w:r>
      <w:proofErr w:type="spellStart"/>
      <w:r w:rsidRPr="00E02F30">
        <w:rPr>
          <w:rFonts w:eastAsia="Times New Roman" w:cs="Arial"/>
          <w:szCs w:val="24"/>
          <w:lang w:eastAsia="pl-PL"/>
        </w:rPr>
        <w:t>AELs</w:t>
      </w:r>
      <w:proofErr w:type="spellEnd"/>
      <w:r w:rsidRPr="00E02F30">
        <w:rPr>
          <w:rFonts w:ascii="Times New Roman" w:eastAsia="Times New Roman" w:hAnsi="Times New Roman" w:cs="Times New Roman"/>
          <w:szCs w:val="24"/>
          <w:lang w:eastAsia="pl-PL"/>
        </w:rPr>
        <w:t xml:space="preserve">: </w:t>
      </w:r>
    </w:p>
    <w:p w14:paraId="79EFE273" w14:textId="77777777" w:rsidR="00E02F30" w:rsidRPr="00E02F30" w:rsidRDefault="00E02F30">
      <w:pPr>
        <w:widowControl w:val="0"/>
        <w:numPr>
          <w:ilvl w:val="0"/>
          <w:numId w:val="77"/>
        </w:numPr>
        <w:autoSpaceDE w:val="0"/>
        <w:autoSpaceDN w:val="0"/>
        <w:adjustRightInd w:val="0"/>
        <w:spacing w:after="0" w:line="276" w:lineRule="auto"/>
        <w:ind w:left="284" w:hanging="142"/>
        <w:jc w:val="both"/>
        <w:textAlignment w:val="baseline"/>
        <w:rPr>
          <w:rFonts w:eastAsia="Times New Roman" w:cs="Arial"/>
          <w:szCs w:val="24"/>
          <w:lang w:eastAsia="pl-PL"/>
        </w:rPr>
      </w:pPr>
      <w:r w:rsidRPr="00E02F30">
        <w:rPr>
          <w:rFonts w:eastAsia="Times New Roman" w:cs="Arial"/>
          <w:color w:val="00B050"/>
          <w:szCs w:val="24"/>
          <w:lang w:eastAsia="pl-PL"/>
        </w:rPr>
        <w:t xml:space="preserve"> </w:t>
      </w:r>
      <w:r w:rsidRPr="00E02F30">
        <w:rPr>
          <w:rFonts w:eastAsia="Times New Roman" w:cs="Arial"/>
          <w:szCs w:val="24"/>
          <w:lang w:eastAsia="pl-PL"/>
        </w:rPr>
        <w:t>Całkowity lotny węgiel organiczny (TVOC);</w:t>
      </w:r>
    </w:p>
    <w:p w14:paraId="02CF5216" w14:textId="77777777" w:rsidR="00E02F30" w:rsidRPr="00E02F30" w:rsidRDefault="00E02F30">
      <w:pPr>
        <w:widowControl w:val="0"/>
        <w:numPr>
          <w:ilvl w:val="0"/>
          <w:numId w:val="77"/>
        </w:numPr>
        <w:autoSpaceDE w:val="0"/>
        <w:autoSpaceDN w:val="0"/>
        <w:adjustRightInd w:val="0"/>
        <w:spacing w:after="0" w:line="276" w:lineRule="auto"/>
        <w:ind w:left="284" w:hanging="142"/>
        <w:jc w:val="both"/>
        <w:textAlignment w:val="baseline"/>
        <w:rPr>
          <w:rFonts w:eastAsia="Times New Roman" w:cs="Arial"/>
          <w:color w:val="00B050"/>
          <w:szCs w:val="24"/>
          <w:lang w:eastAsia="pl-PL"/>
        </w:rPr>
      </w:pPr>
      <w:r w:rsidRPr="00E02F30">
        <w:rPr>
          <w:rFonts w:eastAsia="Times New Roman" w:cs="Arial"/>
          <w:color w:val="00B0F0"/>
          <w:szCs w:val="24"/>
          <w:lang w:eastAsia="pl-PL"/>
        </w:rPr>
        <w:t xml:space="preserve"> </w:t>
      </w:r>
      <w:r w:rsidRPr="00E02F30">
        <w:rPr>
          <w:rFonts w:eastAsia="Times New Roman" w:cs="Arial"/>
          <w:szCs w:val="24"/>
          <w:lang w:eastAsia="pl-PL"/>
        </w:rPr>
        <w:t>Suma LZO sklasyfikowanych jako substancje CMR kategorii 1 A lub 1B (benzen);</w:t>
      </w:r>
    </w:p>
    <w:p w14:paraId="668CD6A7" w14:textId="77777777" w:rsidR="00E02F30" w:rsidRPr="00E02F30" w:rsidRDefault="00E02F30">
      <w:pPr>
        <w:widowControl w:val="0"/>
        <w:numPr>
          <w:ilvl w:val="0"/>
          <w:numId w:val="77"/>
        </w:numPr>
        <w:autoSpaceDE w:val="0"/>
        <w:autoSpaceDN w:val="0"/>
        <w:adjustRightInd w:val="0"/>
        <w:spacing w:after="0" w:line="276" w:lineRule="auto"/>
        <w:ind w:left="284" w:hanging="142"/>
        <w:jc w:val="both"/>
        <w:textAlignment w:val="baseline"/>
        <w:rPr>
          <w:rFonts w:eastAsia="Times New Roman" w:cs="Arial"/>
          <w:color w:val="00B0F0"/>
          <w:szCs w:val="24"/>
          <w:lang w:eastAsia="pl-PL"/>
        </w:rPr>
      </w:pPr>
      <w:r w:rsidRPr="00E02F30">
        <w:rPr>
          <w:rFonts w:eastAsia="Times New Roman" w:cs="Arial"/>
          <w:color w:val="00B050"/>
          <w:szCs w:val="24"/>
          <w:lang w:eastAsia="pl-PL"/>
        </w:rPr>
        <w:t xml:space="preserve"> </w:t>
      </w:r>
      <w:r w:rsidRPr="00E02F30">
        <w:rPr>
          <w:rFonts w:eastAsia="Times New Roman" w:cs="Arial"/>
          <w:szCs w:val="24"/>
          <w:lang w:eastAsia="pl-PL"/>
        </w:rPr>
        <w:t>Suma LZO sklasyfikowanych jako substancje CMR kategorii 2 (toluen oraz styren);</w:t>
      </w:r>
    </w:p>
    <w:p w14:paraId="4413BB82" w14:textId="77777777" w:rsidR="00E02F30" w:rsidRPr="00E02F30" w:rsidRDefault="00E02F30">
      <w:pPr>
        <w:widowControl w:val="0"/>
        <w:numPr>
          <w:ilvl w:val="0"/>
          <w:numId w:val="77"/>
        </w:numPr>
        <w:autoSpaceDE w:val="0"/>
        <w:autoSpaceDN w:val="0"/>
        <w:adjustRightInd w:val="0"/>
        <w:spacing w:after="0" w:line="276" w:lineRule="auto"/>
        <w:ind w:left="284" w:hanging="142"/>
        <w:jc w:val="both"/>
        <w:textAlignment w:val="baseline"/>
        <w:rPr>
          <w:rFonts w:eastAsia="Times New Roman" w:cs="Arial"/>
          <w:szCs w:val="24"/>
          <w:lang w:eastAsia="pl-PL"/>
        </w:rPr>
      </w:pPr>
      <w:r w:rsidRPr="00E02F30">
        <w:rPr>
          <w:rFonts w:eastAsia="Times New Roman" w:cs="Arial"/>
          <w:color w:val="00B0F0"/>
          <w:szCs w:val="24"/>
          <w:lang w:eastAsia="pl-PL"/>
        </w:rPr>
        <w:t xml:space="preserve"> </w:t>
      </w:r>
      <w:r w:rsidRPr="00E02F30">
        <w:rPr>
          <w:rFonts w:eastAsia="Times New Roman" w:cs="Arial"/>
          <w:szCs w:val="24"/>
          <w:lang w:eastAsia="pl-PL"/>
        </w:rPr>
        <w:t>Pył;</w:t>
      </w:r>
    </w:p>
    <w:p w14:paraId="440D37DA" w14:textId="77777777" w:rsidR="00E02F30" w:rsidRPr="00E02F30" w:rsidRDefault="00E02F30">
      <w:pPr>
        <w:widowControl w:val="0"/>
        <w:numPr>
          <w:ilvl w:val="0"/>
          <w:numId w:val="77"/>
        </w:numPr>
        <w:autoSpaceDE w:val="0"/>
        <w:autoSpaceDN w:val="0"/>
        <w:adjustRightInd w:val="0"/>
        <w:spacing w:after="0" w:line="276" w:lineRule="auto"/>
        <w:ind w:left="284" w:hanging="142"/>
        <w:jc w:val="both"/>
        <w:textAlignment w:val="baseline"/>
        <w:rPr>
          <w:rFonts w:eastAsia="Times New Roman" w:cs="Arial"/>
          <w:szCs w:val="24"/>
          <w:lang w:eastAsia="pl-PL"/>
        </w:rPr>
      </w:pPr>
      <w:r w:rsidRPr="00E02F30">
        <w:rPr>
          <w:rFonts w:eastAsia="Times New Roman" w:cs="Arial"/>
          <w:szCs w:val="24"/>
          <w:lang w:eastAsia="pl-PL"/>
        </w:rPr>
        <w:t xml:space="preserve"> Amoniak;</w:t>
      </w:r>
    </w:p>
    <w:p w14:paraId="4A2486ED" w14:textId="77777777" w:rsidR="00E02F30" w:rsidRPr="00E02F30" w:rsidRDefault="00E02F30">
      <w:pPr>
        <w:widowControl w:val="0"/>
        <w:numPr>
          <w:ilvl w:val="0"/>
          <w:numId w:val="77"/>
        </w:numPr>
        <w:autoSpaceDE w:val="0"/>
        <w:autoSpaceDN w:val="0"/>
        <w:adjustRightInd w:val="0"/>
        <w:spacing w:after="0" w:line="276" w:lineRule="auto"/>
        <w:ind w:left="284" w:hanging="142"/>
        <w:jc w:val="both"/>
        <w:textAlignment w:val="baseline"/>
        <w:rPr>
          <w:rFonts w:eastAsia="Times New Roman" w:cs="Arial"/>
          <w:szCs w:val="24"/>
          <w:lang w:eastAsia="pl-PL"/>
        </w:rPr>
      </w:pPr>
      <w:r w:rsidRPr="00E02F30">
        <w:rPr>
          <w:rFonts w:eastAsia="Times New Roman" w:cs="Arial"/>
          <w:szCs w:val="24"/>
          <w:lang w:eastAsia="pl-PL"/>
        </w:rPr>
        <w:t xml:space="preserve"> Toluen.</w:t>
      </w:r>
    </w:p>
    <w:p w14:paraId="76591F0A" w14:textId="77777777" w:rsidR="00E02F30" w:rsidRPr="00E02F30" w:rsidRDefault="00E02F30" w:rsidP="00E02F30">
      <w:pPr>
        <w:spacing w:after="0" w:line="276" w:lineRule="auto"/>
        <w:ind w:firstLine="709"/>
        <w:jc w:val="both"/>
        <w:rPr>
          <w:rFonts w:eastAsia="Times New Roman" w:cs="Arial"/>
          <w:szCs w:val="24"/>
          <w:lang w:eastAsia="pl-PL"/>
        </w:rPr>
      </w:pPr>
      <w:r w:rsidRPr="00E02F30">
        <w:rPr>
          <w:rFonts w:eastAsia="Times New Roman" w:cs="Arial"/>
          <w:szCs w:val="24"/>
          <w:lang w:eastAsia="pl-PL"/>
        </w:rPr>
        <w:t xml:space="preserve">Emisja substancji sklasyfikowanych jako Całkowity lotny węgiel organiczny (TVOC) dotyczy wszystkich emitorów z wyjątkiem emitora E-1/Z oraz E-8/Z. Z emitora E-1/Z nie następuje emisja lotnych związków organicznych, natomiast z emitora E-8/Z występuje emisja acetonu, który nie jest klasyfikowany jako CMR, w ilości maksymalnej 0,06 kg/g, czyli poniżej 100 g/h, stąd też poziom emisji BAT-AEL dla TVOC nie będzie miał zastosowania. </w:t>
      </w:r>
    </w:p>
    <w:p w14:paraId="5408C6E1" w14:textId="77777777" w:rsidR="00E02F30" w:rsidRPr="00E02F30" w:rsidRDefault="00E02F30" w:rsidP="00E02F30">
      <w:pPr>
        <w:spacing w:before="120" w:after="0" w:line="276" w:lineRule="auto"/>
        <w:ind w:firstLine="709"/>
        <w:jc w:val="both"/>
        <w:rPr>
          <w:rFonts w:eastAsia="Times New Roman" w:cs="Arial"/>
          <w:szCs w:val="24"/>
          <w:lang w:eastAsia="pl-PL"/>
        </w:rPr>
      </w:pPr>
      <w:bookmarkStart w:id="26" w:name="_Hlk169593401"/>
      <w:r w:rsidRPr="00E02F30">
        <w:rPr>
          <w:rFonts w:eastAsia="Times New Roman" w:cs="Arial"/>
          <w:szCs w:val="24"/>
          <w:lang w:eastAsia="pl-PL"/>
        </w:rPr>
        <w:t xml:space="preserve">Emisja substancji z instalacji sklasyfikowanych jako CMR kategorii 1 A lub 1B dotyczy </w:t>
      </w:r>
      <w:bookmarkEnd w:id="26"/>
      <w:r w:rsidRPr="00E02F30">
        <w:rPr>
          <w:rFonts w:eastAsia="Times New Roman" w:cs="Arial"/>
          <w:szCs w:val="24"/>
          <w:lang w:eastAsia="pl-PL"/>
        </w:rPr>
        <w:t>emisji benzenu z emitorów E-6/Z oraz E-9/Z. Wyniki pomiarów prowadzonych w latach 2015 – 2018 oraz 2021 wskazują, że w przypadku emitora E-9/Z przepływ masowy benzenu wynosi powyżej wielkości granicznej wskazanej w konkluzjach BAT, tj. 1 g/h, a z emitora E-6/Z poniżej 1 g/h. W związku z powyższym dla emitora E-9/Z zastosowano poziom emisji zgodnie z BAT-AEL, natomiast dla emitora E-6/Z nie zastosowano tego poziomu.</w:t>
      </w:r>
    </w:p>
    <w:p w14:paraId="6FC29681" w14:textId="77777777" w:rsidR="00E02F30" w:rsidRPr="00E02F30" w:rsidRDefault="00E02F30" w:rsidP="00E02F30">
      <w:pPr>
        <w:spacing w:after="0" w:line="276" w:lineRule="auto"/>
        <w:ind w:firstLine="709"/>
        <w:jc w:val="both"/>
        <w:rPr>
          <w:rFonts w:ascii="Times New Roman" w:eastAsia="Times New Roman" w:hAnsi="Times New Roman" w:cs="Arial"/>
          <w:color w:val="00B050"/>
          <w:szCs w:val="24"/>
          <w:lang w:eastAsia="pl-PL"/>
        </w:rPr>
      </w:pPr>
      <w:bookmarkStart w:id="27" w:name="_Toc167440547"/>
      <w:r w:rsidRPr="00E02F30">
        <w:rPr>
          <w:rFonts w:eastAsia="Times New Roman" w:cs="Arial"/>
          <w:szCs w:val="24"/>
          <w:lang w:eastAsia="pl-PL"/>
        </w:rPr>
        <w:t>Emisja substancji z instalacji sklasyfikowanych jako CMR kategorii 2</w:t>
      </w:r>
      <w:bookmarkEnd w:id="27"/>
      <w:r w:rsidRPr="00E02F30">
        <w:rPr>
          <w:rFonts w:eastAsia="Times New Roman" w:cs="Arial"/>
          <w:szCs w:val="24"/>
          <w:lang w:eastAsia="pl-PL"/>
        </w:rPr>
        <w:t xml:space="preserve"> dotyczy emisji styrenu oraz toluenu. Wyniki pomiarów prowadzonych w latach 2019-2023 wskazują, że dla żadnego z emitorów nie wystąpi emisja sumaryczna styrenu i toluenu przekraczająca wartość graniczną wskazaną w konkluzjach BAT, tj. 50 g/h. W związku z powyższym przychylono się do wniosku Spółki o określenie emisji dopuszczalnej od  12.12.2026r. na poziomie nie wyższym niż 50 g/h, tj. 0,05 kg/h w oparciu o wyniki pomiarów.</w:t>
      </w:r>
      <w:r w:rsidRPr="00E02F30">
        <w:rPr>
          <w:rFonts w:ascii="Times New Roman" w:eastAsia="Times New Roman" w:hAnsi="Times New Roman" w:cs="Arial"/>
          <w:szCs w:val="24"/>
          <w:lang w:eastAsia="pl-PL"/>
        </w:rPr>
        <w:tab/>
      </w:r>
      <w:r w:rsidRPr="00E02F30">
        <w:rPr>
          <w:rFonts w:ascii="Times New Roman" w:eastAsia="Times New Roman" w:hAnsi="Times New Roman" w:cs="Arial"/>
          <w:color w:val="00B050"/>
          <w:szCs w:val="24"/>
          <w:lang w:eastAsia="pl-PL"/>
        </w:rPr>
        <w:tab/>
      </w:r>
      <w:r w:rsidRPr="00E02F30">
        <w:rPr>
          <w:rFonts w:ascii="Times New Roman" w:eastAsia="Times New Roman" w:hAnsi="Times New Roman" w:cs="Arial"/>
          <w:color w:val="00B050"/>
          <w:szCs w:val="24"/>
          <w:lang w:eastAsia="pl-PL"/>
        </w:rPr>
        <w:tab/>
      </w:r>
      <w:r w:rsidRPr="00E02F30">
        <w:rPr>
          <w:rFonts w:ascii="Times New Roman" w:eastAsia="Times New Roman" w:hAnsi="Times New Roman" w:cs="Arial"/>
          <w:color w:val="00B050"/>
          <w:szCs w:val="24"/>
          <w:lang w:eastAsia="pl-PL"/>
        </w:rPr>
        <w:tab/>
      </w:r>
      <w:r w:rsidRPr="00E02F30">
        <w:rPr>
          <w:rFonts w:ascii="Times New Roman" w:eastAsia="Times New Roman" w:hAnsi="Times New Roman" w:cs="Arial"/>
          <w:color w:val="00B050"/>
          <w:szCs w:val="24"/>
          <w:lang w:eastAsia="pl-PL"/>
        </w:rPr>
        <w:tab/>
      </w:r>
      <w:r w:rsidRPr="00E02F30">
        <w:rPr>
          <w:rFonts w:ascii="Times New Roman" w:eastAsia="Times New Roman" w:hAnsi="Times New Roman" w:cs="Arial"/>
          <w:color w:val="00B050"/>
          <w:szCs w:val="24"/>
          <w:lang w:eastAsia="pl-PL"/>
        </w:rPr>
        <w:tab/>
      </w:r>
      <w:r w:rsidRPr="00E02F30">
        <w:rPr>
          <w:rFonts w:ascii="Times New Roman" w:eastAsia="Times New Roman" w:hAnsi="Times New Roman" w:cs="Arial"/>
          <w:color w:val="00B050"/>
          <w:szCs w:val="24"/>
          <w:lang w:eastAsia="pl-PL"/>
        </w:rPr>
        <w:tab/>
      </w:r>
      <w:r w:rsidRPr="00E02F30">
        <w:rPr>
          <w:rFonts w:ascii="Times New Roman" w:eastAsia="Times New Roman" w:hAnsi="Times New Roman" w:cs="Arial"/>
          <w:color w:val="00B050"/>
          <w:szCs w:val="24"/>
          <w:lang w:eastAsia="pl-PL"/>
        </w:rPr>
        <w:tab/>
      </w:r>
      <w:r w:rsidRPr="00E02F30">
        <w:rPr>
          <w:rFonts w:ascii="Times New Roman" w:eastAsia="Times New Roman" w:hAnsi="Times New Roman" w:cs="Arial"/>
          <w:color w:val="00B050"/>
          <w:szCs w:val="24"/>
          <w:lang w:eastAsia="pl-PL"/>
        </w:rPr>
        <w:tab/>
      </w:r>
      <w:r w:rsidRPr="00E02F30">
        <w:rPr>
          <w:rFonts w:ascii="Times New Roman" w:eastAsia="Times New Roman" w:hAnsi="Times New Roman" w:cs="Arial"/>
          <w:color w:val="00B050"/>
          <w:szCs w:val="24"/>
          <w:lang w:eastAsia="pl-PL"/>
        </w:rPr>
        <w:tab/>
      </w:r>
      <w:r w:rsidRPr="00E02F30">
        <w:rPr>
          <w:rFonts w:ascii="Times New Roman" w:eastAsia="Times New Roman" w:hAnsi="Times New Roman" w:cs="Arial"/>
          <w:color w:val="00B050"/>
          <w:szCs w:val="24"/>
          <w:lang w:eastAsia="pl-PL"/>
        </w:rPr>
        <w:tab/>
      </w:r>
      <w:r w:rsidRPr="00E02F30">
        <w:rPr>
          <w:rFonts w:ascii="Times New Roman" w:eastAsia="Times New Roman" w:hAnsi="Times New Roman" w:cs="Arial"/>
          <w:color w:val="00B050"/>
          <w:szCs w:val="24"/>
          <w:lang w:eastAsia="pl-PL"/>
        </w:rPr>
        <w:tab/>
      </w:r>
      <w:r w:rsidRPr="00E02F30">
        <w:rPr>
          <w:rFonts w:eastAsia="Times New Roman" w:cs="Arial"/>
          <w:bCs/>
          <w:szCs w:val="24"/>
          <w:lang w:eastAsia="pl-PL"/>
        </w:rPr>
        <w:t>W przypadku emisji pyłu</w:t>
      </w:r>
      <w:r w:rsidRPr="00E02F30">
        <w:rPr>
          <w:rFonts w:eastAsia="Times New Roman" w:cs="Arial"/>
          <w:i/>
          <w:iCs/>
          <w:szCs w:val="24"/>
          <w:lang w:eastAsia="pl-PL"/>
        </w:rPr>
        <w:t xml:space="preserve"> </w:t>
      </w:r>
      <w:r w:rsidRPr="00E02F30">
        <w:rPr>
          <w:rFonts w:eastAsia="Times New Roman" w:cs="Arial"/>
          <w:szCs w:val="24"/>
          <w:lang w:eastAsia="pl-PL"/>
        </w:rPr>
        <w:t>wyniki pomiarów prowadzonych w latach 2015 – 2017 i w 2021 r. wskazują, że dla żadnego z emitorów instalacji nie występuje emisja pyłu przekraczająca graniczną wartość wskazaną w konkluzjach BAT, tj. 50 g/h.</w:t>
      </w:r>
      <w:bookmarkStart w:id="28" w:name="_Hlk166503603"/>
      <w:r w:rsidRPr="00E02F30">
        <w:rPr>
          <w:rFonts w:eastAsia="Times New Roman" w:cs="Arial"/>
          <w:szCs w:val="24"/>
          <w:lang w:eastAsia="pl-PL"/>
        </w:rPr>
        <w:t xml:space="preserve"> W związku z powyższym przychylono się do wniosku Spółki o określenie emisji dopuszczalnej </w:t>
      </w:r>
      <w:bookmarkStart w:id="29" w:name="_Hlk169595826"/>
      <w:r w:rsidRPr="00E02F30">
        <w:rPr>
          <w:rFonts w:eastAsia="Times New Roman" w:cs="Arial"/>
          <w:szCs w:val="24"/>
          <w:lang w:eastAsia="pl-PL"/>
        </w:rPr>
        <w:t xml:space="preserve">od  12.12.2026r. </w:t>
      </w:r>
      <w:bookmarkEnd w:id="29"/>
      <w:r w:rsidRPr="00E02F30">
        <w:rPr>
          <w:rFonts w:eastAsia="Times New Roman" w:cs="Arial"/>
          <w:szCs w:val="24"/>
          <w:lang w:eastAsia="pl-PL"/>
        </w:rPr>
        <w:t>na poziomie na poziomie nieprzekraczającym 50 g/h tj. 0,05 kg/h</w:t>
      </w:r>
      <w:bookmarkEnd w:id="28"/>
      <w:r w:rsidRPr="00E02F30">
        <w:rPr>
          <w:rFonts w:eastAsia="Times New Roman" w:cs="Arial"/>
          <w:szCs w:val="24"/>
          <w:lang w:eastAsia="pl-PL"/>
        </w:rPr>
        <w:t>.</w:t>
      </w:r>
      <w:bookmarkStart w:id="30" w:name="_Hlk166228969"/>
      <w:r w:rsidRPr="00E02F30">
        <w:rPr>
          <w:rFonts w:eastAsia="Times New Roman" w:cs="Arial"/>
          <w:szCs w:val="24"/>
          <w:lang w:eastAsia="pl-PL"/>
        </w:rPr>
        <w:t xml:space="preserve"> </w:t>
      </w:r>
      <w:r w:rsidRPr="00E02F30">
        <w:rPr>
          <w:rFonts w:eastAsia="Times New Roman" w:cs="Arial"/>
          <w:szCs w:val="24"/>
          <w:lang w:eastAsia="pl-PL"/>
        </w:rPr>
        <w:tab/>
        <w:t>Wyniki pomiarów prowadzonych w latach 2015-2018 oraz z 2021wskazują, że emisja amoniaku oraz toluenu nie przekracza wartości granicznej wskazanej w  konkluzjach BAT, tj. 50 g/h, stąd też przychylono się do wniosku Spółki o określenie emisji dopuszczalnej od  12.12.2026r. na poziomie nie wyższym niż 50 g/h, tj. 0,05 kg/h w oparciu o wyniki pomiarów.</w:t>
      </w:r>
    </w:p>
    <w:p w14:paraId="1714BADE" w14:textId="77777777" w:rsidR="00E02F30" w:rsidRPr="00E02F30" w:rsidRDefault="00E02F30" w:rsidP="00E02F30">
      <w:pPr>
        <w:spacing w:after="0" w:line="240" w:lineRule="auto"/>
        <w:ind w:firstLine="709"/>
        <w:jc w:val="both"/>
        <w:rPr>
          <w:rFonts w:eastAsia="Times New Roman" w:cs="Arial"/>
          <w:szCs w:val="24"/>
          <w:lang w:eastAsia="pl-PL"/>
        </w:rPr>
      </w:pPr>
      <w:r w:rsidRPr="00E02F30">
        <w:rPr>
          <w:rFonts w:eastAsia="Times New Roman" w:cs="Arial"/>
          <w:szCs w:val="24"/>
          <w:lang w:eastAsia="pl-PL"/>
        </w:rPr>
        <w:t xml:space="preserve">Po wdrożeniu od 12.12.2026 r. monitoringu emisji do powietrza zgodnego </w:t>
      </w:r>
      <w:r w:rsidRPr="00E02F30">
        <w:rPr>
          <w:rFonts w:eastAsia="Times New Roman" w:cs="Arial"/>
          <w:szCs w:val="24"/>
          <w:lang w:eastAsia="pl-PL"/>
        </w:rPr>
        <w:br/>
        <w:t>z wymaganiami BAT 8 konkluzji BAT WGC możliwa będzie weryfikacja emisji dopuszczalnej w celu jej określenia w warunkach normalnego funkcjonowania instalacji nie większej niż wynikającej z prawidłowej eksploatacji instalacji i ewentualna zmiana pozwolenia zintegrowanego o ile będzie to wymagane.</w:t>
      </w:r>
      <w:bookmarkEnd w:id="30"/>
    </w:p>
    <w:p w14:paraId="11518EA0" w14:textId="77777777" w:rsidR="00E02F30" w:rsidRPr="00E02F30" w:rsidRDefault="00E02F30" w:rsidP="00E02F30">
      <w:pPr>
        <w:spacing w:after="0" w:line="276" w:lineRule="auto"/>
        <w:ind w:firstLine="709"/>
        <w:jc w:val="both"/>
        <w:rPr>
          <w:rFonts w:eastAsia="Times New Roman" w:cs="Arial"/>
          <w:szCs w:val="24"/>
          <w:lang w:eastAsia="pl-PL"/>
        </w:rPr>
      </w:pPr>
      <w:r w:rsidRPr="00E02F30">
        <w:rPr>
          <w:rFonts w:eastAsia="Times New Roman" w:cs="Arial"/>
          <w:szCs w:val="24"/>
          <w:lang w:eastAsia="pl-PL"/>
        </w:rPr>
        <w:t xml:space="preserve">Dodatkowo Marszałek Województwa Podkarpackiego w punkcie XIV.3. zobowiązał Prowadzącego instalację do kontynuacji prowadzonego monitoringu jakości powietrza do końca roku 2026.  Dotychczas Sarzyna </w:t>
      </w:r>
      <w:proofErr w:type="spellStart"/>
      <w:r w:rsidRPr="00E02F30">
        <w:rPr>
          <w:rFonts w:eastAsia="Times New Roman" w:cs="Arial"/>
          <w:szCs w:val="24"/>
          <w:lang w:eastAsia="pl-PL"/>
        </w:rPr>
        <w:t>Chemical</w:t>
      </w:r>
      <w:proofErr w:type="spellEnd"/>
      <w:r w:rsidRPr="00E02F30">
        <w:rPr>
          <w:rFonts w:eastAsia="Times New Roman" w:cs="Arial"/>
          <w:szCs w:val="24"/>
          <w:lang w:eastAsia="pl-PL"/>
        </w:rPr>
        <w:t xml:space="preserve"> Sp. z o.o. monitoruje stan jakości powietrza poza zakładem w 4 punktach monitoringowych w ramach wdrożonego i funkcjonującego Systemu Zarządzania Środowiskiem (EMS) zgodnego z normą PN-EN ISO 14001:2005 potwierdzonego certyfikatem jednostki certyfikującej. Pomiary </w:t>
      </w:r>
      <w:proofErr w:type="spellStart"/>
      <w:r w:rsidRPr="00E02F30">
        <w:rPr>
          <w:rFonts w:eastAsia="Times New Roman" w:cs="Arial"/>
          <w:szCs w:val="24"/>
          <w:lang w:eastAsia="pl-PL"/>
        </w:rPr>
        <w:t>imisji</w:t>
      </w:r>
      <w:proofErr w:type="spellEnd"/>
      <w:r w:rsidRPr="00E02F30">
        <w:rPr>
          <w:rFonts w:eastAsia="Times New Roman" w:cs="Arial"/>
          <w:szCs w:val="24"/>
          <w:lang w:eastAsia="pl-PL"/>
        </w:rPr>
        <w:t xml:space="preserve"> stężeń substancji są wykonywane zgodnie z aktualnymi metodykami i Polskimi Normami dla charakterystycznych czterech substancji: epichlorohydryna, ksylen, styren i toluen, z częstotliwością minimum co 1 miesiąc w zmiennych porach doby. Zakres tych pomiarów dotyczy w sumie wszystkich instalacji chemicznych jakie uzyskały pozwolenia zintegrowane (z wyłączeniem Instalacji Aminowania </w:t>
      </w:r>
      <w:proofErr w:type="spellStart"/>
      <w:r w:rsidRPr="00E02F30">
        <w:rPr>
          <w:rFonts w:eastAsia="Times New Roman" w:cs="Arial"/>
          <w:szCs w:val="24"/>
          <w:lang w:eastAsia="pl-PL"/>
        </w:rPr>
        <w:t>Glifosatu</w:t>
      </w:r>
      <w:proofErr w:type="spellEnd"/>
      <w:r w:rsidRPr="00E02F30">
        <w:rPr>
          <w:rFonts w:eastAsia="Times New Roman" w:cs="Arial"/>
          <w:szCs w:val="24"/>
          <w:lang w:eastAsia="pl-PL"/>
        </w:rPr>
        <w:t xml:space="preserve"> (G)) położonych na terenie Spółek: </w:t>
      </w:r>
      <w:r w:rsidRPr="00E02F30">
        <w:rPr>
          <w:rFonts w:eastAsia="Times New Roman" w:cs="Arial"/>
          <w:szCs w:val="24"/>
          <w:lang w:eastAsia="it-IT"/>
        </w:rPr>
        <w:t xml:space="preserve">Sarzyna </w:t>
      </w:r>
      <w:proofErr w:type="spellStart"/>
      <w:r w:rsidRPr="00E02F30">
        <w:rPr>
          <w:rFonts w:eastAsia="Times New Roman" w:cs="Arial"/>
          <w:szCs w:val="24"/>
          <w:lang w:eastAsia="it-IT"/>
        </w:rPr>
        <w:t>Chemical</w:t>
      </w:r>
      <w:proofErr w:type="spellEnd"/>
      <w:r w:rsidRPr="00E02F30">
        <w:rPr>
          <w:rFonts w:eastAsia="Times New Roman" w:cs="Arial"/>
          <w:szCs w:val="24"/>
          <w:lang w:eastAsia="it-IT"/>
        </w:rPr>
        <w:t xml:space="preserve"> Sp. z o.o. oraz </w:t>
      </w:r>
      <w:bookmarkStart w:id="31" w:name="_Hlk172806279"/>
      <w:proofErr w:type="spellStart"/>
      <w:r w:rsidRPr="00E02F30">
        <w:rPr>
          <w:rFonts w:eastAsia="Times New Roman" w:cs="Arial"/>
          <w:szCs w:val="24"/>
          <w:lang w:eastAsia="pl-PL"/>
        </w:rPr>
        <w:t>Qemetica</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Agricultural</w:t>
      </w:r>
      <w:proofErr w:type="spellEnd"/>
      <w:r w:rsidRPr="00E02F30">
        <w:rPr>
          <w:rFonts w:eastAsia="Times New Roman" w:cs="Arial"/>
          <w:szCs w:val="24"/>
          <w:lang w:eastAsia="pl-PL"/>
        </w:rPr>
        <w:t xml:space="preserve"> Solutions Poland S.A. </w:t>
      </w:r>
      <w:bookmarkEnd w:id="31"/>
      <w:r w:rsidRPr="00E02F30">
        <w:rPr>
          <w:rFonts w:eastAsia="Times New Roman" w:cs="Arial"/>
          <w:szCs w:val="24"/>
          <w:lang w:eastAsia="pl-PL"/>
        </w:rPr>
        <w:t xml:space="preserve">(wcześniej CIECH Sarzyna S.A.). </w:t>
      </w:r>
      <w:r w:rsidRPr="00E02F30">
        <w:rPr>
          <w:rFonts w:eastAsia="Times New Roman" w:cs="Arial"/>
          <w:szCs w:val="24"/>
          <w:lang w:eastAsia="pl-PL"/>
        </w:rPr>
        <w:br/>
        <w:t>Na wniosek Prowadzącego instalacje pozostawiono dotychczasowy zakres monitoringu co do rodzaju zanieczyszczeń.</w:t>
      </w:r>
    </w:p>
    <w:p w14:paraId="00D9378B"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 xml:space="preserve">Celem tych pomiarów jest ocena wpływu instalacji wymagających pozwolenia zintegrowanego na jakość powietrza. </w:t>
      </w:r>
    </w:p>
    <w:p w14:paraId="28347171"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Zgodnie z art. 188 ust. 2b oraz art. 202 ust. 4 ustawy Prawo ochrony środowiska w punkcie II.3. niniejszej decyzji ustalono dopuszczalne rodzaje i ilości wytwarzanych odpadów niebezpiecznych oraz odpadów innych niż niebezpieczne, podstawowy skład chemiczny i właściwości wytwarzanych odpadów oraz sposób, miejsce magazynowania, a także sposób dalszego ich zagospodarowania w poszczególnych instalacjach. Warunki gospodarowania wytwarzanymi odpadami oraz sposoby i miejsca ich magazynowania ustalono w punkcie IV.3 niniejszej decyzji.</w:t>
      </w:r>
    </w:p>
    <w:p w14:paraId="7EF0BA64"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 xml:space="preserve">Odpady wytwarzane w związku z eksploatacją instalacji będą gromadzone na terenie poszczególnych instalacji, które na bieżąco przewożone będą do miejsca magazynowania odpadów znajdującego się na terenie Spółki, a następnie przekazywane do odzysku lub unieszkodliwienia przez wyspecjalizowane firmy zewnętrze, posiadające wymagane zezwolenia na prowadzenie działalności w zakresie gospodarowania odpadami, poza granicami Zakładu. </w:t>
      </w:r>
      <w:r w:rsidRPr="00E02F30">
        <w:rPr>
          <w:rFonts w:eastAsia="Times New Roman" w:cs="Arial"/>
          <w:szCs w:val="24"/>
          <w:lang w:eastAsia="pl-PL"/>
        </w:rPr>
        <w:tab/>
      </w:r>
      <w:r w:rsidRPr="00E02F30">
        <w:rPr>
          <w:rFonts w:eastAsia="Times New Roman" w:cs="Arial"/>
          <w:color w:val="70AD47"/>
          <w:szCs w:val="24"/>
          <w:lang w:eastAsia="pl-PL"/>
        </w:rPr>
        <w:tab/>
      </w:r>
      <w:r w:rsidRPr="00E02F30">
        <w:rPr>
          <w:rFonts w:eastAsia="Times New Roman" w:cs="Arial"/>
          <w:color w:val="70AD47"/>
          <w:szCs w:val="24"/>
          <w:lang w:eastAsia="pl-PL"/>
        </w:rPr>
        <w:tab/>
      </w:r>
      <w:r w:rsidRPr="00E02F30">
        <w:rPr>
          <w:rFonts w:eastAsia="Times New Roman" w:cs="Arial"/>
          <w:color w:val="70AD47"/>
          <w:szCs w:val="24"/>
          <w:lang w:eastAsia="pl-PL"/>
        </w:rPr>
        <w:tab/>
      </w:r>
      <w:r w:rsidRPr="00E02F30">
        <w:rPr>
          <w:rFonts w:eastAsia="Times New Roman" w:cs="Arial"/>
          <w:szCs w:val="24"/>
          <w:lang w:eastAsia="pl-PL"/>
        </w:rPr>
        <w:t>Zgodnie z wnioskiem Strony wytwarzane odpady magazynowane będą w miejscach wydzielonych oraz zabezpieczonych przed dostępem osób postronnych, w sposób selektywny, uniemożliwiający ich zmieszanie oraz zabezpieczający środowisko wodne i gruntowe przed zanieczyszczeniami. Materiał, z którego będą wykonane pojemniki oraz ich objętość dostosowane będą do ilości, rodzaju i składu odpadów. Miejsca magazynowania olejów odpadowych wyposażone będą w urządzenia lub środki do zbierania ewentualnych wycieków. Po zgromadzeniu odpowiedniej ilości, odpady będą transportowane przez odbiorców odpadów do miejsca ich zbierania, odzysku lub unieszkodliwiania. Odpady transportowane będą transportem odbiorców odpadów posiadających wymagane prawem zezwolenia, z częstotliwością wynikającą z procesów technologicznych oraz z pojemności wyznaczonych miejsc magazynowania odpadów.</w:t>
      </w:r>
    </w:p>
    <w:p w14:paraId="742B7876"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W podpunkcie II.3.2. pozwolenia zobowiązano Prowadzącego instalacje do zapobiegania powstawaniu oraz ograniczania ilości odpadów i ich negatywnego wpływu na środowisko.</w:t>
      </w:r>
    </w:p>
    <w:p w14:paraId="42B93F47"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W instalacji prowadzona będzie ilościowa i jakościowa ewidencja odpadów wytwarzanych, w oparciu o katalog odpadów za pomocą kart ewidencji odpadów, a także kart przekazania odpadów w Bazie danych o produktach i opakowaniach oraz o gospodarce odpadami (BDO), o czym mowa w podpunkcie VI.9. pozwolenia.</w:t>
      </w:r>
    </w:p>
    <w:p w14:paraId="57BD5CBC"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 xml:space="preserve">Zgodnie z wymogami art. 211 ust. 1 ustawy Prawo ochrony środowiska w punkcie V.1. pozwolenia określono maksymalne ilości wody pobieranej na potrzeby instalacji objętych pozwoleniem. Woda pobierana przez instalacje IPPC zużywana jest do celów technologicznych, chłodniczych oraz </w:t>
      </w:r>
      <w:r w:rsidRPr="00176341">
        <w:rPr>
          <w:rFonts w:eastAsia="Times New Roman" w:cs="Arial"/>
          <w:szCs w:val="24"/>
          <w:lang w:eastAsia="pl-PL"/>
        </w:rPr>
        <w:t xml:space="preserve">socjalnych. Na potrzeby </w:t>
      </w:r>
      <w:r w:rsidRPr="00E02F30">
        <w:rPr>
          <w:rFonts w:eastAsia="Times New Roman" w:cs="Arial"/>
          <w:szCs w:val="24"/>
          <w:lang w:eastAsia="pl-PL"/>
        </w:rPr>
        <w:t xml:space="preserve">zakładu w tym przedmiotowych instalacji woda do sieci wodociągowej i zamkniętego obiegu wody chłodniczej i technologicznej jest nabywana na podstawie umowy zawartej ze Spółką: </w:t>
      </w:r>
      <w:proofErr w:type="spellStart"/>
      <w:r w:rsidRPr="00E02F30">
        <w:rPr>
          <w:rFonts w:eastAsia="Times New Roman" w:cs="Arial"/>
          <w:szCs w:val="24"/>
          <w:lang w:eastAsia="pl-PL"/>
        </w:rPr>
        <w:t>Qemetica</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Agricultural</w:t>
      </w:r>
      <w:proofErr w:type="spellEnd"/>
      <w:r w:rsidRPr="00E02F30">
        <w:rPr>
          <w:rFonts w:eastAsia="Times New Roman" w:cs="Arial"/>
          <w:szCs w:val="24"/>
          <w:lang w:eastAsia="pl-PL"/>
        </w:rPr>
        <w:t xml:space="preserve"> Solutions Poland S.A. (wcześniej CIECH Sarzyna S.A.). Monitoring zużycia wody prowadzony będzie w oparciu o comiesięczne odczyty wodomierzy zainstalowanych na przyłączach do poszczególnych instalacji. Prowadzona będzie ewidencja zużycia wody w danej instalacji z podziałem na cele użycia: technologiczne, chłodnicze i pozostałe z uwzględnieniem źródła jej poboru.</w:t>
      </w:r>
    </w:p>
    <w:p w14:paraId="169B7F40"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Zgodnie z zapisem art. 211 ust. 6 pkt. 7 ustawy Prawo ochrony środowiska w pozwoleniu zintegrowanym ustala się ilość, stan i skład ścieków przemysłowych.</w:t>
      </w:r>
    </w:p>
    <w:p w14:paraId="666D83C1"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 xml:space="preserve">W wyniku prowadzonej działalności przez Sarzyna </w:t>
      </w:r>
      <w:proofErr w:type="spellStart"/>
      <w:r w:rsidRPr="00E02F30">
        <w:rPr>
          <w:rFonts w:eastAsia="Times New Roman" w:cs="Arial"/>
          <w:szCs w:val="24"/>
          <w:lang w:eastAsia="pl-PL"/>
        </w:rPr>
        <w:t>Chemical</w:t>
      </w:r>
      <w:proofErr w:type="spellEnd"/>
      <w:r w:rsidRPr="00E02F30">
        <w:rPr>
          <w:rFonts w:eastAsia="Times New Roman" w:cs="Arial"/>
          <w:szCs w:val="24"/>
          <w:lang w:eastAsia="pl-PL"/>
        </w:rPr>
        <w:t xml:space="preserve"> Sp. z o.o. powstają ścieki technologiczne (przemysłowe), wody chłodnicze, wody opadowe i roztopowe oraz ścieki bytowe.</w:t>
      </w:r>
    </w:p>
    <w:p w14:paraId="12646439" w14:textId="77777777" w:rsidR="00E02F30" w:rsidRPr="00E02F30" w:rsidRDefault="00E02F30" w:rsidP="00E02F30">
      <w:pPr>
        <w:spacing w:after="0" w:line="276" w:lineRule="auto"/>
        <w:jc w:val="both"/>
        <w:rPr>
          <w:rFonts w:eastAsia="Times New Roman" w:cs="Arial"/>
          <w:szCs w:val="24"/>
          <w:lang w:eastAsia="pl-PL"/>
        </w:rPr>
      </w:pPr>
      <w:r w:rsidRPr="00E02F30">
        <w:rPr>
          <w:rFonts w:eastAsia="Times New Roman" w:cs="Arial"/>
          <w:szCs w:val="24"/>
          <w:lang w:eastAsia="pl-PL"/>
        </w:rPr>
        <w:t>Na terenie zakładu istnieje rozdzielczy system wewnętrznych sieci kanalizacyjnych:</w:t>
      </w:r>
    </w:p>
    <w:p w14:paraId="3065A1C5" w14:textId="77777777" w:rsidR="00E02F30" w:rsidRPr="00E02F30" w:rsidRDefault="00E02F30">
      <w:pPr>
        <w:widowControl w:val="0"/>
        <w:numPr>
          <w:ilvl w:val="0"/>
          <w:numId w:val="96"/>
        </w:numPr>
        <w:adjustRightInd w:val="0"/>
        <w:spacing w:after="0" w:line="276" w:lineRule="auto"/>
        <w:ind w:left="284" w:hanging="284"/>
        <w:jc w:val="both"/>
        <w:textAlignment w:val="baseline"/>
        <w:rPr>
          <w:rFonts w:eastAsia="Times New Roman" w:cs="Arial"/>
          <w:szCs w:val="24"/>
          <w:lang w:eastAsia="pl-PL"/>
        </w:rPr>
      </w:pPr>
      <w:r w:rsidRPr="00E02F30">
        <w:rPr>
          <w:rFonts w:eastAsia="Times New Roman" w:cs="Arial"/>
          <w:szCs w:val="24"/>
          <w:lang w:eastAsia="pl-PL"/>
        </w:rPr>
        <w:t>sieć kanalizacyjna wód chłodniczych (obieg zamknięty),</w:t>
      </w:r>
    </w:p>
    <w:p w14:paraId="45FBCBD9" w14:textId="77777777" w:rsidR="00E02F30" w:rsidRPr="00E02F30" w:rsidRDefault="00E02F30">
      <w:pPr>
        <w:widowControl w:val="0"/>
        <w:numPr>
          <w:ilvl w:val="0"/>
          <w:numId w:val="96"/>
        </w:numPr>
        <w:adjustRightInd w:val="0"/>
        <w:spacing w:after="0" w:line="276" w:lineRule="auto"/>
        <w:ind w:left="284" w:hanging="284"/>
        <w:jc w:val="both"/>
        <w:textAlignment w:val="baseline"/>
        <w:rPr>
          <w:rFonts w:eastAsia="Times New Roman" w:cs="Arial"/>
          <w:szCs w:val="24"/>
          <w:lang w:eastAsia="pl-PL"/>
        </w:rPr>
      </w:pPr>
      <w:r w:rsidRPr="00E02F30">
        <w:rPr>
          <w:rFonts w:eastAsia="Times New Roman" w:cs="Arial"/>
          <w:szCs w:val="24"/>
          <w:lang w:eastAsia="pl-PL"/>
        </w:rPr>
        <w:t>sieć kanalizacyjna do odprowadzania ścieków bytowych,</w:t>
      </w:r>
    </w:p>
    <w:p w14:paraId="67C81008" w14:textId="77777777" w:rsidR="00E02F30" w:rsidRPr="00E02F30" w:rsidRDefault="00E02F30">
      <w:pPr>
        <w:widowControl w:val="0"/>
        <w:numPr>
          <w:ilvl w:val="0"/>
          <w:numId w:val="96"/>
        </w:numPr>
        <w:adjustRightInd w:val="0"/>
        <w:spacing w:after="0" w:line="276" w:lineRule="auto"/>
        <w:ind w:left="284" w:hanging="284"/>
        <w:jc w:val="both"/>
        <w:textAlignment w:val="baseline"/>
        <w:rPr>
          <w:rFonts w:eastAsia="Times New Roman" w:cs="Arial"/>
          <w:szCs w:val="24"/>
          <w:lang w:eastAsia="pl-PL"/>
        </w:rPr>
      </w:pPr>
      <w:r w:rsidRPr="00E02F30">
        <w:rPr>
          <w:rFonts w:eastAsia="Times New Roman" w:cs="Arial"/>
          <w:szCs w:val="24"/>
          <w:lang w:eastAsia="pl-PL"/>
        </w:rPr>
        <w:t>sieć kanalizacyjna do odprowadzania ścieków przemysłowych.</w:t>
      </w:r>
    </w:p>
    <w:p w14:paraId="011BF8B3" w14:textId="77777777" w:rsidR="00E02F30" w:rsidRPr="00176341" w:rsidRDefault="00E02F30" w:rsidP="00E02F30">
      <w:pPr>
        <w:spacing w:after="0" w:line="276" w:lineRule="auto"/>
        <w:ind w:firstLine="709"/>
        <w:jc w:val="both"/>
        <w:rPr>
          <w:rFonts w:eastAsia="Times New Roman" w:cs="Arial"/>
          <w:szCs w:val="24"/>
          <w:lang w:eastAsia="pl-PL"/>
        </w:rPr>
      </w:pPr>
      <w:r w:rsidRPr="00E02F30">
        <w:rPr>
          <w:rFonts w:eastAsia="Times New Roman" w:cs="Arial"/>
          <w:szCs w:val="24"/>
          <w:lang w:eastAsia="pl-PL"/>
        </w:rPr>
        <w:t>Wody chłodnicze krążą w obiegu zamkniętym. W przypadku awarii i wzrostu stężeń wskaźników woda z układu zamkniętego odprowadzana jest do kanalizacji ścieków przemysłowych, a układ uzupełniany jest świeżą wodą</w:t>
      </w:r>
      <w:r w:rsidRPr="00E02F30">
        <w:rPr>
          <w:rFonts w:eastAsia="Times New Roman" w:cs="Times New Roman"/>
          <w:szCs w:val="24"/>
          <w:lang w:eastAsia="pl-PL"/>
        </w:rPr>
        <w:t xml:space="preserve"> z zakładowego </w:t>
      </w:r>
      <w:r w:rsidRPr="00176341">
        <w:rPr>
          <w:rFonts w:eastAsia="Times New Roman" w:cs="Times New Roman"/>
          <w:szCs w:val="24"/>
          <w:lang w:eastAsia="pl-PL"/>
        </w:rPr>
        <w:t>wodociągu</w:t>
      </w:r>
      <w:r w:rsidRPr="00176341">
        <w:rPr>
          <w:rFonts w:eastAsia="Times New Roman" w:cs="Arial"/>
          <w:szCs w:val="24"/>
          <w:lang w:eastAsia="pl-PL"/>
        </w:rPr>
        <w:t>.</w:t>
      </w:r>
    </w:p>
    <w:p w14:paraId="29208CD2" w14:textId="77777777" w:rsidR="00E02F30" w:rsidRPr="00E02F30" w:rsidRDefault="00E02F30" w:rsidP="00E02F30">
      <w:pPr>
        <w:spacing w:before="60" w:after="60" w:line="276" w:lineRule="auto"/>
        <w:ind w:firstLine="709"/>
        <w:jc w:val="both"/>
        <w:rPr>
          <w:rFonts w:eastAsia="Times New Roman" w:cs="Arial"/>
          <w:szCs w:val="24"/>
          <w:lang w:eastAsia="pl-PL"/>
        </w:rPr>
      </w:pPr>
      <w:r w:rsidRPr="00176341">
        <w:rPr>
          <w:rFonts w:eastAsia="Times New Roman" w:cs="Arial"/>
          <w:szCs w:val="24"/>
          <w:lang w:eastAsia="pl-PL"/>
        </w:rPr>
        <w:t xml:space="preserve">Strumienie </w:t>
      </w:r>
      <w:r w:rsidRPr="00E02F30">
        <w:rPr>
          <w:rFonts w:eastAsia="Times New Roman" w:cs="Arial"/>
          <w:szCs w:val="24"/>
          <w:lang w:eastAsia="pl-PL"/>
        </w:rPr>
        <w:t xml:space="preserve">ścieków technologicznych z poszczególnych przedmiotowych instalacji produkcyjnych i obiektów pomocniczych, po ich mechanicznym, fizykochemicznym i chemicznym podczyszczeniu, odprowadza się do sieci kanalizacyjnych wewnątrz wydziałowych, a następnie wspólnym kolektorem kanalizacyjnym ścieków przemysłowych kierowane są do urządzeń kanalizacyjnych Spółki: CIECH Sarzyna S.A. Następnie ścieki przemysłowe, jako mieszanina ścieków przemysłowych i sanitarnych z Sarzyna </w:t>
      </w:r>
      <w:proofErr w:type="spellStart"/>
      <w:r w:rsidRPr="00E02F30">
        <w:rPr>
          <w:rFonts w:eastAsia="Times New Roman" w:cs="Arial"/>
          <w:szCs w:val="24"/>
          <w:lang w:eastAsia="pl-PL"/>
        </w:rPr>
        <w:t>Chemical</w:t>
      </w:r>
      <w:proofErr w:type="spellEnd"/>
      <w:r w:rsidRPr="00E02F30">
        <w:rPr>
          <w:rFonts w:eastAsia="Times New Roman" w:cs="Arial"/>
          <w:szCs w:val="24"/>
          <w:lang w:eastAsia="pl-PL"/>
        </w:rPr>
        <w:t xml:space="preserve"> Sp. z o.o. odprowadzane są do urządzeń kanalizacyjnych Komunalnej Biologicznej Oczyszczalni Ścieków Sp. z o.o. (KBOŚ).</w:t>
      </w:r>
    </w:p>
    <w:p w14:paraId="60C72B0E"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 xml:space="preserve">Sarzyna </w:t>
      </w:r>
      <w:proofErr w:type="spellStart"/>
      <w:r w:rsidRPr="00E02F30">
        <w:rPr>
          <w:rFonts w:eastAsia="Times New Roman" w:cs="Arial"/>
          <w:szCs w:val="24"/>
          <w:lang w:eastAsia="pl-PL"/>
        </w:rPr>
        <w:t>Chemical</w:t>
      </w:r>
      <w:proofErr w:type="spellEnd"/>
      <w:r w:rsidRPr="00E02F30">
        <w:rPr>
          <w:rFonts w:eastAsia="Times New Roman" w:cs="Arial"/>
          <w:szCs w:val="24"/>
          <w:lang w:eastAsia="pl-PL"/>
        </w:rPr>
        <w:t xml:space="preserve"> Sp. z o.o. na wprowadzanie ścieków przemysłowych zawierających substancje szczególnie szkodliwe dla środowiska wodnego do urządzeń kanalizacyjnych, będących własnością </w:t>
      </w:r>
      <w:proofErr w:type="spellStart"/>
      <w:r w:rsidRPr="00E02F30">
        <w:rPr>
          <w:rFonts w:eastAsia="Times New Roman" w:cs="Arial"/>
          <w:szCs w:val="24"/>
          <w:lang w:eastAsia="pl-PL"/>
        </w:rPr>
        <w:t>Qemetica</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Agricultural</w:t>
      </w:r>
      <w:proofErr w:type="spellEnd"/>
      <w:r w:rsidRPr="00E02F30">
        <w:rPr>
          <w:rFonts w:eastAsia="Times New Roman" w:cs="Arial"/>
          <w:szCs w:val="24"/>
          <w:lang w:eastAsia="pl-PL"/>
        </w:rPr>
        <w:t xml:space="preserve"> Solutions Poland S.A. (wcześniej CIECH Sarzyna S.A.), posiada pozwolenie wodnoprawne udzielone decyzją Dyrektora Regionalnego Zarządu Gospodarki Wodnej w Rzeszowie PGW WP z dnia 5 grudnia 2023 r. znak: RZ.RUZ.4210.94.2023.PK, która obowiązywać będzie przez kolejne 4 lata.</w:t>
      </w:r>
    </w:p>
    <w:p w14:paraId="53CBAA77"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Wody opadowe i roztopowe nie są ujmowane i odprowadzane z terenu Spółki w sposób wydzielony, nie ma na terenie zakładu oddzielnej sieci kanalizacji deszczowej (wód opadowych i roztopowych). Wody opadowe i roztopowe z dachów oraz dróg i placów istniejących, starszych obiektów spływają grawitacyjnie na przyległe tereny zielone. Z nowych/nowo projektowanych obiektów wody opadowe i roztopowe (z placów utwardzanych, dróg, dachów i tac ochronnych) odprowadzane będą do kanalizacji ścieków przemysłowych. Wody opadowe i roztopowe nie będą wykorzystywane w instalacjach produkcyjnych.</w:t>
      </w:r>
    </w:p>
    <w:p w14:paraId="47576874"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W punktach II.2. i IV.2. pozwolenia ustalono dopuszczalną ilość i warunki odprowadzania ścieków z instalacji do urządzeń kanalizacyjnych. Ponadto w związku z zaniechaniem zatężania ścieków solankowych i odprowadzaniem wysoko zatężonych ścieków do urządzeń kanalizacyjnych innego podmiotu zobowiązano prowadzącego instalacje do prowadzenia monitoringu jakości wód powierzchniowych rzeki San.</w:t>
      </w:r>
    </w:p>
    <w:p w14:paraId="7F4F0014"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Przyjęty sposób gospodarki ściekowej zapewni ochronę środowiska gruntowo-wodnego. Instalacje pod względem emisji ścieków</w:t>
      </w:r>
      <w:r w:rsidRPr="00E02F30">
        <w:rPr>
          <w:rFonts w:eastAsia="Times New Roman" w:cs="Arial"/>
          <w:color w:val="70AD47"/>
          <w:szCs w:val="24"/>
          <w:lang w:eastAsia="pl-PL"/>
        </w:rPr>
        <w:t xml:space="preserve"> </w:t>
      </w:r>
      <w:r w:rsidRPr="00E02F30">
        <w:rPr>
          <w:rFonts w:eastAsia="Times New Roman" w:cs="Arial"/>
          <w:szCs w:val="24"/>
          <w:lang w:eastAsia="pl-PL"/>
        </w:rPr>
        <w:t>bytowych oraz technologicznych nie będą oddziaływać negatywnie na wody powierzchniowe.</w:t>
      </w:r>
    </w:p>
    <w:p w14:paraId="14C30C95"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 xml:space="preserve">Dla instalacji zgodnie z art. 211 ust. 6 pkt 6 ustawy Prawo ochrony środowiska w punkcie IV.4. niniejszej decyzji ustalono warunki istotne z punktu widzenia ochrony przed hałasem, w tym rozkład czasu pracy źródeł hałasu w ciągu doby. Ustalono także wielkość emisji hałasu wyznaczoną dopuszczalnymi poziomami hałasu poza Zakładem, wyrażonymi wskaźnikami poziomu równoważnego hałasu dla dnia i nocy dla terenów objętych ochroną przed hałasem wykazanych w punkcie II.4. niniejszej decyzji. </w:t>
      </w:r>
    </w:p>
    <w:p w14:paraId="19C679C9"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Z uwagi na podział dotychczasowego terenu na poszczególne instalacje Prowadzący instalację przedstawił ocenę wpływu posiadanych instalacji na stan klimatu akustycznego. Przeprowadził także ocenę oddziaływań skumulowanych z innymi instalacjami na terenie Zakładu. Na podstawie przeprowadzonej analizy stwierdzono, że instalacje nie wpływają na pogorszenie stanu klimatu akustycznego oraz nie stanowią źródła przekroczeń dopuszczalnych poziomów hałasu w środowisku.</w:t>
      </w:r>
    </w:p>
    <w:p w14:paraId="6E3ADCB3"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 xml:space="preserve">Z uwagi na powyższe w punkcie VI.3. niniejszej decyzji ustalono monitoring emisji hałasu do środowiska z zastosowaniem metody obliczeniowej w oparciu o dane dotyczące wszystkich źródeł hałasu w celu określenia oddziaływania akustycznego instalacji w określonych punktach kontrolnych zgodnie z metodyką referencyjną wynikającą z obowiązujących przepisów szczególnych i Polskich Norm, w tym również w zakresie częstotliwości pomiarów. </w:t>
      </w:r>
    </w:p>
    <w:p w14:paraId="6331A035"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W przedmiotowych instalacjach IPPC nie przewiduje się pracy w warunkach odbiegających od normalnych innych niż rozruch i wyłączenie. Jednak w tych przypadkach nie nastąpi wzrost wielkości emisji substancji do powietrza atmosferycznego, w stosunku do wielkości opisanych powyżej.</w:t>
      </w:r>
    </w:p>
    <w:p w14:paraId="01DC01BA"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W przedmiotowych instalacjach IPPC nie prowadzi się procesów objętych standardami emisyjnymi.</w:t>
      </w:r>
    </w:p>
    <w:p w14:paraId="703AE255"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color w:val="70AD47"/>
          <w:szCs w:val="24"/>
          <w:lang w:eastAsia="pl-PL"/>
        </w:rPr>
        <w:t xml:space="preserve"> </w:t>
      </w:r>
      <w:r w:rsidRPr="00E02F30">
        <w:rPr>
          <w:rFonts w:eastAsia="Times New Roman" w:cs="Arial"/>
          <w:szCs w:val="24"/>
          <w:lang w:eastAsia="pl-PL"/>
        </w:rPr>
        <w:t>W punkcie VI.1. pozwolenia ustalono warunki prowadzenia monitoringu procesów technologicznych w instalacji. Obsługa monitorować będzie na bieżąco prawidłowość przebiegu poszczególnych procesów, korzystając z systemów automatyki służących do sterowania procesem, nadzorowania procesów technologicznych, rejestracji zdarzeń i raportowania zgodnie z instrukcjami i procedurami systemu zarzadzania jakością. Uzyskiwane dane służyć będą również utrzymaniu prawidłowego stanu technicznego urządzeń, ich diagnostyce, planowaniu remontów i konserwacji. Wszystkie instalacje powinny być eksploatowane zgodnie z DTR i przy zachowaniu właściwych parametrów technicznych.</w:t>
      </w:r>
    </w:p>
    <w:p w14:paraId="1E09C5B4"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Prowadzony będzie monitoring zużycia wody, energii i surowców chemicznych i efektywności ich wykorzystania.</w:t>
      </w:r>
    </w:p>
    <w:p w14:paraId="77F2474E"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 xml:space="preserve">Zgodnie z wymogiem art. 211 ust. 6 pkt. 3 ustawy </w:t>
      </w:r>
      <w:proofErr w:type="spellStart"/>
      <w:r w:rsidRPr="00E02F30">
        <w:rPr>
          <w:rFonts w:eastAsia="Times New Roman" w:cs="Arial"/>
          <w:szCs w:val="24"/>
          <w:lang w:eastAsia="pl-PL"/>
        </w:rPr>
        <w:t>Poś</w:t>
      </w:r>
      <w:proofErr w:type="spellEnd"/>
      <w:r w:rsidRPr="00E02F30">
        <w:rPr>
          <w:rFonts w:eastAsia="Times New Roman" w:cs="Arial"/>
          <w:szCs w:val="24"/>
          <w:lang w:eastAsia="pl-PL"/>
        </w:rPr>
        <w:t xml:space="preserve"> w pozwoleniu określono wymagania zapewniające ochronę gleby, ziemi i wód podczas eksploatacji instalacji oraz sposób ich nadzorowania. Z uwagi na fakt, że Sarzyna </w:t>
      </w:r>
      <w:proofErr w:type="spellStart"/>
      <w:r w:rsidRPr="00E02F30">
        <w:rPr>
          <w:rFonts w:eastAsia="Times New Roman" w:cs="Arial"/>
          <w:szCs w:val="24"/>
          <w:lang w:eastAsia="pl-PL"/>
        </w:rPr>
        <w:t>Chemical</w:t>
      </w:r>
      <w:proofErr w:type="spellEnd"/>
      <w:r w:rsidRPr="00E02F30">
        <w:rPr>
          <w:rFonts w:eastAsia="Times New Roman" w:cs="Arial"/>
          <w:szCs w:val="24"/>
          <w:lang w:eastAsia="pl-PL"/>
        </w:rPr>
        <w:t xml:space="preserve"> Sp. z o.o. prowadzi sześć instalacji IPPC, składających się z linii technologicznych, które zostały podzielone na trzy grupy i są objęte odrębnymi pozwoleniami zintegrowanymi (PZI1,PZI2,PZI3) Prowadzący instalacje przedłożył projekt monitoringu powierzchni ziemi opracowany przez uprawnionego geologa, w którym przedstawia sytuację na terenie Zakładu w ww. zakresie. Przy sporządzaniu projektu wykorzystano dane z badań w sieci monitoringu lokalnego, obejmujące glebę, ziemię i wody podziemne oraz inne materiały i opracowania archiwalne. Poinformowano m.in., że na obszarze dawnych Zakładów Chemicznych w Nowej Sarzynie, w związku ze stwierdzeniem zanieczyszczeń środowiska gruntowo-wodnego, jest obecnie prowadzony proces </w:t>
      </w:r>
      <w:proofErr w:type="spellStart"/>
      <w:r w:rsidRPr="00E02F30">
        <w:rPr>
          <w:rFonts w:eastAsia="Times New Roman" w:cs="Arial"/>
          <w:szCs w:val="24"/>
          <w:lang w:eastAsia="pl-PL"/>
        </w:rPr>
        <w:t>remediacji</w:t>
      </w:r>
      <w:proofErr w:type="spellEnd"/>
      <w:r w:rsidRPr="00E02F30">
        <w:rPr>
          <w:rFonts w:eastAsia="Times New Roman" w:cs="Arial"/>
          <w:szCs w:val="24"/>
          <w:lang w:eastAsia="pl-PL"/>
        </w:rPr>
        <w:t xml:space="preserve">. Zakres prowadzonych prac i badań został ustalony w decyzji Regionalnego Dyrektora Ochrony Środowiska w Rzeszowie ustalającej plan </w:t>
      </w:r>
      <w:proofErr w:type="spellStart"/>
      <w:r w:rsidRPr="00E02F30">
        <w:rPr>
          <w:rFonts w:eastAsia="Times New Roman" w:cs="Arial"/>
          <w:szCs w:val="24"/>
          <w:lang w:eastAsia="pl-PL"/>
        </w:rPr>
        <w:t>remediacji</w:t>
      </w:r>
      <w:proofErr w:type="spellEnd"/>
      <w:r w:rsidRPr="00E02F30">
        <w:rPr>
          <w:rFonts w:eastAsia="Times New Roman" w:cs="Arial"/>
          <w:szCs w:val="24"/>
          <w:lang w:eastAsia="pl-PL"/>
        </w:rPr>
        <w:t xml:space="preserve"> historycznego zanieczyszczenia ziemi na terenie zakładu </w:t>
      </w:r>
      <w:proofErr w:type="spellStart"/>
      <w:r w:rsidRPr="00E02F30">
        <w:rPr>
          <w:rFonts w:eastAsia="Times New Roman" w:cs="Arial"/>
          <w:szCs w:val="24"/>
          <w:lang w:eastAsia="pl-PL"/>
        </w:rPr>
        <w:t>Qemetica</w:t>
      </w:r>
      <w:proofErr w:type="spellEnd"/>
      <w:r w:rsidRPr="00E02F30">
        <w:rPr>
          <w:rFonts w:eastAsia="Times New Roman" w:cs="Arial"/>
          <w:szCs w:val="24"/>
          <w:lang w:eastAsia="pl-PL"/>
        </w:rPr>
        <w:t xml:space="preserve"> </w:t>
      </w:r>
      <w:proofErr w:type="spellStart"/>
      <w:r w:rsidRPr="00E02F30">
        <w:rPr>
          <w:rFonts w:eastAsia="Times New Roman" w:cs="Arial"/>
          <w:szCs w:val="24"/>
          <w:lang w:eastAsia="pl-PL"/>
        </w:rPr>
        <w:t>Agricultural</w:t>
      </w:r>
      <w:proofErr w:type="spellEnd"/>
      <w:r w:rsidRPr="00E02F30">
        <w:rPr>
          <w:rFonts w:eastAsia="Times New Roman" w:cs="Arial"/>
          <w:szCs w:val="24"/>
          <w:lang w:eastAsia="pl-PL"/>
        </w:rPr>
        <w:t xml:space="preserve"> Solutions Poland S.A. (wcześniej CIECH Sarzyna S.A.), w Nowej Sarzynie, na którym prowadzi obecnie działalność także Sarzyna </w:t>
      </w:r>
      <w:proofErr w:type="spellStart"/>
      <w:r w:rsidRPr="00E02F30">
        <w:rPr>
          <w:rFonts w:eastAsia="Times New Roman" w:cs="Arial"/>
          <w:szCs w:val="24"/>
          <w:lang w:eastAsia="pl-PL"/>
        </w:rPr>
        <w:t>Chemical</w:t>
      </w:r>
      <w:proofErr w:type="spellEnd"/>
      <w:r w:rsidRPr="00E02F30">
        <w:rPr>
          <w:rFonts w:eastAsia="Times New Roman" w:cs="Arial"/>
          <w:szCs w:val="24"/>
          <w:lang w:eastAsia="pl-PL"/>
        </w:rPr>
        <w:t xml:space="preserve"> Sp. z o.o. Badania zanieczyszczenia gleby i ziemi na obszarze instalacji IPPC Sarzyna </w:t>
      </w:r>
      <w:proofErr w:type="spellStart"/>
      <w:r w:rsidRPr="00E02F30">
        <w:rPr>
          <w:rFonts w:eastAsia="Times New Roman" w:cs="Arial"/>
          <w:szCs w:val="24"/>
          <w:lang w:eastAsia="pl-PL"/>
        </w:rPr>
        <w:t>Chemical</w:t>
      </w:r>
      <w:proofErr w:type="spellEnd"/>
      <w:r w:rsidRPr="00E02F30">
        <w:rPr>
          <w:rFonts w:eastAsia="Times New Roman" w:cs="Arial"/>
          <w:szCs w:val="24"/>
          <w:lang w:eastAsia="pl-PL"/>
        </w:rPr>
        <w:t xml:space="preserve"> Sp. z o.o. będą prowadzone w systemie ustalonym dla całego kompleksu przemysłowego w badaniach wykonanych w ramach Raportu początkowego wykonanego w 2018 roku.</w:t>
      </w:r>
    </w:p>
    <w:p w14:paraId="24A66F07"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 xml:space="preserve">Raport początkowy objął w części technologicznej kompleksu 26 sekcji poboru próbek zmieszanych z interwału 0,0 – 0,25 m. </w:t>
      </w:r>
    </w:p>
    <w:p w14:paraId="1FFE2468"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Lokalizacja przedmiotowych instalacji IPPC na tle podziału na sekcje z Raportu początkowego przedstawia się następująco:</w:t>
      </w:r>
    </w:p>
    <w:p w14:paraId="73C75A7B" w14:textId="77777777" w:rsidR="00E02F30" w:rsidRPr="00E02F30" w:rsidRDefault="00E02F30">
      <w:pPr>
        <w:widowControl w:val="0"/>
        <w:numPr>
          <w:ilvl w:val="1"/>
          <w:numId w:val="95"/>
        </w:numPr>
        <w:adjustRightInd w:val="0"/>
        <w:spacing w:before="60" w:after="60" w:line="276" w:lineRule="auto"/>
        <w:ind w:left="426" w:hanging="426"/>
        <w:jc w:val="both"/>
        <w:textAlignment w:val="baseline"/>
        <w:rPr>
          <w:rFonts w:eastAsia="Times New Roman" w:cs="Arial"/>
          <w:szCs w:val="24"/>
          <w:lang w:eastAsia="pl-PL"/>
        </w:rPr>
      </w:pPr>
      <w:r w:rsidRPr="00E02F30">
        <w:rPr>
          <w:rFonts w:eastAsia="Times New Roman" w:cs="Arial"/>
          <w:szCs w:val="24"/>
          <w:lang w:eastAsia="pl-PL"/>
        </w:rPr>
        <w:t xml:space="preserve">PZI1 – grupa instalacji: Epoksydy, </w:t>
      </w:r>
      <w:proofErr w:type="spellStart"/>
      <w:r w:rsidRPr="00E02F30">
        <w:rPr>
          <w:rFonts w:eastAsia="Times New Roman" w:cs="Arial"/>
          <w:szCs w:val="24"/>
          <w:lang w:eastAsia="pl-PL"/>
        </w:rPr>
        <w:t>Flodury</w:t>
      </w:r>
      <w:proofErr w:type="spellEnd"/>
      <w:r w:rsidRPr="00E02F30">
        <w:rPr>
          <w:rFonts w:eastAsia="Times New Roman" w:cs="Arial"/>
          <w:szCs w:val="24"/>
          <w:lang w:eastAsia="pl-PL"/>
        </w:rPr>
        <w:t>, Poliestry nasycone SPR – pobór próbek powierzchniowych zmieszanych zostanie wykonany na obszarze sekcji: Nr 22 i 26 w częściach obejmujących nieruchomości Spółki,</w:t>
      </w:r>
    </w:p>
    <w:p w14:paraId="41E7236F" w14:textId="77777777" w:rsidR="00E02F30" w:rsidRPr="00E02F30" w:rsidRDefault="00E02F30">
      <w:pPr>
        <w:widowControl w:val="0"/>
        <w:numPr>
          <w:ilvl w:val="1"/>
          <w:numId w:val="95"/>
        </w:numPr>
        <w:adjustRightInd w:val="0"/>
        <w:spacing w:before="60" w:after="60" w:line="276" w:lineRule="auto"/>
        <w:ind w:left="426" w:hanging="426"/>
        <w:jc w:val="both"/>
        <w:textAlignment w:val="baseline"/>
        <w:rPr>
          <w:rFonts w:eastAsia="Times New Roman" w:cs="Arial"/>
          <w:szCs w:val="24"/>
          <w:lang w:eastAsia="pl-PL"/>
        </w:rPr>
      </w:pPr>
      <w:r w:rsidRPr="00E02F30">
        <w:rPr>
          <w:rFonts w:eastAsia="Times New Roman" w:cs="Arial"/>
          <w:szCs w:val="24"/>
          <w:lang w:eastAsia="pl-PL"/>
        </w:rPr>
        <w:t>PZI2 – grupa instalacji: Fenolowo-Formaldehydowe, Utwardzacze – pobór próbek powierzchniowych zmieszanych będzie prowadzony w wydzielonych sekcjach Nr 15 i 18 w częściach obejmujących nieruchomości Spółki.</w:t>
      </w:r>
    </w:p>
    <w:p w14:paraId="5B4731D0" w14:textId="77777777" w:rsidR="00E02F30" w:rsidRPr="00E02F30" w:rsidRDefault="00E02F30">
      <w:pPr>
        <w:widowControl w:val="0"/>
        <w:numPr>
          <w:ilvl w:val="1"/>
          <w:numId w:val="95"/>
        </w:numPr>
        <w:adjustRightInd w:val="0"/>
        <w:spacing w:before="60" w:after="60" w:line="276" w:lineRule="auto"/>
        <w:ind w:left="426" w:hanging="426"/>
        <w:jc w:val="both"/>
        <w:textAlignment w:val="baseline"/>
        <w:rPr>
          <w:rFonts w:eastAsia="Times New Roman" w:cs="Arial"/>
          <w:szCs w:val="24"/>
          <w:lang w:eastAsia="pl-PL"/>
        </w:rPr>
      </w:pPr>
      <w:r w:rsidRPr="00E02F30">
        <w:rPr>
          <w:rFonts w:eastAsia="Times New Roman" w:cs="Arial"/>
          <w:szCs w:val="24"/>
          <w:lang w:eastAsia="pl-PL"/>
        </w:rPr>
        <w:t>PZI3 - instalacje Poliestry nienasycone UPR (obiekty 501 i 524) – pobór próbek powierzchniowych zmieszanych będzie prowadzony w wydzielonych sekcjach Nr 15, 19 i 21 w częściach obejmujących nieruchomości Spółki.</w:t>
      </w:r>
    </w:p>
    <w:p w14:paraId="554EE642"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 xml:space="preserve">Raport początkowy objął w części technologicznej kompleksu otwory zlokalizowane w odniesieniu do obiektów technologicznych. Pobór próbek punktowych będzie prowadzony z dwóch głębokości: 0.5 m i 1,0 m. </w:t>
      </w:r>
    </w:p>
    <w:p w14:paraId="4EE448D1"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Lokalizacja punktów poboru próbek punktowych na tle instalacji IPPC Spółki, zgodnie z lokalizacją wyznaczona w Raporcie początkowym, przedstawia się następująco:</w:t>
      </w:r>
    </w:p>
    <w:p w14:paraId="26CA67C6" w14:textId="77777777" w:rsidR="00E02F30" w:rsidRPr="00E02F30" w:rsidRDefault="00E02F30" w:rsidP="00E02F30">
      <w:pPr>
        <w:spacing w:before="60" w:after="60" w:line="276" w:lineRule="auto"/>
        <w:ind w:left="284" w:hanging="284"/>
        <w:jc w:val="both"/>
        <w:rPr>
          <w:rFonts w:eastAsia="Times New Roman" w:cs="Arial"/>
          <w:szCs w:val="24"/>
          <w:lang w:eastAsia="pl-PL"/>
        </w:rPr>
      </w:pPr>
      <w:r w:rsidRPr="00E02F30">
        <w:rPr>
          <w:rFonts w:eastAsia="Times New Roman" w:cs="Arial"/>
          <w:szCs w:val="24"/>
          <w:lang w:eastAsia="pl-PL"/>
        </w:rPr>
        <w:t>•</w:t>
      </w:r>
      <w:r w:rsidRPr="00E02F30">
        <w:rPr>
          <w:rFonts w:eastAsia="Times New Roman" w:cs="Arial"/>
          <w:szCs w:val="24"/>
          <w:lang w:eastAsia="pl-PL"/>
        </w:rPr>
        <w:tab/>
        <w:t xml:space="preserve">PZI1 – grupa instalacji: Epoksydy, </w:t>
      </w:r>
      <w:proofErr w:type="spellStart"/>
      <w:r w:rsidRPr="00E02F30">
        <w:rPr>
          <w:rFonts w:eastAsia="Times New Roman" w:cs="Arial"/>
          <w:szCs w:val="24"/>
          <w:lang w:eastAsia="pl-PL"/>
        </w:rPr>
        <w:t>Flodury</w:t>
      </w:r>
      <w:proofErr w:type="spellEnd"/>
      <w:r w:rsidRPr="00E02F30">
        <w:rPr>
          <w:rFonts w:eastAsia="Times New Roman" w:cs="Arial"/>
          <w:szCs w:val="24"/>
          <w:lang w:eastAsia="pl-PL"/>
        </w:rPr>
        <w:t>, Poliestry nasycone SPR – Pobór próbek będzie prowadzonych w punktach: Nr 7 i 8.</w:t>
      </w:r>
    </w:p>
    <w:p w14:paraId="3DFBD558" w14:textId="77777777" w:rsidR="00E02F30" w:rsidRPr="00E02F30" w:rsidRDefault="00E02F30" w:rsidP="00E02F30">
      <w:pPr>
        <w:spacing w:before="60" w:after="60" w:line="276" w:lineRule="auto"/>
        <w:ind w:left="284" w:hanging="284"/>
        <w:jc w:val="both"/>
        <w:rPr>
          <w:rFonts w:eastAsia="Times New Roman" w:cs="Arial"/>
          <w:szCs w:val="24"/>
          <w:lang w:eastAsia="pl-PL"/>
        </w:rPr>
      </w:pPr>
      <w:r w:rsidRPr="00E02F30">
        <w:rPr>
          <w:rFonts w:eastAsia="Times New Roman" w:cs="Arial"/>
          <w:szCs w:val="24"/>
          <w:lang w:eastAsia="pl-PL"/>
        </w:rPr>
        <w:t>•</w:t>
      </w:r>
      <w:r w:rsidRPr="00E02F30">
        <w:rPr>
          <w:rFonts w:eastAsia="Times New Roman" w:cs="Arial"/>
          <w:szCs w:val="24"/>
          <w:lang w:eastAsia="pl-PL"/>
        </w:rPr>
        <w:tab/>
        <w:t>PZI2 – grupa instalacji: Fenolowo-Formaldehydowe, Utwardzacze – Pobór próbek będzie prowadzony w punktach: Nr 1, 2, 3, i 4.</w:t>
      </w:r>
    </w:p>
    <w:p w14:paraId="01347693" w14:textId="77777777" w:rsidR="00E02F30" w:rsidRPr="00E02F30" w:rsidRDefault="00E02F30" w:rsidP="00E02F30">
      <w:pPr>
        <w:spacing w:before="60" w:after="60" w:line="276" w:lineRule="auto"/>
        <w:ind w:left="284" w:hanging="284"/>
        <w:jc w:val="both"/>
        <w:rPr>
          <w:rFonts w:eastAsia="Times New Roman" w:cs="Arial"/>
          <w:szCs w:val="24"/>
          <w:lang w:eastAsia="pl-PL"/>
        </w:rPr>
      </w:pPr>
      <w:r w:rsidRPr="00E02F30">
        <w:rPr>
          <w:rFonts w:eastAsia="Times New Roman" w:cs="Arial"/>
          <w:szCs w:val="24"/>
          <w:lang w:eastAsia="pl-PL"/>
        </w:rPr>
        <w:t>•</w:t>
      </w:r>
      <w:r w:rsidRPr="00E02F30">
        <w:rPr>
          <w:rFonts w:eastAsia="Times New Roman" w:cs="Arial"/>
          <w:szCs w:val="24"/>
          <w:lang w:eastAsia="pl-PL"/>
        </w:rPr>
        <w:tab/>
        <w:t>PZI3 - instalacje Poliestry nienasycone UPR (obiekty 501 i 524) – pobór próbek będzie prowadzony w punkcie nr 5.</w:t>
      </w:r>
    </w:p>
    <w:p w14:paraId="54B5A491"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Lokalizację punktów poboru próbek gleby i ziemi przedstawia poniżej rys. nr 1:</w:t>
      </w:r>
    </w:p>
    <w:p w14:paraId="57772D3C" w14:textId="77777777" w:rsidR="00E02F30" w:rsidRPr="00E02F30" w:rsidRDefault="00E02F30" w:rsidP="00E02F30">
      <w:pPr>
        <w:spacing w:before="60" w:after="60" w:line="276" w:lineRule="auto"/>
        <w:jc w:val="both"/>
        <w:rPr>
          <w:rFonts w:eastAsia="Times New Roman" w:cs="Arial"/>
          <w:color w:val="70AD47"/>
          <w:szCs w:val="24"/>
          <w:highlight w:val="lightGray"/>
          <w:lang w:eastAsia="pl-PL"/>
        </w:rPr>
      </w:pPr>
      <w:r w:rsidRPr="00E02F30">
        <w:rPr>
          <w:rFonts w:eastAsia="Calibri" w:cs="Times New Roman"/>
          <w:noProof/>
          <w:szCs w:val="24"/>
          <w:lang w:eastAsia="pl-PL"/>
        </w:rPr>
        <w:drawing>
          <wp:inline distT="0" distB="0" distL="0" distR="0" wp14:anchorId="77A399E3" wp14:editId="568B7816">
            <wp:extent cx="5788025" cy="7065010"/>
            <wp:effectExtent l="0" t="0" r="3175" b="2540"/>
            <wp:docPr id="827949477" name="Obraz 2" descr="Rysunek 1 to fragment mapy na której przedstawiony jest schemat poboru próbek gleby i ziemi na obszarze Sarzyna Chemical Sp. zo.o. na bazie raportu początkowego z 2018 roku. Zaznaczone są kolorem żółtym tereny poszczególnych instalacji obejetych trzema pozwoleniami. Jest także legenda opisujaca sekcje poboru próbek dla każdego z trzech pozwoleń. Zaznaczone są także otwory penetracyjne o głębokości 0,25 - 3m oraz 0,28-1 m. Wskazane są równiez inne tereny, które należą do Sarzyna Chemical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49477" name="Obraz 2" descr="Rysunek 1 to fragment mapy na której przedstawiony jest schemat poboru próbek gleby i ziemi na obszarze Sarzyna Chemical Sp. zo.o. na bazie raportu początkowego z 2018 roku. Zaznaczone są kolorem żółtym tereny poszczególnych instalacji obejetych trzema pozwoleniami. Jest także legenda opisujaca sekcje poboru próbek dla każdego z trzech pozwoleń. Zaznaczone są także otwory penetracyjne o głębokości 0,25 - 3m oraz 0,28-1 m. Wskazane są równiez inne tereny, które należą do Sarzyna Chemical Sp. z o.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8025" cy="7065010"/>
                    </a:xfrm>
                    <a:prstGeom prst="rect">
                      <a:avLst/>
                    </a:prstGeom>
                    <a:noFill/>
                    <a:ln>
                      <a:noFill/>
                    </a:ln>
                  </pic:spPr>
                </pic:pic>
              </a:graphicData>
            </a:graphic>
          </wp:inline>
        </w:drawing>
      </w:r>
    </w:p>
    <w:p w14:paraId="120F44F2" w14:textId="77777777" w:rsidR="00E02F30" w:rsidRPr="00E02F30" w:rsidRDefault="00E02F30" w:rsidP="00E02F30">
      <w:pPr>
        <w:spacing w:before="60" w:after="60" w:line="276" w:lineRule="auto"/>
        <w:jc w:val="both"/>
        <w:rPr>
          <w:rFonts w:eastAsia="Times New Roman" w:cs="Arial"/>
          <w:color w:val="4472C4" w:themeColor="accent1"/>
          <w:szCs w:val="24"/>
          <w:lang w:eastAsia="pl-PL"/>
        </w:rPr>
      </w:pPr>
      <w:r w:rsidRPr="00E02F30">
        <w:rPr>
          <w:rFonts w:eastAsia="Times New Roman" w:cs="Arial"/>
          <w:color w:val="4472C4" w:themeColor="accent1"/>
          <w:szCs w:val="24"/>
          <w:lang w:eastAsia="pl-PL"/>
        </w:rPr>
        <w:t>rys.1.</w:t>
      </w:r>
    </w:p>
    <w:p w14:paraId="6ED4ABD6" w14:textId="77777777" w:rsidR="00E02F30" w:rsidRPr="00E02F30" w:rsidRDefault="00E02F30" w:rsidP="00E02F30">
      <w:pPr>
        <w:spacing w:before="60" w:after="60" w:line="276" w:lineRule="auto"/>
        <w:jc w:val="both"/>
        <w:rPr>
          <w:rFonts w:eastAsia="Times New Roman" w:cs="Arial"/>
          <w:color w:val="4472C4" w:themeColor="accent1"/>
          <w:szCs w:val="24"/>
          <w:lang w:eastAsia="pl-PL"/>
        </w:rPr>
      </w:pPr>
    </w:p>
    <w:p w14:paraId="6FD12C39"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 xml:space="preserve">Badania zanieczyszczenia wód podziemnych na obszarze instalacji IPPC Sarzyna </w:t>
      </w:r>
      <w:proofErr w:type="spellStart"/>
      <w:r w:rsidRPr="00E02F30">
        <w:rPr>
          <w:rFonts w:eastAsia="Times New Roman" w:cs="Arial"/>
          <w:szCs w:val="24"/>
          <w:lang w:eastAsia="pl-PL"/>
        </w:rPr>
        <w:t>Chemical</w:t>
      </w:r>
      <w:proofErr w:type="spellEnd"/>
      <w:r w:rsidRPr="00E02F30">
        <w:rPr>
          <w:rFonts w:eastAsia="Times New Roman" w:cs="Arial"/>
          <w:szCs w:val="24"/>
          <w:lang w:eastAsia="pl-PL"/>
        </w:rPr>
        <w:t xml:space="preserve"> Sp. z o.o. będą prowadzone w systemie ustalonym dla całego kompleksu przemysłowego zgodnie z decyzją Regionalnego Dyrektora Ochrony Środowiska w Rzeszowie z 2020 roku ustalającą plan </w:t>
      </w:r>
      <w:proofErr w:type="spellStart"/>
      <w:r w:rsidRPr="00E02F30">
        <w:rPr>
          <w:rFonts w:eastAsia="Times New Roman" w:cs="Arial"/>
          <w:szCs w:val="24"/>
          <w:lang w:eastAsia="pl-PL"/>
        </w:rPr>
        <w:t>remediacji</w:t>
      </w:r>
      <w:proofErr w:type="spellEnd"/>
      <w:r w:rsidRPr="00E02F30">
        <w:rPr>
          <w:rFonts w:eastAsia="Times New Roman" w:cs="Arial"/>
          <w:szCs w:val="24"/>
          <w:lang w:eastAsia="pl-PL"/>
        </w:rPr>
        <w:t>. Instalacje IPPC Spółki znajdują się w odmiennych warunkach hydrochemicznych, określonych poprzez obliczenia modelem cyfrowym dynamiki wód podziemnych na obszarze kompleksu przemysłowego.</w:t>
      </w:r>
    </w:p>
    <w:p w14:paraId="469A6DBC"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Uwzględniając szczegółowo opisane w opracowanym projekcie uwarunkowania dla poszczególnych instalacji IPPC przyjęto następujące punkty monitoringu wód podziemnych istniejącej sieci obserwacyjnej na obszarze kompleksu przemysłowego:</w:t>
      </w:r>
    </w:p>
    <w:p w14:paraId="2D7095D9" w14:textId="77777777" w:rsidR="00E02F30" w:rsidRPr="00E02F30" w:rsidRDefault="00E02F30" w:rsidP="00E02F30">
      <w:pPr>
        <w:spacing w:before="60" w:after="60" w:line="276" w:lineRule="auto"/>
        <w:ind w:left="709" w:hanging="709"/>
        <w:jc w:val="both"/>
        <w:rPr>
          <w:rFonts w:eastAsia="Times New Roman" w:cs="Arial"/>
          <w:szCs w:val="24"/>
          <w:lang w:eastAsia="pl-PL"/>
        </w:rPr>
      </w:pPr>
      <w:r w:rsidRPr="00E02F30">
        <w:rPr>
          <w:rFonts w:eastAsia="Times New Roman" w:cs="Arial"/>
          <w:szCs w:val="24"/>
          <w:lang w:eastAsia="pl-PL"/>
        </w:rPr>
        <w:t>•</w:t>
      </w:r>
      <w:r w:rsidRPr="00E02F30">
        <w:rPr>
          <w:rFonts w:eastAsia="Times New Roman" w:cs="Arial"/>
          <w:szCs w:val="24"/>
          <w:lang w:eastAsia="pl-PL"/>
        </w:rPr>
        <w:tab/>
        <w:t>PZI1 – piezometr P-35 (SII) lub P-9 (na kierunku napływu wód) oraz piezometr P-14 (na kierunku odpływu wód);</w:t>
      </w:r>
    </w:p>
    <w:p w14:paraId="5331636C" w14:textId="77777777" w:rsidR="00E02F30" w:rsidRPr="00E02F30" w:rsidRDefault="00E02F30" w:rsidP="00E02F30">
      <w:pPr>
        <w:spacing w:before="60" w:after="60" w:line="276" w:lineRule="auto"/>
        <w:ind w:left="709" w:hanging="709"/>
        <w:jc w:val="both"/>
        <w:rPr>
          <w:rFonts w:eastAsia="Times New Roman" w:cs="Arial"/>
          <w:szCs w:val="24"/>
          <w:lang w:eastAsia="pl-PL"/>
        </w:rPr>
      </w:pPr>
      <w:r w:rsidRPr="00E02F30">
        <w:rPr>
          <w:rFonts w:eastAsia="Times New Roman" w:cs="Arial"/>
          <w:szCs w:val="24"/>
          <w:lang w:eastAsia="pl-PL"/>
        </w:rPr>
        <w:t>•</w:t>
      </w:r>
      <w:r w:rsidRPr="00E02F30">
        <w:rPr>
          <w:rFonts w:eastAsia="Times New Roman" w:cs="Arial"/>
          <w:szCs w:val="24"/>
          <w:lang w:eastAsia="pl-PL"/>
        </w:rPr>
        <w:tab/>
        <w:t>PZI2 i PZI3 – piezometr P-48ab (na kierunku napływu wód) oraz otwory sozologiczne S07 i SO8 (na odpływie wód).</w:t>
      </w:r>
    </w:p>
    <w:p w14:paraId="28C00BEA"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Przy wyznaczaniu punktów monitoringu uwzględniono pracę bariery dynamicznej, złożonej z otworów sozologicznych SO, modyfikującej lokalną cyrkulację wód podziemnych. Zakres parametrów fizykochemicznych będzie oznaczany w pobieranych cyklicznie próbkach gleby, ziemi i wód podziemnych ze wszystkich wyznaczonych punktów poboru.</w:t>
      </w:r>
    </w:p>
    <w:p w14:paraId="6A95D623"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Przyjęty system pozwala na spójną interpretację wyników uzyskiwanych w kolejnych seriach badań.</w:t>
      </w:r>
    </w:p>
    <w:p w14:paraId="1144FD85"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Częstotliwość badań w sieci monitoringu ustalono zgodnie z zapisami Art. 217a ustawy POŚ tj.:</w:t>
      </w:r>
    </w:p>
    <w:p w14:paraId="1EBE9403"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w:t>
      </w:r>
      <w:r w:rsidRPr="00E02F30">
        <w:rPr>
          <w:rFonts w:eastAsia="Times New Roman" w:cs="Arial"/>
          <w:szCs w:val="24"/>
          <w:lang w:eastAsia="pl-PL"/>
        </w:rPr>
        <w:tab/>
        <w:t>gleba i ziemia – z częstotliwością 1 x na 10 lat;</w:t>
      </w:r>
    </w:p>
    <w:p w14:paraId="1040EF84"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w:t>
      </w:r>
      <w:r w:rsidRPr="00E02F30">
        <w:rPr>
          <w:rFonts w:eastAsia="Times New Roman" w:cs="Arial"/>
          <w:szCs w:val="24"/>
          <w:lang w:eastAsia="pl-PL"/>
        </w:rPr>
        <w:tab/>
        <w:t>wody podziemne – z częstotliwością 1 x na 5 lat.</w:t>
      </w:r>
    </w:p>
    <w:p w14:paraId="263145D0"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Wobec powyższego w punkcie VI.7 decyzji zobowiązano operatora instalacji do prowadzenia monitoringu jakości wód podziemnych oraz gleby i ziemi na terenie zakładu.</w:t>
      </w:r>
    </w:p>
    <w:p w14:paraId="4B501281"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Ponadto prowadzony będzie systematyczny nadzór przez wykwalifikowanych pracowników znajdujących się na danym stanowisku na każdym etapie prowadzonego procesu technologicznego z zapewnieniem właściwej ochrony gleby, wód gruntowych i ziemi, poprzez codzienną obserwację miejsc magazynowych i instalacji. Wszystkie urządzenia objęte decyzją będą utrzymywane we właściwym stanie technicznym. Prowadzone będą kontrole ich stanu technicznego.</w:t>
      </w:r>
    </w:p>
    <w:p w14:paraId="59E2C5D0" w14:textId="77777777" w:rsidR="00E02F30" w:rsidRPr="00E02F30" w:rsidRDefault="00E02F30" w:rsidP="00E02F30">
      <w:pPr>
        <w:spacing w:before="60" w:after="60" w:line="276" w:lineRule="auto"/>
        <w:jc w:val="both"/>
        <w:rPr>
          <w:rFonts w:eastAsia="Times New Roman" w:cs="Arial"/>
          <w:szCs w:val="24"/>
          <w:highlight w:val="lightGray"/>
          <w:lang w:eastAsia="pl-PL"/>
        </w:rPr>
      </w:pPr>
    </w:p>
    <w:p w14:paraId="6BCBAC6E" w14:textId="77777777" w:rsidR="00E02F30" w:rsidRPr="00E02F30" w:rsidRDefault="00E02F30" w:rsidP="00E02F30">
      <w:pPr>
        <w:spacing w:before="60" w:after="60" w:line="276" w:lineRule="auto"/>
        <w:jc w:val="both"/>
        <w:rPr>
          <w:rFonts w:eastAsia="Times New Roman" w:cs="Arial"/>
          <w:szCs w:val="24"/>
          <w:lang w:eastAsia="pl-PL"/>
        </w:rPr>
      </w:pPr>
      <w:r w:rsidRPr="00E02F30">
        <w:rPr>
          <w:rFonts w:eastAsia="Times New Roman" w:cs="Arial"/>
          <w:szCs w:val="24"/>
          <w:lang w:eastAsia="pl-PL"/>
        </w:rPr>
        <w:t xml:space="preserve">Analizę instalacji pod kątem najlepszych dostępnych technik po wprowadzonych technicznych i technologicznych zmianach przeprowadzono w odniesieniu do dokumentów referencyjnych BREF oraz konkluzji BAT tj. : </w:t>
      </w:r>
    </w:p>
    <w:p w14:paraId="7FA2D910" w14:textId="77777777" w:rsidR="00E02F30" w:rsidRPr="00E02F30" w:rsidRDefault="00E02F30" w:rsidP="00E02F30">
      <w:pPr>
        <w:spacing w:before="60" w:after="60" w:line="276" w:lineRule="auto"/>
        <w:ind w:left="142" w:hanging="284"/>
        <w:jc w:val="both"/>
        <w:rPr>
          <w:rFonts w:eastAsia="Times New Roman" w:cs="Arial"/>
          <w:szCs w:val="24"/>
          <w:lang w:eastAsia="pl-PL"/>
        </w:rPr>
      </w:pPr>
      <w:r w:rsidRPr="00E02F30">
        <w:rPr>
          <w:rFonts w:eastAsia="Times New Roman" w:cs="Arial"/>
          <w:szCs w:val="24"/>
          <w:lang w:eastAsia="pl-PL"/>
        </w:rPr>
        <w:t>1)</w:t>
      </w:r>
      <w:r w:rsidRPr="00E02F30">
        <w:rPr>
          <w:rFonts w:eastAsia="Times New Roman" w:cs="Arial"/>
          <w:szCs w:val="24"/>
          <w:lang w:eastAsia="pl-PL"/>
        </w:rPr>
        <w:tab/>
        <w:t>Dokument referencyjny najlepszych dostępnych technik (BAT) dla ogólnych zasad monitoringu.</w:t>
      </w:r>
    </w:p>
    <w:p w14:paraId="256E4A9A" w14:textId="77777777" w:rsidR="00E02F30" w:rsidRPr="00E02F30" w:rsidRDefault="00E02F30" w:rsidP="00E02F30">
      <w:pPr>
        <w:spacing w:before="60" w:after="60" w:line="276" w:lineRule="auto"/>
        <w:ind w:left="142" w:hanging="284"/>
        <w:jc w:val="both"/>
        <w:rPr>
          <w:rFonts w:eastAsia="Times New Roman" w:cs="Arial"/>
          <w:szCs w:val="24"/>
          <w:lang w:eastAsia="pl-PL"/>
        </w:rPr>
      </w:pPr>
      <w:r w:rsidRPr="00E02F30">
        <w:rPr>
          <w:rFonts w:eastAsia="Times New Roman" w:cs="Arial"/>
          <w:szCs w:val="24"/>
          <w:lang w:eastAsia="pl-PL"/>
        </w:rPr>
        <w:t>2)</w:t>
      </w:r>
      <w:r w:rsidRPr="00E02F30">
        <w:rPr>
          <w:rFonts w:eastAsia="Times New Roman" w:cs="Arial"/>
          <w:szCs w:val="24"/>
          <w:lang w:eastAsia="pl-PL"/>
        </w:rPr>
        <w:tab/>
        <w:t>Dokument referencyjny najlepszych dostępnych technik dotyczący emisji związanych ze składowaniem masowym lub składowaniem materiałów niebezpiecznych.</w:t>
      </w:r>
    </w:p>
    <w:p w14:paraId="1330BF4E" w14:textId="77777777" w:rsidR="00E02F30" w:rsidRPr="00E02F30" w:rsidRDefault="00E02F30" w:rsidP="00E02F30">
      <w:pPr>
        <w:spacing w:before="60" w:after="60" w:line="276" w:lineRule="auto"/>
        <w:ind w:left="142" w:hanging="284"/>
        <w:jc w:val="both"/>
        <w:rPr>
          <w:rFonts w:eastAsia="Times New Roman" w:cs="Arial"/>
          <w:szCs w:val="24"/>
          <w:lang w:eastAsia="pl-PL"/>
        </w:rPr>
      </w:pPr>
      <w:r w:rsidRPr="00E02F30">
        <w:rPr>
          <w:rFonts w:eastAsia="Times New Roman" w:cs="Arial"/>
          <w:szCs w:val="24"/>
          <w:lang w:eastAsia="pl-PL"/>
        </w:rPr>
        <w:t>3)</w:t>
      </w:r>
      <w:r w:rsidRPr="00E02F30">
        <w:rPr>
          <w:rFonts w:eastAsia="Times New Roman" w:cs="Arial"/>
          <w:szCs w:val="24"/>
          <w:lang w:eastAsia="pl-PL"/>
        </w:rPr>
        <w:tab/>
        <w:t>Dokument referencyjny najlepszych dostępnych technik dla produkcji związków organicznych głęboko przetworzonych  organicznych.</w:t>
      </w:r>
    </w:p>
    <w:p w14:paraId="5027C024" w14:textId="77777777" w:rsidR="00E02F30" w:rsidRPr="00E02F30" w:rsidRDefault="00E02F30" w:rsidP="00E02F30">
      <w:pPr>
        <w:spacing w:before="60" w:after="60" w:line="276" w:lineRule="auto"/>
        <w:ind w:left="142" w:hanging="284"/>
        <w:jc w:val="both"/>
        <w:rPr>
          <w:rFonts w:eastAsia="Times New Roman" w:cs="Arial"/>
          <w:szCs w:val="24"/>
          <w:lang w:eastAsia="pl-PL"/>
        </w:rPr>
      </w:pPr>
      <w:r w:rsidRPr="00E02F30">
        <w:rPr>
          <w:rFonts w:eastAsia="Times New Roman" w:cs="Arial"/>
          <w:szCs w:val="24"/>
          <w:lang w:eastAsia="pl-PL"/>
        </w:rPr>
        <w:t>4)</w:t>
      </w:r>
      <w:r w:rsidRPr="00E02F30">
        <w:rPr>
          <w:rFonts w:eastAsia="Times New Roman" w:cs="Arial"/>
          <w:szCs w:val="24"/>
          <w:lang w:eastAsia="pl-PL"/>
        </w:rPr>
        <w:tab/>
        <w:t>Dokument referencyjny najlepszych dostępnych technik przy produkcji polimerów.</w:t>
      </w:r>
    </w:p>
    <w:p w14:paraId="200316BF" w14:textId="77777777" w:rsidR="00E02F30" w:rsidRPr="00E02F30" w:rsidRDefault="00E02F30" w:rsidP="00E02F30">
      <w:pPr>
        <w:spacing w:before="60" w:after="60" w:line="276" w:lineRule="auto"/>
        <w:ind w:left="142" w:hanging="284"/>
        <w:jc w:val="both"/>
        <w:rPr>
          <w:rFonts w:eastAsia="Times New Roman" w:cs="Arial"/>
          <w:szCs w:val="24"/>
          <w:lang w:eastAsia="pl-PL"/>
        </w:rPr>
      </w:pPr>
      <w:r w:rsidRPr="00E02F30">
        <w:rPr>
          <w:rFonts w:eastAsia="Times New Roman" w:cs="Arial"/>
          <w:szCs w:val="24"/>
          <w:lang w:eastAsia="pl-PL"/>
        </w:rPr>
        <w:t>5)</w:t>
      </w:r>
      <w:r w:rsidRPr="00E02F30">
        <w:rPr>
          <w:rFonts w:eastAsia="Times New Roman" w:cs="Arial"/>
          <w:szCs w:val="24"/>
          <w:lang w:eastAsia="pl-PL"/>
        </w:rPr>
        <w:tab/>
        <w:t>Dokument referencyjny najlepszych dostępnych technik efektywność energetyczna.</w:t>
      </w:r>
    </w:p>
    <w:p w14:paraId="318C65EB" w14:textId="77777777" w:rsidR="00E02F30" w:rsidRPr="00E02F30" w:rsidRDefault="00E02F30" w:rsidP="00E02F30">
      <w:pPr>
        <w:spacing w:before="60" w:after="60" w:line="276" w:lineRule="auto"/>
        <w:ind w:left="142" w:hanging="284"/>
        <w:jc w:val="both"/>
        <w:rPr>
          <w:rFonts w:eastAsia="Times New Roman" w:cs="Arial"/>
          <w:szCs w:val="24"/>
          <w:lang w:eastAsia="pl-PL"/>
        </w:rPr>
      </w:pPr>
      <w:r w:rsidRPr="00E02F30">
        <w:rPr>
          <w:rFonts w:eastAsia="Times New Roman" w:cs="Arial"/>
          <w:szCs w:val="24"/>
          <w:lang w:eastAsia="pl-PL"/>
        </w:rPr>
        <w:t>6)</w:t>
      </w:r>
      <w:r w:rsidRPr="00E02F30">
        <w:rPr>
          <w:rFonts w:eastAsia="Times New Roman" w:cs="Arial"/>
          <w:szCs w:val="24"/>
          <w:lang w:eastAsia="pl-PL"/>
        </w:rPr>
        <w:tab/>
        <w:t>Konkluzje dotyczące najlepszych dostępnych technik (BAT) w odniesieniu do wspólnych systemów oczyszczania ścieków/gazów odlotowych i zarządzania nimi w sektorze chemicznym (CWW).</w:t>
      </w:r>
    </w:p>
    <w:p w14:paraId="722EBB9D" w14:textId="77777777" w:rsidR="00E02F30" w:rsidRPr="00E02F30" w:rsidRDefault="00E02F30" w:rsidP="00E02F30">
      <w:pPr>
        <w:spacing w:before="60" w:after="60" w:line="276" w:lineRule="auto"/>
        <w:ind w:left="142" w:hanging="284"/>
        <w:jc w:val="both"/>
        <w:rPr>
          <w:rFonts w:eastAsia="Times New Roman" w:cs="Arial"/>
          <w:szCs w:val="24"/>
          <w:lang w:eastAsia="pl-PL"/>
        </w:rPr>
      </w:pPr>
      <w:r w:rsidRPr="00E02F30">
        <w:rPr>
          <w:rFonts w:eastAsia="Times New Roman" w:cs="Arial"/>
          <w:szCs w:val="24"/>
          <w:lang w:eastAsia="pl-PL"/>
        </w:rPr>
        <w:t>7)</w:t>
      </w:r>
      <w:r w:rsidRPr="00E02F30">
        <w:rPr>
          <w:rFonts w:eastAsia="Times New Roman" w:cs="Arial"/>
          <w:szCs w:val="24"/>
          <w:lang w:eastAsia="pl-PL"/>
        </w:rPr>
        <w:tab/>
        <w:t>Konkluzje dotyczące najlepszych dostępnych technik (BAT), w sprawie emisji przemysłowych, w odniesieniu do wspólnych systemów gospodarowania gazami odlotowymi i oczyszczania gazów odlotowych w sektorze chemicznym (WGC) – termin dostosowania 12 grudnia 2026 r.</w:t>
      </w:r>
    </w:p>
    <w:p w14:paraId="05E06EAC" w14:textId="77777777" w:rsidR="00E02F30" w:rsidRPr="00E02F30" w:rsidRDefault="00E02F30" w:rsidP="00E02F30">
      <w:pPr>
        <w:spacing w:before="60" w:after="60" w:line="276" w:lineRule="auto"/>
        <w:ind w:firstLine="709"/>
        <w:jc w:val="both"/>
        <w:rPr>
          <w:rFonts w:eastAsia="Times New Roman" w:cs="Arial"/>
          <w:szCs w:val="24"/>
          <w:highlight w:val="lightGray"/>
          <w:lang w:eastAsia="pl-PL"/>
        </w:rPr>
      </w:pPr>
    </w:p>
    <w:p w14:paraId="0E02810C" w14:textId="77777777" w:rsidR="00E02F30" w:rsidRPr="00E02F30" w:rsidRDefault="00E02F30" w:rsidP="00E02F30">
      <w:pPr>
        <w:keepNext/>
        <w:widowControl w:val="0"/>
        <w:adjustRightInd w:val="0"/>
        <w:spacing w:after="0" w:line="276" w:lineRule="auto"/>
        <w:ind w:left="-426"/>
        <w:jc w:val="both"/>
        <w:textAlignment w:val="baseline"/>
        <w:outlineLvl w:val="3"/>
        <w:rPr>
          <w:rFonts w:eastAsia="Times New Roman" w:cs="Times New Roman"/>
          <w:b/>
          <w:szCs w:val="20"/>
          <w:lang w:eastAsia="pl-PL"/>
        </w:rPr>
      </w:pPr>
      <w:r w:rsidRPr="00E02F30">
        <w:rPr>
          <w:rFonts w:eastAsia="Times New Roman" w:cs="Times New Roman"/>
          <w:b/>
          <w:szCs w:val="20"/>
          <w:lang w:eastAsia="pl-PL"/>
        </w:rPr>
        <w:t>Analizę spełnienia wymogów najlepszej dostępnej techniki (BAT) zawiera poniższa tabela (dokumenty referencyjne):</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Zawiera komórki scalone oraz zagnieżdżone. Przedstawia analizę spełnienia wymogów najlepszej dostępnej techniki (BAT) określoną w dokumentach referencyjnych."/>
      </w:tblPr>
      <w:tblGrid>
        <w:gridCol w:w="4361"/>
        <w:gridCol w:w="6271"/>
      </w:tblGrid>
      <w:tr w:rsidR="00E02F30" w:rsidRPr="00E02F30" w14:paraId="436B09A3" w14:textId="77777777" w:rsidTr="00A1631B">
        <w:tc>
          <w:tcPr>
            <w:tcW w:w="4361" w:type="dxa"/>
          </w:tcPr>
          <w:p w14:paraId="111D648E" w14:textId="77777777" w:rsidR="00E02F30" w:rsidRPr="00E02F30" w:rsidRDefault="00E02F30" w:rsidP="00E02F30">
            <w:pPr>
              <w:autoSpaceDE w:val="0"/>
              <w:autoSpaceDN w:val="0"/>
              <w:adjustRightInd w:val="0"/>
              <w:spacing w:after="0" w:line="240" w:lineRule="auto"/>
              <w:jc w:val="center"/>
              <w:rPr>
                <w:rFonts w:eastAsia="Calibri" w:cs="Arial"/>
                <w:sz w:val="20"/>
                <w:szCs w:val="20"/>
              </w:rPr>
            </w:pPr>
            <w:r w:rsidRPr="00E02F30">
              <w:rPr>
                <w:rFonts w:eastAsia="Calibri" w:cs="Arial"/>
                <w:b/>
                <w:bCs/>
                <w:sz w:val="20"/>
                <w:szCs w:val="20"/>
              </w:rPr>
              <w:t xml:space="preserve">Zasady BAT zgodnie </w:t>
            </w:r>
            <w:r w:rsidRPr="00E02F30">
              <w:rPr>
                <w:rFonts w:eastAsia="Calibri" w:cs="Arial"/>
                <w:b/>
                <w:bCs/>
                <w:sz w:val="20"/>
                <w:szCs w:val="20"/>
              </w:rPr>
              <w:br/>
              <w:t>z dokumentami referencyjnymi</w:t>
            </w:r>
          </w:p>
        </w:tc>
        <w:tc>
          <w:tcPr>
            <w:tcW w:w="6271" w:type="dxa"/>
          </w:tcPr>
          <w:p w14:paraId="2FA76218" w14:textId="77777777" w:rsidR="00E02F30" w:rsidRPr="00E02F30" w:rsidRDefault="00E02F30" w:rsidP="00E02F30">
            <w:pPr>
              <w:autoSpaceDE w:val="0"/>
              <w:autoSpaceDN w:val="0"/>
              <w:adjustRightInd w:val="0"/>
              <w:spacing w:after="0" w:line="240" w:lineRule="auto"/>
              <w:jc w:val="center"/>
              <w:rPr>
                <w:rFonts w:eastAsia="Calibri" w:cs="Arial"/>
                <w:sz w:val="20"/>
                <w:szCs w:val="20"/>
              </w:rPr>
            </w:pPr>
            <w:r w:rsidRPr="00E02F30">
              <w:rPr>
                <w:rFonts w:eastAsia="Calibri" w:cs="Arial"/>
                <w:b/>
                <w:bCs/>
                <w:sz w:val="20"/>
                <w:szCs w:val="20"/>
              </w:rPr>
              <w:t>Sposób realizacji przez Zakłady jako operatora instalacji</w:t>
            </w:r>
          </w:p>
        </w:tc>
      </w:tr>
      <w:tr w:rsidR="00E02F30" w:rsidRPr="00E02F30" w14:paraId="2A1DDA6B" w14:textId="77777777" w:rsidTr="00A1631B">
        <w:tc>
          <w:tcPr>
            <w:tcW w:w="10632" w:type="dxa"/>
            <w:gridSpan w:val="2"/>
          </w:tcPr>
          <w:p w14:paraId="7C5D80A9" w14:textId="77777777" w:rsidR="00E02F30" w:rsidRPr="00E02F30" w:rsidRDefault="00E02F30" w:rsidP="00E02F30">
            <w:pPr>
              <w:autoSpaceDE w:val="0"/>
              <w:autoSpaceDN w:val="0"/>
              <w:adjustRightInd w:val="0"/>
              <w:spacing w:after="0" w:line="240" w:lineRule="auto"/>
              <w:jc w:val="center"/>
              <w:rPr>
                <w:rFonts w:eastAsia="Calibri" w:cs="Arial"/>
                <w:b/>
                <w:bCs/>
                <w:sz w:val="20"/>
                <w:szCs w:val="20"/>
              </w:rPr>
            </w:pPr>
            <w:r w:rsidRPr="00E02F30">
              <w:rPr>
                <w:rFonts w:eastAsia="Calibri" w:cs="Arial"/>
                <w:b/>
                <w:bCs/>
                <w:sz w:val="20"/>
                <w:szCs w:val="20"/>
              </w:rPr>
              <w:t>w zakresie systemu zarządzania środowiskiem EMS/SZŚ</w:t>
            </w:r>
          </w:p>
        </w:tc>
      </w:tr>
      <w:tr w:rsidR="00E02F30" w:rsidRPr="00E02F30" w14:paraId="07E63C3A" w14:textId="77777777" w:rsidTr="00A1631B">
        <w:tc>
          <w:tcPr>
            <w:tcW w:w="4361" w:type="dxa"/>
          </w:tcPr>
          <w:p w14:paraId="5650FAA2"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Wdrażanie i przestrzeganie systemu zarządzania środowiskowego</w:t>
            </w:r>
          </w:p>
          <w:p w14:paraId="7BAC08CB" w14:textId="77777777" w:rsidR="00E02F30" w:rsidRPr="00E02F30" w:rsidRDefault="00E02F30" w:rsidP="00E02F30">
            <w:pPr>
              <w:autoSpaceDE w:val="0"/>
              <w:autoSpaceDN w:val="0"/>
              <w:adjustRightInd w:val="0"/>
              <w:spacing w:after="0" w:line="240" w:lineRule="auto"/>
              <w:rPr>
                <w:rFonts w:eastAsia="Calibri" w:cs="Arial"/>
                <w:sz w:val="20"/>
                <w:szCs w:val="20"/>
              </w:rPr>
            </w:pPr>
          </w:p>
        </w:tc>
        <w:tc>
          <w:tcPr>
            <w:tcW w:w="6271" w:type="dxa"/>
          </w:tcPr>
          <w:p w14:paraId="11DA3BD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o.o. posiada przyjętą i realizuje politykę dotyczącą jakości, środowiska i bezpieczeństwa obejmującą zespół działań zmierzających do minimalizacji wpływu na środowisko. </w:t>
            </w:r>
          </w:p>
          <w:p w14:paraId="7C35CCA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spółce realizowane są i wdrożone:</w:t>
            </w:r>
          </w:p>
          <w:p w14:paraId="36F98CB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System Zarządzania Jakością ISO 9001:2015, </w:t>
            </w:r>
          </w:p>
          <w:p w14:paraId="1E993FF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System Zarządzania Środowiskowego oparty na wymaganiach normy PN – EN ISO 14001:2015 </w:t>
            </w:r>
          </w:p>
          <w:p w14:paraId="7837087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System Zarządzania Bezpieczeństwem oparty na wymaganiach normy PN ISO 45001:2018.W ramach systemu zarządzania środowiskowego wdrożone zostały odpowiednie procedury i środki techniczne służące ograniczeniu ryzyka związanych z obsługą i magazynowaniem substancji chemicznych.</w:t>
            </w:r>
          </w:p>
          <w:p w14:paraId="724CD076"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p>
        </w:tc>
      </w:tr>
      <w:tr w:rsidR="00E02F30" w:rsidRPr="00E02F30" w14:paraId="23BB0924" w14:textId="77777777" w:rsidTr="00A1631B">
        <w:tc>
          <w:tcPr>
            <w:tcW w:w="4361" w:type="dxa"/>
          </w:tcPr>
          <w:p w14:paraId="26A12C34"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Ustalenie wewnętrznych (specyficznych dla zakładu) celów środowiskowych, regularne ich sprawdzanie i publikowanie ich </w:t>
            </w:r>
            <w:r w:rsidRPr="00E02F30">
              <w:rPr>
                <w:rFonts w:eastAsia="Calibri" w:cs="Arial"/>
                <w:sz w:val="20"/>
                <w:szCs w:val="20"/>
              </w:rPr>
              <w:br/>
              <w:t xml:space="preserve">w postaci rocznych raportów </w:t>
            </w:r>
          </w:p>
        </w:tc>
        <w:tc>
          <w:tcPr>
            <w:tcW w:w="6271" w:type="dxa"/>
          </w:tcPr>
          <w:p w14:paraId="10298409"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Zarząd Zakładów, analizując specyficzne oddziaływanie firmy (i stałe aspekty środowiskowe) podejmuje przedsięwzięcia </w:t>
            </w:r>
            <w:proofErr w:type="spellStart"/>
            <w:r w:rsidRPr="00E02F30">
              <w:rPr>
                <w:rFonts w:eastAsia="Calibri" w:cs="Arial"/>
                <w:sz w:val="20"/>
                <w:szCs w:val="20"/>
              </w:rPr>
              <w:t>prośrodowiskowe</w:t>
            </w:r>
            <w:proofErr w:type="spellEnd"/>
            <w:r w:rsidRPr="00E02F30">
              <w:rPr>
                <w:rFonts w:eastAsia="Calibri" w:cs="Arial"/>
                <w:sz w:val="20"/>
                <w:szCs w:val="20"/>
              </w:rPr>
              <w:t xml:space="preserve"> na każdy rok w formie programu realizacji celów i zadań środowiskowych. Zarząd śledzi ich realizację i rozlicza wykonanie. Przebieg realizacji przedsięwzięć  omawiany jest na posiedzeniach Zarządu </w:t>
            </w:r>
            <w:r w:rsidRPr="00E02F30">
              <w:rPr>
                <w:rFonts w:eastAsia="Calibri" w:cs="Arial"/>
                <w:sz w:val="20"/>
                <w:szCs w:val="20"/>
              </w:rPr>
              <w:br/>
              <w:t xml:space="preserve">i kierownictwa (np. narady operatywne). </w:t>
            </w:r>
          </w:p>
        </w:tc>
      </w:tr>
      <w:tr w:rsidR="00E02F30" w:rsidRPr="00E02F30" w14:paraId="24398E0B" w14:textId="77777777" w:rsidTr="00A1631B">
        <w:tc>
          <w:tcPr>
            <w:tcW w:w="4361" w:type="dxa"/>
          </w:tcPr>
          <w:p w14:paraId="595A6293"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Przeprowadzanie regularnych audytów, aby sprawdzić zgodność z założeniami SZŚ. </w:t>
            </w:r>
          </w:p>
        </w:tc>
        <w:tc>
          <w:tcPr>
            <w:tcW w:w="6271" w:type="dxa"/>
          </w:tcPr>
          <w:p w14:paraId="7B847997"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Audyt wewnętrzny przeprowadzają kwalifikowani audytorzy z praktyką. Audyt zewnętrzny w zakresie zarządzania środowiskiem prowadzą audytorzy jednostki certyfikującej </w:t>
            </w:r>
          </w:p>
        </w:tc>
      </w:tr>
      <w:tr w:rsidR="00E02F30" w:rsidRPr="00E02F30" w14:paraId="0A005C33" w14:textId="77777777" w:rsidTr="00A1631B">
        <w:tc>
          <w:tcPr>
            <w:tcW w:w="4361" w:type="dxa"/>
          </w:tcPr>
          <w:p w14:paraId="4F0AFCF5"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Regularny monitoring działania </w:t>
            </w:r>
            <w:r w:rsidRPr="00E02F30">
              <w:rPr>
                <w:rFonts w:eastAsia="Calibri" w:cs="Arial"/>
                <w:sz w:val="20"/>
                <w:szCs w:val="20"/>
              </w:rPr>
              <w:br/>
              <w:t xml:space="preserve">i postępów w osiąganiu celów </w:t>
            </w:r>
            <w:r w:rsidRPr="00E02F30">
              <w:rPr>
                <w:rFonts w:eastAsia="Calibri" w:cs="Arial"/>
                <w:sz w:val="20"/>
                <w:szCs w:val="20"/>
              </w:rPr>
              <w:br/>
              <w:t xml:space="preserve">i zadań polityki SZŚ. </w:t>
            </w:r>
          </w:p>
        </w:tc>
        <w:tc>
          <w:tcPr>
            <w:tcW w:w="6271" w:type="dxa"/>
          </w:tcPr>
          <w:p w14:paraId="73972F59"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Coroczne analizowanie przez Zarząd Spółki wielkości zużycia surowców, opakowań, materiałów, energii i jej nośników, wody (pitnej i przemysłowej) oraz wielkości emisji gazów i pyłów, ścieków i odpadów. Bieżąca analiza zużyć przez kierowników instalacji  na podstawie wyników monitoringu (pomiarów). </w:t>
            </w:r>
          </w:p>
        </w:tc>
      </w:tr>
      <w:tr w:rsidR="00E02F30" w:rsidRPr="00E02F30" w14:paraId="65C3F912" w14:textId="77777777" w:rsidTr="00A1631B">
        <w:tc>
          <w:tcPr>
            <w:tcW w:w="4361" w:type="dxa"/>
          </w:tcPr>
          <w:p w14:paraId="4ADDD589"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Przeprowadzanie identyfikacji </w:t>
            </w:r>
            <w:r w:rsidRPr="00E02F30">
              <w:rPr>
                <w:rFonts w:eastAsia="Calibri" w:cs="Arial"/>
                <w:sz w:val="20"/>
                <w:szCs w:val="20"/>
              </w:rPr>
              <w:br/>
              <w:t xml:space="preserve">i oceny aspektów środowiskowych </w:t>
            </w:r>
            <w:r w:rsidRPr="00E02F30">
              <w:rPr>
                <w:rFonts w:eastAsia="Calibri" w:cs="Arial"/>
                <w:sz w:val="20"/>
                <w:szCs w:val="20"/>
              </w:rPr>
              <w:br/>
              <w:t xml:space="preserve">i ryzyka wystąpienia wypadków </w:t>
            </w:r>
            <w:r w:rsidRPr="00E02F30">
              <w:rPr>
                <w:rFonts w:eastAsia="Calibri" w:cs="Arial"/>
                <w:sz w:val="20"/>
                <w:szCs w:val="20"/>
              </w:rPr>
              <w:br/>
              <w:t xml:space="preserve">i awarii przemysłowych na stałych zasadach dla zidentyfikowania zagrożeń. </w:t>
            </w:r>
          </w:p>
        </w:tc>
        <w:tc>
          <w:tcPr>
            <w:tcW w:w="6271" w:type="dxa"/>
          </w:tcPr>
          <w:p w14:paraId="3B55CDC6"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Opracowano i wdrożono Raport o Bezpieczeństwie i Program Zapobiegania Awariom. Każdorazowo, przy modernizacji lub rozbudowie instalacji ocenia się ryzyko wpływu na środowisko i poziom zagrożeń w ramach Programu Zapobiegania Awariom. Powołano zakładowy Zespół ds. identyfikacji i oceny zagrożeń, który m.in. co najmniej raz w roku dokonuje przeglądu Programu Zapobiegania Awariom i jego aktualizacji w związku z istotnymi zmianami w technologiach i instalacjach oraz  zmianami przepisów prawnych. Zespół przekazuje Zarządowi Zakładów wnioski w zakresie aktualnych potencjalnych zagrożeń- </w:t>
            </w:r>
            <w:proofErr w:type="spellStart"/>
            <w:r w:rsidRPr="00E02F30">
              <w:rPr>
                <w:rFonts w:eastAsia="Calibri" w:cs="Arial"/>
                <w:sz w:val="20"/>
                <w:szCs w:val="20"/>
              </w:rPr>
              <w:t>ryzyk</w:t>
            </w:r>
            <w:proofErr w:type="spellEnd"/>
            <w:r w:rsidRPr="00E02F30">
              <w:rPr>
                <w:rFonts w:eastAsia="Calibri" w:cs="Arial"/>
                <w:sz w:val="20"/>
                <w:szCs w:val="20"/>
              </w:rPr>
              <w:t xml:space="preserve">. </w:t>
            </w:r>
          </w:p>
        </w:tc>
      </w:tr>
      <w:tr w:rsidR="00E02F30" w:rsidRPr="00E02F30" w14:paraId="2FC24E0A" w14:textId="77777777" w:rsidTr="00A1631B">
        <w:tc>
          <w:tcPr>
            <w:tcW w:w="4361" w:type="dxa"/>
          </w:tcPr>
          <w:p w14:paraId="2A372712"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Przeprowadzanie testowania na stałych zasadach i weryfikowanie procesów (produkcyjnych </w:t>
            </w:r>
            <w:r w:rsidRPr="00E02F30">
              <w:rPr>
                <w:rFonts w:eastAsia="Calibri" w:cs="Arial"/>
                <w:sz w:val="20"/>
                <w:szCs w:val="20"/>
              </w:rPr>
              <w:br/>
              <w:t xml:space="preserve">i oczyszczania) pod kątem wykorzystywania wody i energii, wytwarzania odpadów </w:t>
            </w:r>
            <w:r w:rsidRPr="00E02F30">
              <w:rPr>
                <w:rFonts w:eastAsia="Calibri" w:cs="Arial"/>
                <w:sz w:val="20"/>
                <w:szCs w:val="20"/>
              </w:rPr>
              <w:br/>
              <w:t xml:space="preserve">i oddziaływania na środowisko </w:t>
            </w:r>
          </w:p>
        </w:tc>
        <w:tc>
          <w:tcPr>
            <w:tcW w:w="6271" w:type="dxa"/>
          </w:tcPr>
          <w:p w14:paraId="20E296DD"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Stałe analizy przed procesem decyzyjnym. Wprowadzenie rozwiązań poprzedzają próby. Funkcjonuje procedura "Projektowanie wyrobu". </w:t>
            </w:r>
            <w:r w:rsidRPr="00E02F30">
              <w:rPr>
                <w:rFonts w:eastAsia="Calibri" w:cs="Arial"/>
                <w:sz w:val="20"/>
                <w:szCs w:val="20"/>
              </w:rPr>
              <w:br/>
              <w:t>W oparciu o tę procedurę dokonuje się etapowej realizacji projektu z uwzględnieniem wszystkich występujących aspektów środowiskowych, w tym opracowanie dokumentacji prób, przegląd wyników.</w:t>
            </w:r>
          </w:p>
        </w:tc>
      </w:tr>
      <w:tr w:rsidR="00E02F30" w:rsidRPr="00E02F30" w14:paraId="2926EDBF" w14:textId="77777777" w:rsidTr="00A1631B">
        <w:tc>
          <w:tcPr>
            <w:tcW w:w="4361" w:type="dxa"/>
          </w:tcPr>
          <w:p w14:paraId="4C38A07C"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Implementacja adekwatnego programu szkoleniowego dla personelu i instrukcji dla pracowników kontraktowych </w:t>
            </w:r>
            <w:r w:rsidRPr="00E02F30">
              <w:rPr>
                <w:rFonts w:eastAsia="Calibri" w:cs="Arial"/>
                <w:sz w:val="20"/>
                <w:szCs w:val="20"/>
              </w:rPr>
              <w:br/>
              <w:t xml:space="preserve">w zakresie Zdrowia, Bezpieczeństwa i Ochrony Środowiska (HSE) oraz kwestii alarmowych </w:t>
            </w:r>
          </w:p>
        </w:tc>
        <w:tc>
          <w:tcPr>
            <w:tcW w:w="6271" w:type="dxa"/>
          </w:tcPr>
          <w:p w14:paraId="3371A07F"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Szkolenia okresowe bhp są rozszerzone </w:t>
            </w:r>
            <w:r w:rsidRPr="00E02F30">
              <w:rPr>
                <w:rFonts w:eastAsia="Calibri" w:cs="Arial"/>
                <w:sz w:val="20"/>
                <w:szCs w:val="20"/>
              </w:rPr>
              <w:br/>
              <w:t xml:space="preserve">o zagadnienia ochrony środowiska. Kadra kierownicza składa egzaminy z tego zakresu. Istnieje Wewnętrzny Plan Operacyjno-Ratowniczy, z którego wyciąg jest podstawą przeszkolenia pracowników, obok szkolenia podstawowego. Jest to realizacja procedury ćwiczeń czyli przygotowania i reakcji na niebezpieczeństwo </w:t>
            </w:r>
            <w:r w:rsidRPr="00E02F30">
              <w:rPr>
                <w:rFonts w:eastAsia="Calibri" w:cs="Arial"/>
                <w:sz w:val="20"/>
                <w:szCs w:val="20"/>
              </w:rPr>
              <w:br/>
              <w:t xml:space="preserve">w tym awarię. </w:t>
            </w:r>
          </w:p>
        </w:tc>
      </w:tr>
      <w:tr w:rsidR="00E02F30" w:rsidRPr="00E02F30" w14:paraId="7C0CFEBC" w14:textId="77777777" w:rsidTr="00A1631B">
        <w:tc>
          <w:tcPr>
            <w:tcW w:w="4361" w:type="dxa"/>
          </w:tcPr>
          <w:p w14:paraId="557B8869"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Wprowadzenie dobrych praktyk eksploatacji. </w:t>
            </w:r>
          </w:p>
        </w:tc>
        <w:tc>
          <w:tcPr>
            <w:tcW w:w="6271" w:type="dxa"/>
          </w:tcPr>
          <w:p w14:paraId="7F2CFDAE"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Każda czynność eksploatacyjna regulowana jest </w:t>
            </w:r>
            <w:r w:rsidRPr="00E02F30">
              <w:rPr>
                <w:rFonts w:eastAsia="Calibri" w:cs="Arial"/>
                <w:sz w:val="20"/>
                <w:szCs w:val="20"/>
              </w:rPr>
              <w:br/>
              <w:t xml:space="preserve">w odpowiednich instrukcjach i opisana w procedurach ZSZ. Spostrzeżenia dotyczące przebiegu procesów produkcyjnych i eksploatacji urządzeń obsługa notuje w raportach przeglądanych po każdej zmianie roboczej. Przestrzegane są instrukcje obsługi </w:t>
            </w:r>
            <w:r w:rsidRPr="00E02F30">
              <w:rPr>
                <w:rFonts w:eastAsia="Calibri" w:cs="Arial"/>
                <w:sz w:val="20"/>
                <w:szCs w:val="20"/>
              </w:rPr>
              <w:br/>
              <w:t xml:space="preserve">i eksploatacji, a okresowo wykonywane przeglądy stanu technicznego urządzeń instalacji. </w:t>
            </w:r>
          </w:p>
        </w:tc>
      </w:tr>
      <w:tr w:rsidR="00E02F30" w:rsidRPr="00E02F30" w14:paraId="142171C9" w14:textId="77777777" w:rsidTr="00A1631B">
        <w:tc>
          <w:tcPr>
            <w:tcW w:w="4361" w:type="dxa"/>
          </w:tcPr>
          <w:p w14:paraId="19955C5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Zapobieganie nieszczęśliwym zdarzeniom i (poważnym) wypadkom</w:t>
            </w:r>
          </w:p>
          <w:p w14:paraId="1203908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Stosowanie systemu zarządzania bezpieczeństwem. Wdrożenie i przestrzeganie odpowiednich środków organizacyjnych oraz umożliwienie kształcenia oraz szkolenia pracowników dla bezpiecznego i niezawodnego funkcjonowania instalacji. Zapobieganie korozji przez:</w:t>
            </w:r>
          </w:p>
          <w:p w14:paraId="2DCC639C"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wybranie materiału konstrukcyjnego, który jest odporny na przechowywany produkt,</w:t>
            </w:r>
          </w:p>
          <w:p w14:paraId="151625FA"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zastosowanie właściwych metod budowlanych,</w:t>
            </w:r>
          </w:p>
          <w:p w14:paraId="0DBB942E"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zapobieganie dostawaniu się wody deszczowej lub wód gruntowych do zbiornika i jeśli to konieczne, usuwanie wody, która gromadzi się w zbiorniku,</w:t>
            </w:r>
          </w:p>
          <w:p w14:paraId="70307091"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zastosowanie zarządzania wodą deszczową w kanalizacji obwałowania,</w:t>
            </w:r>
          </w:p>
          <w:p w14:paraId="0D5B4BF0"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zastosowanie konserwacji prewencyjnej i w stosownych przypadkach, dodanie inhibitorów korozji, lub zastosowanie ochrony katodowej od wewnątrz zbiornika.</w:t>
            </w:r>
          </w:p>
          <w:p w14:paraId="027CE0FA"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Dodatkowo dla zbiorników podziemnych zastosowanie na zewnątrz zbiornika:</w:t>
            </w:r>
          </w:p>
          <w:p w14:paraId="0BCF7F6F"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powłoki odpornej na korozję</w:t>
            </w:r>
          </w:p>
          <w:p w14:paraId="32588A09"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poszycia i / lub</w:t>
            </w:r>
          </w:p>
          <w:p w14:paraId="09B45B66"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katodowego systemu ochrony.</w:t>
            </w:r>
          </w:p>
          <w:p w14:paraId="6722FE01" w14:textId="77777777" w:rsidR="00E02F30" w:rsidRPr="00E02F30" w:rsidRDefault="00E02F30" w:rsidP="00E02F30">
            <w:pPr>
              <w:spacing w:after="0" w:line="240" w:lineRule="auto"/>
              <w:ind w:left="102" w:firstLine="709"/>
              <w:jc w:val="both"/>
              <w:rPr>
                <w:rFonts w:eastAsia="Times New Roman" w:cs="Arial"/>
                <w:sz w:val="20"/>
                <w:szCs w:val="20"/>
                <w:lang w:eastAsia="pl-PL"/>
              </w:rPr>
            </w:pPr>
          </w:p>
          <w:p w14:paraId="4477596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Wdrożenie i utrzymywanie procedur operacyjnych np. za pomocą systemu zarządzania, w celu zapewnienia, że:</w:t>
            </w:r>
          </w:p>
          <w:p w14:paraId="31AE595B"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jest zainstalowanie oprzyrządowanie wysokiego poziomu lub wysoko ciśnieniowego z ustawieniami alarmowymi i / lub automatycznym zamknięciem zaworów</w:t>
            </w:r>
          </w:p>
          <w:p w14:paraId="08A6B8BA"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są zastosowane odpowiednie instrukcje obsługi, aby zapobiec przepełnieniu podczas operacji napełniania zbiorników,</w:t>
            </w:r>
          </w:p>
          <w:p w14:paraId="7F0961AD"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jest dostępna wystarczająca objętość do odbioru partii wypełnienia.</w:t>
            </w:r>
          </w:p>
          <w:p w14:paraId="25F52D3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wykrywania wycieków w zbiornikach zawierających ciecze, które potencjalnie mogą powodować zanieczyszczenie gleby.</w:t>
            </w:r>
          </w:p>
          <w:p w14:paraId="49D3C10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Osiągnięcie "pomijalnego poziomu ryzyka" zanieczyszczenia gleby z dna i połączeń ścian z dnem zbiorników nadziemnych. Jednak indywidualnie dla każdego przypadku, mogą być zidentyfikowane sytuacje, dla których "dopuszczalny poziom ryzyka" jest wystarczający.</w:t>
            </w:r>
          </w:p>
          <w:p w14:paraId="5BA1695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Dla zbiorników nadziemnych zawierających łatwopalne ciecze lub ciecze, które stanowią zagrożenie znacznego zanieczyszczenia gleby lub znacznego zanieczyszczenia sąsiednich cieków wodnych zapewnienie wtórnego zabezpieczenia, takiego jak:</w:t>
            </w:r>
          </w:p>
          <w:p w14:paraId="5A53C842"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obwałowania wokół zbiorników jednopłaszczowych,</w:t>
            </w:r>
          </w:p>
          <w:p w14:paraId="5B368403"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zbiorniki dwupłaszczowe,</w:t>
            </w:r>
          </w:p>
          <w:p w14:paraId="5573407A"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zbiorniki osłonowe,</w:t>
            </w:r>
          </w:p>
          <w:p w14:paraId="417D7CE9"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zbiornik dwupłaszczowy z monitorowanym spustem dolnym.</w:t>
            </w:r>
          </w:p>
          <w:p w14:paraId="062DC26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Wdrożenie środków ochrony przeciwpożarowej przez zastosowanie:</w:t>
            </w:r>
          </w:p>
          <w:p w14:paraId="24878F09"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ognioodpornych powłok lub okładzin,</w:t>
            </w:r>
          </w:p>
          <w:p w14:paraId="7F8706C9"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zapór ogniowych (tylko dla mniejszych zbiorników),</w:t>
            </w:r>
          </w:p>
          <w:p w14:paraId="7A1C47E6"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systemów chłodzenia wodnego.</w:t>
            </w:r>
          </w:p>
          <w:p w14:paraId="29FF3E90" w14:textId="77777777" w:rsidR="00E02F30" w:rsidRPr="00E02F30" w:rsidRDefault="00E02F30" w:rsidP="00E02F30">
            <w:pPr>
              <w:spacing w:after="0" w:line="240" w:lineRule="auto"/>
              <w:ind w:left="102"/>
              <w:jc w:val="both"/>
              <w:rPr>
                <w:rFonts w:eastAsia="Times New Roman" w:cs="Arial"/>
                <w:sz w:val="20"/>
                <w:szCs w:val="20"/>
                <w:lang w:eastAsia="pl-PL"/>
              </w:rPr>
            </w:pPr>
            <w:r w:rsidRPr="00E02F30">
              <w:rPr>
                <w:rFonts w:eastAsia="Times New Roman" w:cs="Arial"/>
                <w:sz w:val="20"/>
                <w:szCs w:val="20"/>
                <w:lang w:eastAsia="pl-PL"/>
              </w:rPr>
              <w:t>Zatrzymywanie zanieczyszczonego środka gaśniczego.</w:t>
            </w:r>
          </w:p>
        </w:tc>
        <w:tc>
          <w:tcPr>
            <w:tcW w:w="6271" w:type="dxa"/>
          </w:tcPr>
          <w:p w14:paraId="400FE57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Zakład poza wdrożonym systemem zarzadzania bezpieczeństwem posiada wymaganą dokumentację związaną z ich zakwalifikowaniem do grupy zakładów dużego ryzyka wystąpienia poważnej awarii przemysłowej, w tym: zgłoszenie, program zapobiegania awariom, raport o bezpieczeństwie oraz wewnętrzny i zewnętrzny plan operacyjno-ratowniczy. W ramach systemu zarządzania w zakładzie funkcjonują wdrożone procedury operacyjne oraz procedura w zakresie szkolenia pracowników i nadzoru. W obszarze tym prowadzone są zapisy. Ponadto szkolenia okresowe bhp są rozszerzone o zagadnienia ochrony środowiska. Kadra kierownicza składa egzaminy z tego zakresu. Istnieje Wewnętrzny Plan Operacyjno-Ratowniczy, z którego wyciąg jest podstawą przeszkolenia pracowników, obok szkolenia podstawowego. Jest to realizacja procedury ćwiczeń czyli przygotowania i reakcji na niebezpieczeństwo w tym awarię.</w:t>
            </w:r>
          </w:p>
          <w:p w14:paraId="3CE2E73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bCs/>
                <w:sz w:val="20"/>
                <w:szCs w:val="20"/>
                <w:lang w:eastAsia="pl-PL"/>
              </w:rPr>
              <w:t xml:space="preserve">Instalacje i zbiorniki w zakładzie 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w:t>
            </w:r>
            <w:proofErr w:type="spellStart"/>
            <w:r w:rsidRPr="00E02F30">
              <w:rPr>
                <w:rFonts w:eastAsia="Times New Roman" w:cs="Arial"/>
                <w:bCs/>
                <w:sz w:val="20"/>
                <w:szCs w:val="20"/>
                <w:lang w:eastAsia="pl-PL"/>
              </w:rPr>
              <w:t>o.o.są</w:t>
            </w:r>
            <w:proofErr w:type="spellEnd"/>
            <w:r w:rsidRPr="00E02F30">
              <w:rPr>
                <w:rFonts w:eastAsia="Times New Roman" w:cs="Arial"/>
                <w:bCs/>
                <w:sz w:val="20"/>
                <w:szCs w:val="20"/>
                <w:lang w:eastAsia="pl-PL"/>
              </w:rPr>
              <w:t xml:space="preserve"> zaprojektowane, wykonane i prowadzone w sposób zapobiegający awariom przemysłowym i ograniczający ich skutki dla ludzi i środowiska. </w:t>
            </w:r>
            <w:r w:rsidRPr="00E02F30">
              <w:rPr>
                <w:rFonts w:eastAsia="Times New Roman" w:cs="Arial"/>
                <w:sz w:val="20"/>
                <w:szCs w:val="20"/>
                <w:lang w:eastAsia="pl-PL"/>
              </w:rPr>
              <w:t xml:space="preserve">Zbiorniki są wykonane z odpowiednich materiałów (trwałych i odpornych). Zapobieganie korozji i erozji następuje poprzez zabezpieczenia antykorozyjne (malowanie). Zbiorniki wyposażone są w urządzenia do pomiaru poziomu napełniania i zapobiegające ich przepełnieniu. Zlokalizowane są w misach bezodpływowych do wyłapywania ewentualnych przecieków magazynowanych substancji. Zbiorniki wyposażone są w odpowiednie systemy zabezpieczające przed przepełnieniem. </w:t>
            </w:r>
          </w:p>
          <w:p w14:paraId="67CBF7E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bCs/>
                <w:sz w:val="20"/>
                <w:szCs w:val="20"/>
                <w:lang w:eastAsia="pl-PL"/>
              </w:rPr>
              <w:t xml:space="preserve">Magazyny zbiorników wyposażone są w półstałą instalację do gaszenia pożaru pianą oraz podręczny sprzęt gaśniczy (gaśnice). Do wyłapywania przecieków i wód </w:t>
            </w:r>
            <w:proofErr w:type="spellStart"/>
            <w:r w:rsidRPr="00E02F30">
              <w:rPr>
                <w:rFonts w:eastAsia="Times New Roman" w:cs="Arial"/>
                <w:bCs/>
                <w:sz w:val="20"/>
                <w:szCs w:val="20"/>
                <w:lang w:eastAsia="pl-PL"/>
              </w:rPr>
              <w:t>pogaśniczych</w:t>
            </w:r>
            <w:proofErr w:type="spellEnd"/>
            <w:r w:rsidRPr="00E02F30">
              <w:rPr>
                <w:rFonts w:eastAsia="Times New Roman" w:cs="Arial"/>
                <w:bCs/>
                <w:sz w:val="20"/>
                <w:szCs w:val="20"/>
                <w:lang w:eastAsia="pl-PL"/>
              </w:rPr>
              <w:t xml:space="preserve"> na wypadek awarii służą misy i tace. </w:t>
            </w:r>
            <w:r w:rsidRPr="00E02F30">
              <w:rPr>
                <w:rFonts w:eastAsia="Times New Roman" w:cs="Arial"/>
                <w:sz w:val="20"/>
                <w:szCs w:val="20"/>
                <w:lang w:eastAsia="pl-PL"/>
              </w:rPr>
              <w:t xml:space="preserve">W zbiornikach z cieczami palnymi utrzymywana jest atmosfera gazu </w:t>
            </w:r>
            <w:proofErr w:type="spellStart"/>
            <w:r w:rsidRPr="00E02F30">
              <w:rPr>
                <w:rFonts w:eastAsia="Times New Roman" w:cs="Arial"/>
                <w:sz w:val="20"/>
                <w:szCs w:val="20"/>
                <w:lang w:eastAsia="pl-PL"/>
              </w:rPr>
              <w:t>inertnego</w:t>
            </w:r>
            <w:proofErr w:type="spellEnd"/>
            <w:r w:rsidRPr="00E02F30">
              <w:rPr>
                <w:rFonts w:eastAsia="Times New Roman" w:cs="Arial"/>
                <w:sz w:val="20"/>
                <w:szCs w:val="20"/>
                <w:lang w:eastAsia="pl-PL"/>
              </w:rPr>
              <w:t xml:space="preserve"> (azotu). Zbiorniki magazynowe usytuowane są na szczelnej tacy pozwalającej na zatrzymanie i zebranie potencjalnych wycieków, wody gaśniczej w przypadku ewentualnego pożaru oraz zanieczyszczonych wód opadowych.</w:t>
            </w:r>
          </w:p>
          <w:p w14:paraId="16F3109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Wszystkie procesy produkcyjne monitorowane są w systemach aparatury kontrolno-pomiarowej i komputerowych. Wizualizacja podstawowych parametrów pracy, jak też sygnalizacja stanów </w:t>
            </w:r>
            <w:proofErr w:type="spellStart"/>
            <w:r w:rsidRPr="00E02F30">
              <w:rPr>
                <w:rFonts w:eastAsia="Times New Roman" w:cs="Arial"/>
                <w:sz w:val="20"/>
                <w:szCs w:val="20"/>
                <w:lang w:eastAsia="pl-PL"/>
              </w:rPr>
              <w:t>przedawaryjnych</w:t>
            </w:r>
            <w:proofErr w:type="spellEnd"/>
            <w:r w:rsidRPr="00E02F30">
              <w:rPr>
                <w:rFonts w:eastAsia="Times New Roman" w:cs="Arial"/>
                <w:sz w:val="20"/>
                <w:szCs w:val="20"/>
                <w:lang w:eastAsia="pl-PL"/>
              </w:rPr>
              <w:t>, pozwala w porę reagować na ewentualne zakłócenia. Tam gdzie nie ma pełnego sterowania mikroprocesorowego, monitoring prowadzony jest przy pomocy różnych czujników oraz pobieranie prób z uzasadnioną doświadczeniami częstotliwością i określonych w instrukcjach technologicznych. Prowadzone są coroczne przeglądy obiektów budowlanych (w tym tac magazynowych) przez zewnętrzną jednostkę posiadającą stosowne uprawnienia budowlane. Prowadzone są cykliczne przeglądy stanu technicznego zbiorników substancji niebezpiecznych przez jednostkę UDT.</w:t>
            </w:r>
          </w:p>
          <w:p w14:paraId="05D16F38"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Ponadto na podstawie przeprowadzonej oceny ryzyka zanieczyszczenia środowiska gruntowo-wodnego wykazano, że eksploatacja instalacji IPPC nie powoduje ryzyka zanieczyszczenia powierzchni ziemi ze względu na zastosowanie szeregu technicznych i organizacyjnych zabezpieczeń.</w:t>
            </w:r>
          </w:p>
          <w:p w14:paraId="4EA46772"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21834894" w14:textId="77777777" w:rsidTr="00A1631B">
        <w:tc>
          <w:tcPr>
            <w:tcW w:w="10632" w:type="dxa"/>
            <w:gridSpan w:val="2"/>
          </w:tcPr>
          <w:p w14:paraId="6216D8AD" w14:textId="77777777" w:rsidR="00E02F30" w:rsidRPr="00E02F30" w:rsidRDefault="00E02F30" w:rsidP="00E02F30">
            <w:pPr>
              <w:autoSpaceDE w:val="0"/>
              <w:autoSpaceDN w:val="0"/>
              <w:adjustRightInd w:val="0"/>
              <w:spacing w:after="0" w:line="240" w:lineRule="auto"/>
              <w:jc w:val="center"/>
              <w:rPr>
                <w:rFonts w:eastAsia="Calibri" w:cs="Arial"/>
                <w:b/>
                <w:sz w:val="20"/>
                <w:szCs w:val="20"/>
              </w:rPr>
            </w:pPr>
            <w:r w:rsidRPr="00E02F30">
              <w:rPr>
                <w:rFonts w:eastAsia="Calibri" w:cs="Arial"/>
                <w:b/>
                <w:sz w:val="20"/>
                <w:szCs w:val="20"/>
              </w:rPr>
              <w:t>W ZAKRESIE EMISJI</w:t>
            </w:r>
          </w:p>
        </w:tc>
      </w:tr>
      <w:tr w:rsidR="00E02F30" w:rsidRPr="00E02F30" w14:paraId="25204FCE" w14:textId="77777777" w:rsidTr="00A1631B">
        <w:tc>
          <w:tcPr>
            <w:tcW w:w="4361" w:type="dxa"/>
          </w:tcPr>
          <w:p w14:paraId="4484268A"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Inwentaryzacja zakładu oraz inwentaryzacja strumieniowa </w:t>
            </w:r>
          </w:p>
        </w:tc>
        <w:tc>
          <w:tcPr>
            <w:tcW w:w="6271" w:type="dxa"/>
          </w:tcPr>
          <w:p w14:paraId="1CC74EA2"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Istnieją szczegółowe opracowania poszczególnych instalacji (mapy, plany, rzuty kondygnacji, schematy technologiczne, dokumentacja techniczna). Strumienie emisji są zidentyfikowane, oznaczone i monitorowane. </w:t>
            </w:r>
          </w:p>
        </w:tc>
      </w:tr>
      <w:tr w:rsidR="00E02F30" w:rsidRPr="00E02F30" w14:paraId="5CB63BD2" w14:textId="77777777" w:rsidTr="00A1631B">
        <w:trPr>
          <w:trHeight w:val="900"/>
        </w:trPr>
        <w:tc>
          <w:tcPr>
            <w:tcW w:w="4361" w:type="dxa"/>
          </w:tcPr>
          <w:p w14:paraId="63A25917"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Sprawdzanie i identyfikacja większości istotnych źródeł emisji dla każdego medium </w:t>
            </w:r>
            <w:r w:rsidRPr="00E02F30">
              <w:rPr>
                <w:rFonts w:eastAsia="Calibri" w:cs="Arial"/>
                <w:sz w:val="20"/>
                <w:szCs w:val="20"/>
              </w:rPr>
              <w:br/>
              <w:t xml:space="preserve">i wypunktowanie ich w kolejności ładunku zanieczyszczeń. </w:t>
            </w:r>
          </w:p>
        </w:tc>
        <w:tc>
          <w:tcPr>
            <w:tcW w:w="6271" w:type="dxa"/>
          </w:tcPr>
          <w:p w14:paraId="6640BD97"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Identyfikacja i ocena emisji czyli aspektów środowiskowych jest podstawą wyznaczania celów i zadań realizowanych w ramach Programów rocznych. W wyniku tego notowana jest ciągła poprawa w zakresie emisji do środowiska przez wszystkie instalacje IPPC. </w:t>
            </w:r>
          </w:p>
        </w:tc>
      </w:tr>
      <w:tr w:rsidR="00E02F30" w:rsidRPr="00E02F30" w14:paraId="5B51DF5E" w14:textId="77777777" w:rsidTr="00A1631B">
        <w:tc>
          <w:tcPr>
            <w:tcW w:w="4361" w:type="dxa"/>
          </w:tcPr>
          <w:p w14:paraId="5621CBB1"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Sprawdzanie i identyfikacja istotnych procesów zużywających wodę i wypunktowanie ich </w:t>
            </w:r>
            <w:r w:rsidRPr="00E02F30">
              <w:rPr>
                <w:rFonts w:eastAsia="Calibri" w:cs="Arial"/>
                <w:sz w:val="20"/>
                <w:szCs w:val="20"/>
              </w:rPr>
              <w:br/>
              <w:t xml:space="preserve">w kolejności jej zużycia </w:t>
            </w:r>
          </w:p>
        </w:tc>
        <w:tc>
          <w:tcPr>
            <w:tcW w:w="6271" w:type="dxa"/>
          </w:tcPr>
          <w:p w14:paraId="69902E6C"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Woda w procesach produkcyjnych zużywana jest zasadniczo do celów produkcyjnych i chłodniczych. Pewne ilości wody głębinowej zużywane są do celów chłodniczych i technologicznych. Są one systematycznie zmniejszane poprzez instalowanie przy instalacjach agregatów chłodniczych.  Docelowo zużycie wody głębinowej do tych celów zostanie wyeliminowane. Zużycie wody jest identyfikowane i monitorowane.</w:t>
            </w:r>
          </w:p>
        </w:tc>
      </w:tr>
      <w:tr w:rsidR="00E02F30" w:rsidRPr="00E02F30" w14:paraId="6A30D65C" w14:textId="77777777" w:rsidTr="00A1631B">
        <w:tc>
          <w:tcPr>
            <w:tcW w:w="4361" w:type="dxa"/>
          </w:tcPr>
          <w:p w14:paraId="6EF2F5D5"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Szacowanie wpływu na środowisko i wpływów na instalację oczyszczającą podczas planowania nowej działalności lub modernizacji dotychczasowej. </w:t>
            </w:r>
          </w:p>
        </w:tc>
        <w:tc>
          <w:tcPr>
            <w:tcW w:w="6271" w:type="dxa"/>
          </w:tcPr>
          <w:p w14:paraId="79CDE0AA"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Wszystkie wykonywane oceny oddziaływania na środowisko rozbudowywanych lub modernizowanych instalacji zawierają elementy określania wpływu na środowisko we wszystkich jego elementach oraz wpływów na urządzenia/węzły oczyszczające. Zasadą jest niezwiększanie lub minimalizacja oddziaływania na środowisko, co - przy znanej skuteczności oczyszczania w istniejących urządzeniach – skutkuje likwidacją zanieczyszczeń u źródła lub pełniejszym wykorzystaniem zdolności urządzeń, np. instalacji do produkcji żywic. </w:t>
            </w:r>
          </w:p>
        </w:tc>
      </w:tr>
      <w:tr w:rsidR="00E02F30" w:rsidRPr="00E02F30" w14:paraId="11230DB7" w14:textId="77777777" w:rsidTr="00A1631B">
        <w:tc>
          <w:tcPr>
            <w:tcW w:w="4361" w:type="dxa"/>
          </w:tcPr>
          <w:p w14:paraId="6E9C8A52"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Połączenia danych dotyczących produkcji z danymi o ładunku zanieczyszczeń, aby porównać obecne i przewidywane emisje </w:t>
            </w:r>
          </w:p>
        </w:tc>
        <w:tc>
          <w:tcPr>
            <w:tcW w:w="6271" w:type="dxa"/>
          </w:tcPr>
          <w:p w14:paraId="06735225"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Funkcjonowanie harmonogramów badań emisji oraz zestawienia emisji, zużycia wody i mediów energetycznych w odniesieniu do poszczególnych instalacji produkcyjnych i pomocniczych są porównywane przez nadzór technologiczny </w:t>
            </w:r>
            <w:r w:rsidRPr="00E02F30">
              <w:rPr>
                <w:rFonts w:eastAsia="Calibri" w:cs="Arial"/>
                <w:sz w:val="20"/>
                <w:szCs w:val="20"/>
              </w:rPr>
              <w:br/>
              <w:t xml:space="preserve">z wielkością produkcji poszczególnych instalacji, pozwalają oceniać prawidłowość prowadzenia procesów i prognozować emisje w odniesieniu do planów produkcyjnych. </w:t>
            </w:r>
          </w:p>
        </w:tc>
      </w:tr>
      <w:tr w:rsidR="00E02F30" w:rsidRPr="00E02F30" w14:paraId="1F31B971" w14:textId="77777777" w:rsidTr="00A1631B">
        <w:tc>
          <w:tcPr>
            <w:tcW w:w="4361" w:type="dxa"/>
          </w:tcPr>
          <w:p w14:paraId="08D1E8C5"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Stosowanie urządzeń do redukcji emisji tam gdzie niemożliwe jest jej zapobieganie </w:t>
            </w:r>
          </w:p>
        </w:tc>
        <w:tc>
          <w:tcPr>
            <w:tcW w:w="6271" w:type="dxa"/>
          </w:tcPr>
          <w:p w14:paraId="77DB8563"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Tam, gdzie ze względu na przebieg procesu produkcyjnego nie można wyeliminować emisji, stosuje się różnorodne metody jej redukcji przed odprowadzeniem do środowiska. </w:t>
            </w:r>
          </w:p>
          <w:p w14:paraId="3B990D2B"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W emisji gazów: </w:t>
            </w:r>
          </w:p>
          <w:p w14:paraId="799AFB2A"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-chłodnice wykraplające na </w:t>
            </w:r>
            <w:proofErr w:type="spellStart"/>
            <w:r w:rsidRPr="00E02F30">
              <w:rPr>
                <w:rFonts w:eastAsia="Calibri" w:cs="Arial"/>
                <w:sz w:val="20"/>
                <w:szCs w:val="20"/>
              </w:rPr>
              <w:t>odprowadzeniach</w:t>
            </w:r>
            <w:proofErr w:type="spellEnd"/>
            <w:r w:rsidRPr="00E02F30">
              <w:rPr>
                <w:rFonts w:eastAsia="Calibri" w:cs="Arial"/>
                <w:sz w:val="20"/>
                <w:szCs w:val="20"/>
              </w:rPr>
              <w:t xml:space="preserve"> </w:t>
            </w:r>
            <w:proofErr w:type="spellStart"/>
            <w:r w:rsidRPr="00E02F30">
              <w:rPr>
                <w:rFonts w:eastAsia="Calibri" w:cs="Arial"/>
                <w:sz w:val="20"/>
                <w:szCs w:val="20"/>
              </w:rPr>
              <w:t>odgazów</w:t>
            </w:r>
            <w:proofErr w:type="spellEnd"/>
            <w:r w:rsidRPr="00E02F30">
              <w:rPr>
                <w:rFonts w:eastAsia="Calibri" w:cs="Arial"/>
                <w:sz w:val="20"/>
                <w:szCs w:val="20"/>
              </w:rPr>
              <w:t xml:space="preserve"> z aparatów technologicznych,  </w:t>
            </w:r>
          </w:p>
          <w:p w14:paraId="49A28493"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filtry pulsacyjne w węzłach produkcji żywic epoksydowych i innych produktów pylistych, </w:t>
            </w:r>
          </w:p>
          <w:p w14:paraId="7AC4E13A"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adsorbery i absorbery, </w:t>
            </w:r>
          </w:p>
          <w:p w14:paraId="6E016880"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-dopalacz termiczny w instalacji nienasyconych żywic poliestrowych oczyszczający gazy zawierające związki organiczne z całej instalacji, </w:t>
            </w:r>
          </w:p>
          <w:p w14:paraId="4712EF36"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-zamknięcia olejowe wydechów ze zbiorników magazynowych, </w:t>
            </w:r>
          </w:p>
          <w:p w14:paraId="3C6FB612"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wahadła gazów przy rozładunku cystern kolejowych </w:t>
            </w:r>
            <w:r w:rsidRPr="00E02F30">
              <w:rPr>
                <w:rFonts w:eastAsia="Calibri" w:cs="Arial"/>
                <w:sz w:val="20"/>
                <w:szCs w:val="20"/>
              </w:rPr>
              <w:br/>
              <w:t xml:space="preserve">i autocystern do zbiorników. </w:t>
            </w:r>
          </w:p>
          <w:p w14:paraId="24A8A702"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W emisji ścieków: </w:t>
            </w:r>
          </w:p>
          <w:p w14:paraId="751BC2BA"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wielokrotne wykorzystywanie cieczy myjącej do oczyszczania aparatów produkcyjnych, </w:t>
            </w:r>
          </w:p>
          <w:p w14:paraId="450A52F4"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-kondensacja żywic fenolowo-formaldehydowych ze ścieków, </w:t>
            </w:r>
          </w:p>
          <w:p w14:paraId="381D3E5F"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-zamknięte obiegi wód chłodniczych z wykorzystaniem do chłodzenia wód powierzchniowych i stopniowej eliminacji wód podziemnych, </w:t>
            </w:r>
          </w:p>
          <w:p w14:paraId="54EE9349"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W emisji odpadów: </w:t>
            </w:r>
          </w:p>
          <w:p w14:paraId="5F952A04"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odzysk papieru i tektury oraz opakowań z tworzyw sztucznych, </w:t>
            </w:r>
          </w:p>
          <w:p w14:paraId="7879B4C4"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realizacja zbiórki i recyklingu opakowań, </w:t>
            </w:r>
          </w:p>
          <w:p w14:paraId="7018B0D2"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rozszerzanie stosowania opakowań wielokrotnego użytku (bębny, kontenery, big-</w:t>
            </w:r>
            <w:proofErr w:type="spellStart"/>
            <w:r w:rsidRPr="00E02F30">
              <w:rPr>
                <w:rFonts w:eastAsia="Calibri" w:cs="Arial"/>
                <w:sz w:val="20"/>
                <w:szCs w:val="20"/>
              </w:rPr>
              <w:t>bagi</w:t>
            </w:r>
            <w:proofErr w:type="spellEnd"/>
            <w:r w:rsidRPr="00E02F30">
              <w:rPr>
                <w:rFonts w:eastAsia="Calibri" w:cs="Arial"/>
                <w:sz w:val="20"/>
                <w:szCs w:val="20"/>
              </w:rPr>
              <w:t xml:space="preserve">), palety drewniane. </w:t>
            </w:r>
          </w:p>
          <w:p w14:paraId="7E445E99"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 W emisji hałasu: </w:t>
            </w:r>
          </w:p>
          <w:p w14:paraId="1FEE0C98"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 zabudowa urządzeń będących istotnymi źródłami hałasu w zabezpieczonych pomieszczeniach instalacji, </w:t>
            </w:r>
          </w:p>
          <w:p w14:paraId="0A65E42F"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 stosowanie osłon i ekranów  indywidualnych, przeciwhałasowych, </w:t>
            </w:r>
          </w:p>
          <w:p w14:paraId="01EFA510"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 stosowanie pomp i wentylatorów niskoszumowych, </w:t>
            </w:r>
          </w:p>
          <w:p w14:paraId="619BFCF3"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 stosowanie regulatorów obrotów </w:t>
            </w:r>
            <w:r w:rsidRPr="00E02F30">
              <w:rPr>
                <w:rFonts w:eastAsia="Calibri" w:cs="Arial"/>
                <w:sz w:val="20"/>
                <w:szCs w:val="20"/>
              </w:rPr>
              <w:br/>
              <w:t xml:space="preserve">w wentylatorach i pompach, </w:t>
            </w:r>
          </w:p>
          <w:p w14:paraId="3843E194"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prowadzenie zrównoważonej gospodarki leśnej </w:t>
            </w:r>
            <w:r w:rsidRPr="00E02F30">
              <w:rPr>
                <w:rFonts w:eastAsia="Calibri" w:cs="Arial"/>
                <w:sz w:val="20"/>
                <w:szCs w:val="20"/>
              </w:rPr>
              <w:br/>
              <w:t>w zakładowych lasach ochronnych oraz utrzymywanie zieleni na terenach przyległych do instalacji jako naturalnych ekranów.</w:t>
            </w:r>
          </w:p>
        </w:tc>
      </w:tr>
      <w:tr w:rsidR="00E02F30" w:rsidRPr="00E02F30" w14:paraId="38157C6B" w14:textId="77777777" w:rsidTr="00A1631B">
        <w:tc>
          <w:tcPr>
            <w:tcW w:w="4361" w:type="dxa"/>
          </w:tcPr>
          <w:p w14:paraId="51A3F340"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Wdrożenie programu monitoringu we wszystkich instalacjach aby sprawdzać  ich działania </w:t>
            </w:r>
          </w:p>
        </w:tc>
        <w:tc>
          <w:tcPr>
            <w:tcW w:w="6271" w:type="dxa"/>
          </w:tcPr>
          <w:p w14:paraId="19B7B7DE"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Wszystkie procesy produkcyjne monitorowane są w systemach aparatury kontrolno-pomiarowej i komputerowych, w tym także praca urządzeń oczyszczających. Wizualizacja podstawowych parametrów pracy, jak też sygnalizacja stanów </w:t>
            </w:r>
            <w:proofErr w:type="spellStart"/>
            <w:r w:rsidRPr="00E02F30">
              <w:rPr>
                <w:rFonts w:eastAsia="Calibri" w:cs="Arial"/>
                <w:sz w:val="20"/>
                <w:szCs w:val="20"/>
              </w:rPr>
              <w:t>przedawaryjnych</w:t>
            </w:r>
            <w:proofErr w:type="spellEnd"/>
            <w:r w:rsidRPr="00E02F30">
              <w:rPr>
                <w:rFonts w:eastAsia="Calibri" w:cs="Arial"/>
                <w:sz w:val="20"/>
                <w:szCs w:val="20"/>
              </w:rPr>
              <w:t xml:space="preserve">, pozwala w porę reagować na ewentualne zakłócenia. Tam gdzie nie ma pełnego sterowania mikroprocesorowego, monitoring prowadzony jest przy pomocy różnych czujników oraz pobieranie prób z uzasadnioną doświadczeniami częstotliwością i określonych w instrukcjach technologicznych. Np. stężenie substancji w cieczy pochłaniającej w absorberach  badane jest z częstotliwością określoną w instrukcjach, co gwarantuje wymianę roztworu przed wyczerpaniem i zapobiega przebiciu gazów. </w:t>
            </w:r>
          </w:p>
        </w:tc>
      </w:tr>
      <w:tr w:rsidR="00E02F30" w:rsidRPr="00E02F30" w14:paraId="2CE0545F" w14:textId="77777777" w:rsidTr="00A1631B">
        <w:tc>
          <w:tcPr>
            <w:tcW w:w="4361" w:type="dxa"/>
          </w:tcPr>
          <w:p w14:paraId="2B52D443"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Alokacji kosztów oczyszczania ścieków i gazów wylotowych oraz utylizacji odpadów związanych z produkcją </w:t>
            </w:r>
          </w:p>
        </w:tc>
        <w:tc>
          <w:tcPr>
            <w:tcW w:w="6271" w:type="dxa"/>
          </w:tcPr>
          <w:p w14:paraId="23A5DB71"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Zakłady prowadzą zieloną rachunkowość. Na podstawie ewidencji prowadzonej w poszczególnych instalacjach naliczane są opłaty za korzystanie ze środowiska oraz usługi z zakresu oczyszczania ścieków i gospodarki odpadami. Wszystkie koszty </w:t>
            </w:r>
            <w:r w:rsidRPr="00E02F30">
              <w:rPr>
                <w:rFonts w:eastAsia="Calibri" w:cs="Arial"/>
                <w:sz w:val="20"/>
                <w:szCs w:val="20"/>
              </w:rPr>
              <w:br/>
              <w:t xml:space="preserve">i opłaty związane z emisjami alokowane są na konta przypisane poszczególnym produkcjom podstawowym i pomocniczym. Koszty  zużycia wody i czynników energetycznych oraz  wytwarzanych ścieków </w:t>
            </w:r>
            <w:r w:rsidRPr="00E02F30">
              <w:rPr>
                <w:rFonts w:eastAsia="Calibri" w:cs="Arial"/>
                <w:sz w:val="20"/>
                <w:szCs w:val="20"/>
              </w:rPr>
              <w:br/>
              <w:t xml:space="preserve">i odpadów rozliczane są w okresach miesięcznych. Koszty emisji gazów w okresach rocznych, a poboru wody w okresach kwartalnych. </w:t>
            </w:r>
          </w:p>
        </w:tc>
      </w:tr>
      <w:tr w:rsidR="00E02F30" w:rsidRPr="00E02F30" w14:paraId="1FA8674B" w14:textId="77777777" w:rsidTr="00A1631B">
        <w:tc>
          <w:tcPr>
            <w:tcW w:w="4361" w:type="dxa"/>
          </w:tcPr>
          <w:p w14:paraId="35117D9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Zbieranie gazów odlotowych. W celu ułatwienia odzysku związków i ograniczenia emisji do powietrza, w ramach BAT należy uwzględnić źródła emisji oraz poddawać emisje oczyszczaniu, tam gdzie jest to możliwe. Możliwość zastosowania może być ograniczona względami operacyjności, bezpieczeństwa oraz zdrowia.</w:t>
            </w:r>
          </w:p>
          <w:p w14:paraId="7B0B7206" w14:textId="77777777" w:rsidR="00E02F30" w:rsidRPr="00E02F30" w:rsidRDefault="00E02F30" w:rsidP="00E02F30">
            <w:pPr>
              <w:spacing w:after="0" w:line="240" w:lineRule="auto"/>
              <w:jc w:val="both"/>
              <w:rPr>
                <w:rFonts w:eastAsia="Times New Roman" w:cs="Arial"/>
                <w:sz w:val="20"/>
                <w:szCs w:val="20"/>
                <w:highlight w:val="yellow"/>
                <w:lang w:eastAsia="pl-PL"/>
              </w:rPr>
            </w:pPr>
            <w:r w:rsidRPr="00E02F30">
              <w:rPr>
                <w:rFonts w:eastAsia="Times New Roman" w:cs="Arial"/>
                <w:sz w:val="20"/>
                <w:szCs w:val="20"/>
                <w:lang w:eastAsia="pl-PL"/>
              </w:rPr>
              <w:t>Oczyszczanie gazów odlotowych. Aby ograniczyć emisje do powietrza, w ramach BAT należy stosować zintegrowaną strategię gospodarowania gazami odlotowymi i oczyszczania gazów odlotowych, obejmującą techniki zintegrowane z procesem oraz techniki oczyszczania gazów odlotowych.</w:t>
            </w:r>
          </w:p>
        </w:tc>
        <w:tc>
          <w:tcPr>
            <w:tcW w:w="6271" w:type="dxa"/>
          </w:tcPr>
          <w:p w14:paraId="01225987"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Tam, gdzie ze względu na przebieg procesu produkcyjnego nie można wyeliminować emisji gazów odlotowych, stosuje się różnorodne metody jej redukcji przed odprowadzeniem do środowiska: </w:t>
            </w:r>
          </w:p>
          <w:p w14:paraId="1DD1419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chłodnice wykraplające na </w:t>
            </w:r>
            <w:proofErr w:type="spellStart"/>
            <w:r w:rsidRPr="00E02F30">
              <w:rPr>
                <w:rFonts w:eastAsia="Times New Roman" w:cs="Arial"/>
                <w:bCs/>
                <w:sz w:val="20"/>
                <w:szCs w:val="20"/>
                <w:lang w:eastAsia="pl-PL"/>
              </w:rPr>
              <w:t>odprowadzeniach</w:t>
            </w:r>
            <w:proofErr w:type="spellEnd"/>
            <w:r w:rsidRPr="00E02F30">
              <w:rPr>
                <w:rFonts w:eastAsia="Times New Roman" w:cs="Arial"/>
                <w:bCs/>
                <w:sz w:val="20"/>
                <w:szCs w:val="20"/>
                <w:lang w:eastAsia="pl-PL"/>
              </w:rPr>
              <w:t xml:space="preserve"> </w:t>
            </w:r>
            <w:proofErr w:type="spellStart"/>
            <w:r w:rsidRPr="00E02F30">
              <w:rPr>
                <w:rFonts w:eastAsia="Times New Roman" w:cs="Arial"/>
                <w:bCs/>
                <w:sz w:val="20"/>
                <w:szCs w:val="20"/>
                <w:lang w:eastAsia="pl-PL"/>
              </w:rPr>
              <w:t>odgazów</w:t>
            </w:r>
            <w:proofErr w:type="spellEnd"/>
            <w:r w:rsidRPr="00E02F30">
              <w:rPr>
                <w:rFonts w:eastAsia="Times New Roman" w:cs="Arial"/>
                <w:bCs/>
                <w:sz w:val="20"/>
                <w:szCs w:val="20"/>
                <w:lang w:eastAsia="pl-PL"/>
              </w:rPr>
              <w:t xml:space="preserve"> z aparatów technologicznych,  </w:t>
            </w:r>
          </w:p>
          <w:p w14:paraId="7FCD5A59"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filtry pulsacyjne w węzłach produkcji żywic epoksydowych i innych produktów pylistych, </w:t>
            </w:r>
          </w:p>
          <w:p w14:paraId="04100BA6"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adsorbery i absorbery, </w:t>
            </w:r>
          </w:p>
          <w:p w14:paraId="769B8C2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dopalacz termiczny w instalacji nienasyconych żywic poliestrowych oczyszczający gazy zawierające związki organiczne z całej instalacji, </w:t>
            </w:r>
          </w:p>
          <w:p w14:paraId="485DDFB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zamknięcia olejowe wydechów ze zbiorników magazynowych, </w:t>
            </w:r>
          </w:p>
          <w:p w14:paraId="545C0DA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wahadła gazów przy rozładunku cystern kolejowych i autocystern do zbiorników. </w:t>
            </w:r>
          </w:p>
          <w:p w14:paraId="6A858767" w14:textId="77777777" w:rsidR="00E02F30" w:rsidRPr="00E02F30" w:rsidRDefault="00E02F30" w:rsidP="00E02F30">
            <w:pPr>
              <w:spacing w:after="0" w:line="240" w:lineRule="auto"/>
              <w:ind w:firstLine="709"/>
              <w:jc w:val="both"/>
              <w:rPr>
                <w:rFonts w:eastAsia="Times New Roman" w:cs="Arial"/>
                <w:sz w:val="20"/>
                <w:szCs w:val="20"/>
                <w:u w:val="single"/>
                <w:lang w:eastAsia="pl-PL"/>
              </w:rPr>
            </w:pPr>
          </w:p>
        </w:tc>
      </w:tr>
      <w:tr w:rsidR="00E02F30" w:rsidRPr="00E02F30" w14:paraId="6205286F" w14:textId="77777777" w:rsidTr="00A1631B">
        <w:tc>
          <w:tcPr>
            <w:tcW w:w="4361" w:type="dxa"/>
          </w:tcPr>
          <w:p w14:paraId="1A8F58C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Emisje rozproszone LZO W celu zapobiegania emisjom rozproszonym LZO lub, jeżeli jest to niemożliwe, ich ograniczenia należy stosować jedną z następujących technik lub ich kombinację:</w:t>
            </w:r>
          </w:p>
          <w:p w14:paraId="084E7EE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techniki związane z konstrukcją zespołu urządzeń:</w:t>
            </w:r>
          </w:p>
          <w:p w14:paraId="4668046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-ograniczenie liczby ewentualnych źródeł emisji,</w:t>
            </w:r>
          </w:p>
          <w:p w14:paraId="1F7D564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-zmaksymalizowanie środków uszczelniających właściwych dla procesu,</w:t>
            </w:r>
          </w:p>
          <w:p w14:paraId="2664D05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-wybór urządzeń o wysokim poziomie integralności,</w:t>
            </w:r>
          </w:p>
          <w:p w14:paraId="049989E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-poprawa działań związanych z obsługą techniczną</w:t>
            </w:r>
          </w:p>
          <w:p w14:paraId="114D074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techniki związane z budową zespołu urządzeń/wyposażenia, jego montażem i uruchomieniem:</w:t>
            </w:r>
          </w:p>
          <w:p w14:paraId="531D729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-zapewnienie ściśle określonych i kompleksowych procedur dotyczących budowy i montażu zespołu urządzeń/wyposażenia,</w:t>
            </w:r>
          </w:p>
          <w:p w14:paraId="2BC189A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-zapewnienie solidnych procedur uruchamiania zespołu urządzeń/wyposażenia i procedury przekazywania kontroli,</w:t>
            </w:r>
          </w:p>
          <w:p w14:paraId="3ACACF7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techniki związane z eksploatacją zespołu urządzeń:</w:t>
            </w:r>
          </w:p>
          <w:p w14:paraId="1185F57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-zapewnienie odpowiedniej obsługi technicznej i terminowej wymiany wyposażenia,</w:t>
            </w:r>
          </w:p>
          <w:p w14:paraId="5B271CB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-stosowanie programu wykrywania i naprawy nieszczelności, opierającego się na analizie ryzyka</w:t>
            </w:r>
          </w:p>
          <w:p w14:paraId="068578B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-zapobieganie powstawaniu emisji rozproszonych LZO, zbieranie ich u źródła oraz poddawanie ich oczyszczeniu.</w:t>
            </w:r>
          </w:p>
        </w:tc>
        <w:tc>
          <w:tcPr>
            <w:tcW w:w="6271" w:type="dxa"/>
          </w:tcPr>
          <w:p w14:paraId="4973DA78" w14:textId="77777777" w:rsidR="00E02F30" w:rsidRPr="00E02F30" w:rsidRDefault="00E02F30" w:rsidP="00E02F30">
            <w:pPr>
              <w:spacing w:after="0" w:line="240" w:lineRule="auto"/>
              <w:ind w:firstLine="709"/>
              <w:jc w:val="both"/>
              <w:rPr>
                <w:rFonts w:eastAsia="Times New Roman" w:cs="Arial"/>
                <w:sz w:val="20"/>
                <w:szCs w:val="20"/>
                <w:lang w:eastAsia="pl-PL"/>
              </w:rPr>
            </w:pPr>
          </w:p>
          <w:p w14:paraId="7C9101F6" w14:textId="77777777" w:rsidR="00E02F30" w:rsidRPr="00E02F30" w:rsidRDefault="00E02F30" w:rsidP="00E02F30">
            <w:pPr>
              <w:spacing w:after="0" w:line="240" w:lineRule="auto"/>
              <w:jc w:val="both"/>
              <w:rPr>
                <w:rFonts w:eastAsia="Times New Roman" w:cs="Arial"/>
                <w:sz w:val="20"/>
                <w:szCs w:val="20"/>
                <w:lang w:eastAsia="pl-PL"/>
              </w:rPr>
            </w:pPr>
            <w:proofErr w:type="spellStart"/>
            <w:r w:rsidRPr="00E02F30">
              <w:rPr>
                <w:rFonts w:eastAsia="Times New Roman" w:cs="Arial"/>
                <w:sz w:val="20"/>
                <w:szCs w:val="20"/>
                <w:lang w:eastAsia="pl-PL"/>
              </w:rPr>
              <w:t>Odgazy</w:t>
            </w:r>
            <w:proofErr w:type="spellEnd"/>
            <w:r w:rsidRPr="00E02F30">
              <w:rPr>
                <w:rFonts w:eastAsia="Times New Roman" w:cs="Arial"/>
                <w:sz w:val="20"/>
                <w:szCs w:val="20"/>
                <w:lang w:eastAsia="pl-PL"/>
              </w:rPr>
              <w:t xml:space="preserve"> znad reaktorów, mieszalników, homogenizatorów, wyparek oraz zbiorników są kierowane do różnych środków technicznych i urządzeń oczyszczających tj. filtry, cyklony, dopalacz termiczny, adsorbery i absorbery. Prowadzony jest systematyczny nadzór instalacji pozwalający na szybkie rozpoznanie i reagowanie w przypadku wycieków. Prowadzone są również regularne przeglądy i konserwacje instalacji zgodnie z ustalonymi harmonogramami.</w:t>
            </w:r>
          </w:p>
        </w:tc>
      </w:tr>
      <w:tr w:rsidR="00E02F30" w:rsidRPr="00E02F30" w14:paraId="1F1B1824" w14:textId="77777777" w:rsidTr="00A1631B">
        <w:tc>
          <w:tcPr>
            <w:tcW w:w="4361" w:type="dxa"/>
          </w:tcPr>
          <w:p w14:paraId="7AED241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Ogólne zasady zapobiegania i redukcji emisji. Przy projektowaniu zbiorników należy wziąć pod uwagę:</w:t>
            </w:r>
          </w:p>
          <w:p w14:paraId="768E19D5"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fizyczno-chemiczne właściwości substancji przechowywanych,</w:t>
            </w:r>
          </w:p>
          <w:p w14:paraId="44820946"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w jaki sposób zbiornik będzie eksploatowany, jaki będzie wymagany poziom oprzyrządowania, ilu będzie wymaganych operatorów, oraz jakie będzie ich obciążenie,</w:t>
            </w:r>
          </w:p>
          <w:p w14:paraId="4BAA96E0"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w jaki sposób operatorzy będą informowani o odchyleniach od normalnych warunków procesowych (alarmy),</w:t>
            </w:r>
          </w:p>
          <w:p w14:paraId="6A6ADE0C"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w jaki sposób zbiornik będzie chroniony przed odchyleniami od normalnych warunków procesowych (instrukcje bezpieczeństwa, systemy blokujące, urządzenia nadciśnieniowe, wykrywanie i ograniczanie przecieków itp.),</w:t>
            </w:r>
          </w:p>
          <w:p w14:paraId="20D567ED"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jaki sprzęt musi być zainstalowany (materiały budowlane, jakość zaworów, itp.)</w:t>
            </w:r>
          </w:p>
          <w:p w14:paraId="3600A259"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jaki plan konserwacji i kontroli zostanie wdrożony i jak ułatwić procedury konserwacji i inspekcji (dostęp, układ itp.),</w:t>
            </w:r>
          </w:p>
          <w:p w14:paraId="51611376"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jak radzić sobie w sytuacjach awaryjnych (odległości do innych zbiorników, pomieszczeń i do granicy, ochrona przeciwpożarowa, dostęp dla służb ratowniczych takich jak straż pożarna, itp.).</w:t>
            </w:r>
          </w:p>
        </w:tc>
        <w:tc>
          <w:tcPr>
            <w:tcW w:w="6271" w:type="dxa"/>
          </w:tcPr>
          <w:p w14:paraId="14347B9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Przy planowaniu instalacji IPPC przewidziano odpowiednie materiały konstrukcyjne i budowlane zbiorników magazynowych dostosowane do właściwości substancji oraz oprzyrządowanie uwzględniające sposób eksploatacji tych zbiorników. </w:t>
            </w:r>
          </w:p>
          <w:p w14:paraId="3C774FD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Zbiorniki są wykonane z odpowiednich materiałów (trwałych i odpornych). Zapobieganie korozji i erozji następuje poprzez zabezpieczenia antykorozyjne (malowanie). Zbiorniki wyposażone są w urządzenia do pomiaru poziomu napełniania i zapobiegające ich przepełnieniu. Zlokalizowane są w misach bezodpływowych do wyłapywania ewentualnych przecieków magazynowanych substancji. </w:t>
            </w:r>
          </w:p>
          <w:p w14:paraId="483FA79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Ponadto zakład posiada wymaganą dokumentację związaną z ich zakwalifikowaniem do grupy zakładów dużego ryzyka wystąpienia poważnej awarii przemysłowej, w tym: zgłoszenie, program zapobiegania awariom, raport o bezpieczeństwie oraz wewnętrzny i zewnętrzny plan operacyjno-ratowniczy.</w:t>
            </w:r>
          </w:p>
          <w:p w14:paraId="4D0DA260"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26F29907" w14:textId="77777777" w:rsidTr="00A1631B">
        <w:tc>
          <w:tcPr>
            <w:tcW w:w="4361" w:type="dxa"/>
          </w:tcPr>
          <w:p w14:paraId="6D79D9B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Zmniejszenie emisji z magazynowania, transportu i przeładunku cystern, które mają znaczący negatywny wpływ na środowisko.</w:t>
            </w:r>
          </w:p>
        </w:tc>
        <w:tc>
          <w:tcPr>
            <w:tcW w:w="6271" w:type="dxa"/>
          </w:tcPr>
          <w:p w14:paraId="76A1597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Opary znad zbiorników magazynowych poszczególnych instalacji IPPC kierowane są do różnych środków technicznych i urządzeń oczyszczających tj. dopalacz termiczny, adsorbery i absorbery. Szczegóły dot. poszczególnych zbiorników przedstawiono w treści dokumentacji o zmianę pozwolenia zintegrowanego.</w:t>
            </w:r>
          </w:p>
        </w:tc>
      </w:tr>
      <w:tr w:rsidR="00E02F30" w:rsidRPr="00E02F30" w14:paraId="0321A92A" w14:textId="77777777" w:rsidTr="00A1631B">
        <w:tc>
          <w:tcPr>
            <w:tcW w:w="4361" w:type="dxa"/>
          </w:tcPr>
          <w:p w14:paraId="43E5773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Regularne obliczanie emisji lotnych związków organicznych w miejscach, gdzie spodziewane są znaczne emisje LZO.</w:t>
            </w:r>
          </w:p>
        </w:tc>
        <w:tc>
          <w:tcPr>
            <w:tcW w:w="6271" w:type="dxa"/>
          </w:tcPr>
          <w:p w14:paraId="551A378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Regularne obliczanie wielkości emisji na podstawie przeprowadzanych okresowo pomiarów jej wielkości oraz monitorowanie czasu pracy emitorów.</w:t>
            </w:r>
          </w:p>
          <w:p w14:paraId="69D09CF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Zestawienia roczne/kwartalne emisji przekazywane do działu ochrony środowiska.  </w:t>
            </w:r>
          </w:p>
        </w:tc>
      </w:tr>
      <w:tr w:rsidR="00E02F30" w:rsidRPr="00E02F30" w14:paraId="6EA8C4CF" w14:textId="77777777" w:rsidTr="00A1631B">
        <w:tc>
          <w:tcPr>
            <w:tcW w:w="4361" w:type="dxa"/>
          </w:tcPr>
          <w:p w14:paraId="3D635B0B"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Zastosowanie dedykowanych systemów w miejscach, gdzie zbiorniki są wykorzystywane do krótko- i średnioterminowego przechowywania różnych produktów.</w:t>
            </w:r>
          </w:p>
        </w:tc>
        <w:tc>
          <w:tcPr>
            <w:tcW w:w="6271" w:type="dxa"/>
          </w:tcPr>
          <w:p w14:paraId="27A883F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Układy hermetyzacji aparatów i urządzeń z odprowadzeniem strumieni </w:t>
            </w:r>
            <w:proofErr w:type="spellStart"/>
            <w:r w:rsidRPr="00E02F30">
              <w:rPr>
                <w:rFonts w:eastAsia="Times New Roman" w:cs="Arial"/>
                <w:sz w:val="20"/>
                <w:szCs w:val="20"/>
                <w:lang w:eastAsia="pl-PL"/>
              </w:rPr>
              <w:t>odgazów</w:t>
            </w:r>
            <w:proofErr w:type="spellEnd"/>
            <w:r w:rsidRPr="00E02F30">
              <w:rPr>
                <w:rFonts w:eastAsia="Times New Roman" w:cs="Arial"/>
                <w:sz w:val="20"/>
                <w:szCs w:val="20"/>
                <w:lang w:eastAsia="pl-PL"/>
              </w:rPr>
              <w:t xml:space="preserve"> do układów redukujących ilość szkodliwych substancji odprowadzanych do atmosfery (układ dopalacza </w:t>
            </w:r>
            <w:proofErr w:type="spellStart"/>
            <w:r w:rsidRPr="00E02F30">
              <w:rPr>
                <w:rFonts w:eastAsia="Times New Roman" w:cs="Arial"/>
                <w:sz w:val="20"/>
                <w:szCs w:val="20"/>
                <w:lang w:eastAsia="pl-PL"/>
              </w:rPr>
              <w:t>odgazów</w:t>
            </w:r>
            <w:proofErr w:type="spellEnd"/>
            <w:r w:rsidRPr="00E02F30">
              <w:rPr>
                <w:rFonts w:eastAsia="Times New Roman" w:cs="Arial"/>
                <w:sz w:val="20"/>
                <w:szCs w:val="20"/>
                <w:lang w:eastAsia="pl-PL"/>
              </w:rPr>
              <w:t>). Zbiorniki podłączone są do instalacji hermetyzacji, która redukuje emisję do atmosfery.</w:t>
            </w:r>
          </w:p>
          <w:p w14:paraId="06DBC32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Na instalacji stosuje się zamknięte zbiorniki. Są one wyposażone w armaturę utrzymującą stałe ciśnienie azotu. Hermetyzacja aparatów i urządzeń w węzłach produkcyjnych instalacji z odprowadzeniem strumieni </w:t>
            </w:r>
            <w:proofErr w:type="spellStart"/>
            <w:r w:rsidRPr="00E02F30">
              <w:rPr>
                <w:rFonts w:eastAsia="Times New Roman" w:cs="Arial"/>
                <w:sz w:val="20"/>
                <w:szCs w:val="20"/>
                <w:lang w:eastAsia="pl-PL"/>
              </w:rPr>
              <w:t>odgazów</w:t>
            </w:r>
            <w:proofErr w:type="spellEnd"/>
            <w:r w:rsidRPr="00E02F30">
              <w:rPr>
                <w:rFonts w:eastAsia="Times New Roman" w:cs="Arial"/>
                <w:sz w:val="20"/>
                <w:szCs w:val="20"/>
                <w:lang w:eastAsia="pl-PL"/>
              </w:rPr>
              <w:t xml:space="preserve"> do układów redukujących ilość szkodliwych substancji odprowadzanych do atmosfery (układy absorpcji i adsorpcji). Na instalacji stosuje się zamknięte zbiorniki. Są one wyposażone w armaturę utrzymującą stałe ciśnienie azotu.</w:t>
            </w:r>
          </w:p>
          <w:p w14:paraId="37DB2F0D"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5F0944F5" w14:textId="77777777" w:rsidTr="00A1631B">
        <w:tc>
          <w:tcPr>
            <w:tcW w:w="4361" w:type="dxa"/>
          </w:tcPr>
          <w:p w14:paraId="5B93372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Emisje hałasu. Opracowanie i wdrożenie planu zarządzania hałasem, jako część systemu zarządzania środowiskowego, który obejmuje wszystkie następujące elementy:</w:t>
            </w:r>
          </w:p>
          <w:p w14:paraId="39B7BA0C"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protokół zawierający odpowiednie działania i harmonogram,</w:t>
            </w:r>
          </w:p>
          <w:p w14:paraId="586920E5"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protokół monitorowania hałasu,</w:t>
            </w:r>
          </w:p>
          <w:p w14:paraId="541FD66B"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protokół reagowania na stwierdzone przypadki wystąpienia hałasu,</w:t>
            </w:r>
          </w:p>
          <w:p w14:paraId="6471AFEB"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program zapobiegania hałasowi i ograniczania hałasu mający na celu identyfikację źródeł, pomiar lub szacowanie narażenia na hałas, określenie udziału poszczególnych źródeł i wdrożenie środków zapobiegawczych lub ograniczających.</w:t>
            </w:r>
          </w:p>
          <w:p w14:paraId="7876BD88"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Możliwość zastosowania jest ograniczona do przypadków, gdy można spodziewać się uciążliwego hałasu lub gdy jego występowanie zostało stwierdzone.</w:t>
            </w:r>
          </w:p>
          <w:p w14:paraId="7E52119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Stosowanie jednej z następujących technik lub ich kombinacji:</w:t>
            </w:r>
          </w:p>
          <w:p w14:paraId="2D792851"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właściwe umiejscowienie wyposażenia i budynków,</w:t>
            </w:r>
          </w:p>
          <w:p w14:paraId="1C0C8544"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środki operacyjne,</w:t>
            </w:r>
          </w:p>
          <w:p w14:paraId="27615360"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mało hałaśliwy sprzęt,</w:t>
            </w:r>
          </w:p>
          <w:p w14:paraId="5BC86343"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urządzenia do kontroli hałasu,</w:t>
            </w:r>
          </w:p>
          <w:p w14:paraId="3194F5EE"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redukcja hałasu.</w:t>
            </w:r>
          </w:p>
        </w:tc>
        <w:tc>
          <w:tcPr>
            <w:tcW w:w="6271" w:type="dxa"/>
          </w:tcPr>
          <w:p w14:paraId="3AAB7737" w14:textId="77777777" w:rsidR="00E02F30" w:rsidRPr="00E02F30" w:rsidRDefault="00E02F30" w:rsidP="00E02F30">
            <w:pPr>
              <w:spacing w:after="0" w:line="240" w:lineRule="auto"/>
              <w:jc w:val="both"/>
              <w:rPr>
                <w:rFonts w:eastAsia="Times New Roman" w:cs="Arial"/>
                <w:sz w:val="20"/>
                <w:szCs w:val="20"/>
                <w:u w:val="single"/>
                <w:lang w:eastAsia="pl-PL"/>
              </w:rPr>
            </w:pPr>
            <w:r w:rsidRPr="00E02F30">
              <w:rPr>
                <w:rFonts w:eastAsia="Times New Roman" w:cs="Arial"/>
                <w:sz w:val="20"/>
                <w:szCs w:val="20"/>
                <w:lang w:eastAsia="pl-PL"/>
              </w:rPr>
              <w:t xml:space="preserve">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w:t>
            </w:r>
            <w:proofErr w:type="spellStart"/>
            <w:r w:rsidRPr="00E02F30">
              <w:rPr>
                <w:rFonts w:eastAsia="Times New Roman" w:cs="Arial"/>
                <w:sz w:val="20"/>
                <w:szCs w:val="20"/>
                <w:lang w:eastAsia="pl-PL"/>
              </w:rPr>
              <w:t>o.o.prowadzi</w:t>
            </w:r>
            <w:proofErr w:type="spellEnd"/>
            <w:r w:rsidRPr="00E02F30">
              <w:rPr>
                <w:rFonts w:eastAsia="Times New Roman" w:cs="Arial"/>
                <w:sz w:val="20"/>
                <w:szCs w:val="20"/>
                <w:lang w:eastAsia="pl-PL"/>
              </w:rPr>
              <w:t xml:space="preserve"> okresowe pomiary hałasu, na podstawie których stwierdzono, że eksploatacja instalacji, w tym instalacji IPPC, na terenie zakładu, nie powoduje przekroczeń dopuszczalnych poziomów hałasu w środowisku określonych w rozporządzeniu Ministra Środowiska z dnia 14 czerwca 2007 r. w sprawie dopuszczalnych poziomów hałasu w środowisku oraz dopuszczalnych poziomów hałasu określonych w aktualnie obowiązującym pozwoleniu zintegrowanym.</w:t>
            </w:r>
          </w:p>
        </w:tc>
      </w:tr>
      <w:tr w:rsidR="00E02F30" w:rsidRPr="00E02F30" w14:paraId="0A1717FD" w14:textId="77777777" w:rsidTr="00A1631B">
        <w:tc>
          <w:tcPr>
            <w:tcW w:w="10632" w:type="dxa"/>
            <w:gridSpan w:val="2"/>
          </w:tcPr>
          <w:p w14:paraId="01A74BE4" w14:textId="77777777" w:rsidR="00E02F30" w:rsidRPr="00E02F30" w:rsidRDefault="00E02F30" w:rsidP="00E02F30">
            <w:pPr>
              <w:autoSpaceDE w:val="0"/>
              <w:autoSpaceDN w:val="0"/>
              <w:adjustRightInd w:val="0"/>
              <w:spacing w:after="0" w:line="240" w:lineRule="auto"/>
              <w:jc w:val="center"/>
              <w:rPr>
                <w:rFonts w:eastAsia="Calibri" w:cs="Arial"/>
                <w:b/>
                <w:sz w:val="20"/>
                <w:szCs w:val="20"/>
              </w:rPr>
            </w:pPr>
            <w:r w:rsidRPr="00E02F30">
              <w:rPr>
                <w:rFonts w:eastAsia="Calibri" w:cs="Arial"/>
                <w:b/>
                <w:sz w:val="20"/>
                <w:szCs w:val="20"/>
              </w:rPr>
              <w:t>PRZEDSIĘWZIĘCIA ZINTEGROWANE Z PROCESEM PRODUKCYJNYM</w:t>
            </w:r>
          </w:p>
        </w:tc>
      </w:tr>
      <w:tr w:rsidR="00E02F30" w:rsidRPr="00E02F30" w14:paraId="43FC0459" w14:textId="77777777" w:rsidTr="00A1631B">
        <w:tc>
          <w:tcPr>
            <w:tcW w:w="4361" w:type="dxa"/>
          </w:tcPr>
          <w:p w14:paraId="32FFF431"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Stosowanie środków zintegrowanych z procesem zamiast technik „końca rury” jeżeli jest to tylko możliwe </w:t>
            </w:r>
          </w:p>
        </w:tc>
        <w:tc>
          <w:tcPr>
            <w:tcW w:w="6271" w:type="dxa"/>
          </w:tcPr>
          <w:p w14:paraId="2047D262"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Produkcja poliestrowych żywic nienasyconych o zmniejszonym parowaniu styrenu. </w:t>
            </w:r>
          </w:p>
          <w:p w14:paraId="7E5EBBDF"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Stosowanie ciekłego bezwodnika maleinowego (wyeliminowanie pylenia). </w:t>
            </w:r>
          </w:p>
          <w:p w14:paraId="135A6066"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Stosowanie produkcji niektórych żywic epoksydowych metoda stopową (wyeliminowanie ścieków i emisji do powietrza). </w:t>
            </w:r>
          </w:p>
          <w:p w14:paraId="0D30E706"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Zastępowanie bezwodnika kwasu ftalowego przemiałem odpadowego PET (po hydrolizie). </w:t>
            </w:r>
          </w:p>
          <w:p w14:paraId="281B8CF9"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 Międzyprocesowe wyłapywanie potencjalnych zanieczyszczeń i ich zawrót do procesu:  gazowych w chłodnicach wykraplających,  pyłowych w cyklonach i  filtrach pulsacyjnych. </w:t>
            </w:r>
          </w:p>
        </w:tc>
      </w:tr>
      <w:tr w:rsidR="00E02F30" w:rsidRPr="00E02F30" w14:paraId="6AC82726" w14:textId="77777777" w:rsidTr="00A1631B">
        <w:tc>
          <w:tcPr>
            <w:tcW w:w="4361" w:type="dxa"/>
          </w:tcPr>
          <w:p w14:paraId="363FA6A5"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Ocena istniejących instalacji produkcyjnych pod kątem modernizacji przedsięwzięć zintegrowanych z procesem </w:t>
            </w:r>
            <w:r w:rsidRPr="00E02F30">
              <w:rPr>
                <w:rFonts w:eastAsia="Calibri" w:cs="Arial"/>
                <w:sz w:val="20"/>
                <w:szCs w:val="20"/>
              </w:rPr>
              <w:br/>
              <w:t xml:space="preserve">i implementacja ich, jeżeli jest to możliwe, lub przynajmniej </w:t>
            </w:r>
            <w:r w:rsidRPr="00E02F30">
              <w:rPr>
                <w:rFonts w:eastAsia="Calibri" w:cs="Arial"/>
                <w:sz w:val="20"/>
                <w:szCs w:val="20"/>
              </w:rPr>
              <w:br/>
              <w:t xml:space="preserve">w momencie, gdy instalacja przechodzi poważniejsze przeróbki. </w:t>
            </w:r>
          </w:p>
        </w:tc>
        <w:tc>
          <w:tcPr>
            <w:tcW w:w="6271" w:type="dxa"/>
          </w:tcPr>
          <w:p w14:paraId="42E8D963"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-Dotychczasowe przedsięwzięcia związane </w:t>
            </w:r>
            <w:r w:rsidRPr="00E02F30">
              <w:rPr>
                <w:rFonts w:eastAsia="Calibri" w:cs="Arial"/>
                <w:sz w:val="20"/>
                <w:szCs w:val="20"/>
              </w:rPr>
              <w:br/>
              <w:t xml:space="preserve">z instalacjami  były  realizowane i zostały wprowadzone w wyniku bieżących ocen. </w:t>
            </w:r>
          </w:p>
          <w:p w14:paraId="79E895CF"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p>
        </w:tc>
      </w:tr>
      <w:tr w:rsidR="00E02F30" w:rsidRPr="00E02F30" w14:paraId="69F0C198" w14:textId="77777777" w:rsidTr="00A1631B">
        <w:tc>
          <w:tcPr>
            <w:tcW w:w="10632" w:type="dxa"/>
            <w:gridSpan w:val="2"/>
          </w:tcPr>
          <w:p w14:paraId="1B92CDE0" w14:textId="77777777" w:rsidR="00E02F30" w:rsidRPr="00E02F30" w:rsidRDefault="00E02F30" w:rsidP="00E02F30">
            <w:pPr>
              <w:autoSpaceDE w:val="0"/>
              <w:autoSpaceDN w:val="0"/>
              <w:adjustRightInd w:val="0"/>
              <w:spacing w:after="0" w:line="240" w:lineRule="auto"/>
              <w:jc w:val="center"/>
              <w:rPr>
                <w:rFonts w:eastAsia="Calibri" w:cs="Arial"/>
                <w:sz w:val="20"/>
                <w:szCs w:val="20"/>
              </w:rPr>
            </w:pPr>
            <w:r w:rsidRPr="00E02F30">
              <w:rPr>
                <w:rFonts w:eastAsia="Calibri" w:cs="Arial"/>
                <w:b/>
                <w:sz w:val="20"/>
                <w:szCs w:val="20"/>
              </w:rPr>
              <w:t>Przechowywanie pakowanych substancji niebezpiecznych</w:t>
            </w:r>
          </w:p>
        </w:tc>
      </w:tr>
      <w:tr w:rsidR="00E02F30" w:rsidRPr="00E02F30" w14:paraId="5555CC71" w14:textId="77777777" w:rsidTr="00A1631B">
        <w:tc>
          <w:tcPr>
            <w:tcW w:w="4361" w:type="dxa"/>
          </w:tcPr>
          <w:p w14:paraId="543FDF6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systemu zarządzania bezpieczeństwem. Ocena ryzyka wypadków i incydentów.</w:t>
            </w:r>
          </w:p>
        </w:tc>
        <w:tc>
          <w:tcPr>
            <w:tcW w:w="6271" w:type="dxa"/>
          </w:tcPr>
          <w:p w14:paraId="316A3D92"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w:t>
            </w:r>
            <w:proofErr w:type="spellStart"/>
            <w:r w:rsidRPr="00E02F30">
              <w:rPr>
                <w:rFonts w:eastAsia="Times New Roman" w:cs="Arial"/>
                <w:bCs/>
                <w:sz w:val="20"/>
                <w:szCs w:val="20"/>
                <w:lang w:eastAsia="pl-PL"/>
              </w:rPr>
              <w:t>o.o.posiada</w:t>
            </w:r>
            <w:proofErr w:type="spellEnd"/>
            <w:r w:rsidRPr="00E02F30">
              <w:rPr>
                <w:rFonts w:eastAsia="Times New Roman" w:cs="Arial"/>
                <w:bCs/>
                <w:sz w:val="20"/>
                <w:szCs w:val="20"/>
                <w:lang w:eastAsia="pl-PL"/>
              </w:rPr>
              <w:t xml:space="preserve"> przyjętą i realizuje politykę dotyczącą jakości, środowiska i bezpieczeństwa obejmującą zespół działań zmierzających do minimalizacji wpływu na środowisko. </w:t>
            </w:r>
          </w:p>
          <w:p w14:paraId="53C8EAF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spółce realizowane są i wdrożone:</w:t>
            </w:r>
          </w:p>
          <w:p w14:paraId="5DEC141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System Zarządzania Jakością ISO 9001:2015, </w:t>
            </w:r>
          </w:p>
          <w:p w14:paraId="44CCE12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System Zarządzania Środowiskowego oparty na wymaganiach normy PN – EN ISO 14001:2015 </w:t>
            </w:r>
          </w:p>
          <w:p w14:paraId="02E63A4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System Zarządzania Bezpieczeństwem oparty na wymaganiach normy PN ISO 45001:2018.Ponadto zakład posiada wymaganą dokumentację związaną z ich zakwalifikowaniem do grupy zakładów dużego ryzyka wystąpienia poważnej awarii przemysłowej, w tym: zgłoszenie, program zapobiegania awariom, raport o bezpieczeństwie oraz wewnętrzny i zewnętrzny plan operacyjno-ratowniczy.</w:t>
            </w:r>
          </w:p>
        </w:tc>
      </w:tr>
      <w:tr w:rsidR="00E02F30" w:rsidRPr="00E02F30" w14:paraId="6A6C76C4" w14:textId="77777777" w:rsidTr="00A1631B">
        <w:tc>
          <w:tcPr>
            <w:tcW w:w="4361" w:type="dxa"/>
          </w:tcPr>
          <w:p w14:paraId="5790FC6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Wyznaczenie osoby lub osób odpowiedzialnych za specjalistyczne szkolenia i przekwalifikowanie w przypadku procedur awaryjnych oraz poinformowanie innych pracowników o ryzykach przechowywania opakowanych materiałów niebezpiecznych oraz środkach ostrożności dla bezpiecznego przechowywania substancji przedstawiających różne zagrożenia.</w:t>
            </w:r>
          </w:p>
        </w:tc>
        <w:tc>
          <w:tcPr>
            <w:tcW w:w="6271" w:type="dxa"/>
          </w:tcPr>
          <w:p w14:paraId="70307EE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Instalacja „Z” - Technolodzy wyznaczeni są do przeprowadzania okresowych szkoleń i przekwalifikowani w przypadku procedur awaryjnych.</w:t>
            </w:r>
          </w:p>
          <w:p w14:paraId="0F80F1D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Instalacje „E”, „L” - Co roczne szkolenie okresowe pracowników, oraz zapoznanie pracowników z kartami charakterystyki substancji niebezpiecznych.</w:t>
            </w:r>
          </w:p>
          <w:p w14:paraId="60CB304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Instalacja „N”- Pracownicy dopuszczeni są do pracy po szkoleniu według odpowiedniego programu szkolenia na dane stanowisko i po zdaniu egzaminu</w:t>
            </w:r>
          </w:p>
          <w:p w14:paraId="6E0900B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Instalacje „F”, „U”, „N”, „Z”, „E”, „L” - Zakład posiada wyznaczonych i przeszkolonych pracowników z zakresów rozporządzenia REACH, doradców RID/ADR, Specjalistę ochrony PPOŻ oraz wyznaczonych Kierowników Instalacji odpowiedzialnych za specjalistyczne szkolenia i przekwalifikowanie w przypadku procedur awaryjnych oraz poinformowanie innych pracowników o ryzykach przechowywania opakowanych materiałów niebezpiecznych oraz środkach ostrożności dla bezpiecznego przechowywania substancji przedstawiających różne zagrożenia .</w:t>
            </w:r>
          </w:p>
        </w:tc>
      </w:tr>
      <w:tr w:rsidR="00E02F30" w:rsidRPr="00E02F30" w14:paraId="5560436E" w14:textId="77777777" w:rsidTr="00A1631B">
        <w:tc>
          <w:tcPr>
            <w:tcW w:w="4361" w:type="dxa"/>
          </w:tcPr>
          <w:p w14:paraId="5E152FC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budynku magazynowego i / lub zewnętrznej przestrzeni magazynowej nakrytej dachem. Do przechowywania ilości mniejszej niż 2500 litrów lub kilogramów niebezpiecznych substancji, stosowanie komórki magazynowania.</w:t>
            </w:r>
          </w:p>
        </w:tc>
        <w:tc>
          <w:tcPr>
            <w:tcW w:w="6271" w:type="dxa"/>
          </w:tcPr>
          <w:p w14:paraId="6DD667F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Instalacja „Z” – Mniejsze ilości przechowywane są tylko w budynkach magazynowych. Instalacja „E” -Substancje niebezpieczne przechowuje się przeważnie w krytych budynkach produkcyjnych. Instalacja „L” - Nie dotyczy – surowce do produkcji przechowywane są w zbiornikach magazynowych. Instalacja „N”,” „F”, „U”,– Zastosowanie budynku magazynowego i / lub zewnętrznej przestrzeni magazynowej nakrytej dachem do przechowywania ilości mniejszej niż 2500 litrów lub kilogramów niebezpiecznych substancji.</w:t>
            </w:r>
          </w:p>
        </w:tc>
      </w:tr>
      <w:tr w:rsidR="00E02F30" w:rsidRPr="00E02F30" w14:paraId="2A610735" w14:textId="77777777" w:rsidTr="00A1631B">
        <w:tc>
          <w:tcPr>
            <w:tcW w:w="4361" w:type="dxa"/>
          </w:tcPr>
          <w:p w14:paraId="6907A9C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Oddzielenie powierzchni lub budynku składowania opakowanych materiałów niebezpiecznych od innych magazynów, od źródeł ognia i innych budynków poprzez zastosowanie odpowiedniej odległości, czasem w połączeniu ze ścianami ognioodpornymi.</w:t>
            </w:r>
          </w:p>
        </w:tc>
        <w:tc>
          <w:tcPr>
            <w:tcW w:w="6271" w:type="dxa"/>
          </w:tcPr>
          <w:p w14:paraId="660A0B51"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Materiały niebezpieczne przechowywane są w specjalnie wydzielonych do tego celu magazynach, oddzielonych ścianami ognioodpornymi. Zastosowanie budynku magazynowego i / lub zewnętrznej przestrzeni magazynowej nakrytej dachem do przechowywania ilości mniejszej niż 2500 litrów lub kilogramów niebezpiecznych substancji.</w:t>
            </w:r>
          </w:p>
        </w:tc>
      </w:tr>
      <w:tr w:rsidR="00E02F30" w:rsidRPr="00E02F30" w14:paraId="6CB90688" w14:textId="77777777" w:rsidTr="00A1631B">
        <w:tc>
          <w:tcPr>
            <w:tcW w:w="4361" w:type="dxa"/>
          </w:tcPr>
          <w:p w14:paraId="675E3B7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Separacja i / lub segregacja nieodpowiadających sobie substancji.</w:t>
            </w:r>
          </w:p>
        </w:tc>
        <w:tc>
          <w:tcPr>
            <w:tcW w:w="6271" w:type="dxa"/>
          </w:tcPr>
          <w:p w14:paraId="251D364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Na instalacjach substancje magazynowane są zgodnie z przepisami BHP i ppoż.</w:t>
            </w:r>
          </w:p>
        </w:tc>
      </w:tr>
      <w:tr w:rsidR="00E02F30" w:rsidRPr="00E02F30" w14:paraId="0D6F6150" w14:textId="77777777" w:rsidTr="00A1631B">
        <w:tc>
          <w:tcPr>
            <w:tcW w:w="4361" w:type="dxa"/>
          </w:tcPr>
          <w:p w14:paraId="113C721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Zainstalowanie szczelnego środka gromadzącego środek gaśniczy w budynkach magazynowania i pomieszczeniach magazynowania.</w:t>
            </w:r>
          </w:p>
        </w:tc>
        <w:tc>
          <w:tcPr>
            <w:tcW w:w="6271" w:type="dxa"/>
            <w:vMerge w:val="restart"/>
          </w:tcPr>
          <w:p w14:paraId="56F1985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Zakład posiada wymaganą dokumentację związaną z ich zakwalifikowaniem do grupy zakładów dużego ryzyka wystąpienia poważnej awarii przemysłowej, w tym: zgłoszenie, program zapobiegania awariom, raport o bezpieczeństwie oraz wewnętrzny i zewnętrzny plan operacyjno-ratowniczy. W ramach systemu zarządzania środowiskowego wdrożone zostały odpowiednie procedury rozpoznawania i reagowania w przypadku wycieków. Zbiorniki wyposażone są w odpowiednie systemy zabezpieczające przed przepełnieniem. </w:t>
            </w:r>
            <w:r w:rsidRPr="00E02F30">
              <w:rPr>
                <w:rFonts w:eastAsia="Times New Roman" w:cs="Arial"/>
                <w:bCs/>
                <w:sz w:val="20"/>
                <w:szCs w:val="20"/>
                <w:lang w:eastAsia="pl-PL"/>
              </w:rPr>
              <w:t xml:space="preserve">Magazyny zbiorników wyposażone są w półstałą instalację do gaszenia pożaru pianą oraz podręczny sprzęt gaśniczy (gaśnice). Do wyłapywania przecieków i wód </w:t>
            </w:r>
            <w:proofErr w:type="spellStart"/>
            <w:r w:rsidRPr="00E02F30">
              <w:rPr>
                <w:rFonts w:eastAsia="Times New Roman" w:cs="Arial"/>
                <w:bCs/>
                <w:sz w:val="20"/>
                <w:szCs w:val="20"/>
                <w:lang w:eastAsia="pl-PL"/>
              </w:rPr>
              <w:t>pogaśniczych</w:t>
            </w:r>
            <w:proofErr w:type="spellEnd"/>
            <w:r w:rsidRPr="00E02F30">
              <w:rPr>
                <w:rFonts w:eastAsia="Times New Roman" w:cs="Arial"/>
                <w:bCs/>
                <w:sz w:val="20"/>
                <w:szCs w:val="20"/>
                <w:lang w:eastAsia="pl-PL"/>
              </w:rPr>
              <w:t xml:space="preserve"> na wypadek awarii służą misy i tace. </w:t>
            </w:r>
            <w:r w:rsidRPr="00E02F30">
              <w:rPr>
                <w:rFonts w:eastAsia="Times New Roman" w:cs="Arial"/>
                <w:sz w:val="20"/>
                <w:szCs w:val="20"/>
                <w:lang w:eastAsia="pl-PL"/>
              </w:rPr>
              <w:t xml:space="preserve">W zbiornikach z cieczami palnymi utrzymywana jest atmosfera gazu </w:t>
            </w:r>
            <w:proofErr w:type="spellStart"/>
            <w:r w:rsidRPr="00E02F30">
              <w:rPr>
                <w:rFonts w:eastAsia="Times New Roman" w:cs="Arial"/>
                <w:sz w:val="20"/>
                <w:szCs w:val="20"/>
                <w:lang w:eastAsia="pl-PL"/>
              </w:rPr>
              <w:t>inertnego</w:t>
            </w:r>
            <w:proofErr w:type="spellEnd"/>
            <w:r w:rsidRPr="00E02F30">
              <w:rPr>
                <w:rFonts w:eastAsia="Times New Roman" w:cs="Arial"/>
                <w:sz w:val="20"/>
                <w:szCs w:val="20"/>
                <w:lang w:eastAsia="pl-PL"/>
              </w:rPr>
              <w:t xml:space="preserve"> (azotu).</w:t>
            </w:r>
          </w:p>
        </w:tc>
      </w:tr>
      <w:tr w:rsidR="00E02F30" w:rsidRPr="00E02F30" w14:paraId="1D2956A9" w14:textId="77777777" w:rsidTr="00A1631B">
        <w:tc>
          <w:tcPr>
            <w:tcW w:w="4361" w:type="dxa"/>
          </w:tcPr>
          <w:p w14:paraId="04F4E3A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odpowiedniego poziomu ochrony przeciwpożarowej i środków zapobiegania pożarom i środków gaśniczych.</w:t>
            </w:r>
          </w:p>
        </w:tc>
        <w:tc>
          <w:tcPr>
            <w:tcW w:w="6271" w:type="dxa"/>
            <w:vMerge/>
          </w:tcPr>
          <w:p w14:paraId="41CE29E0"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7B9EB61C" w14:textId="77777777" w:rsidTr="00A1631B">
        <w:tc>
          <w:tcPr>
            <w:tcW w:w="4361" w:type="dxa"/>
          </w:tcPr>
          <w:p w14:paraId="55EE548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Zapobieganie zapłonowi u źródła.</w:t>
            </w:r>
          </w:p>
        </w:tc>
        <w:tc>
          <w:tcPr>
            <w:tcW w:w="6271" w:type="dxa"/>
            <w:vMerge/>
          </w:tcPr>
          <w:p w14:paraId="332DB5A8"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024015F5" w14:textId="77777777" w:rsidTr="00A1631B">
        <w:tc>
          <w:tcPr>
            <w:tcW w:w="10632" w:type="dxa"/>
            <w:gridSpan w:val="2"/>
          </w:tcPr>
          <w:p w14:paraId="12BD4656" w14:textId="77777777" w:rsidR="00E02F30" w:rsidRPr="00E02F30" w:rsidRDefault="00E02F30" w:rsidP="00E02F30">
            <w:pPr>
              <w:autoSpaceDE w:val="0"/>
              <w:autoSpaceDN w:val="0"/>
              <w:adjustRightInd w:val="0"/>
              <w:spacing w:after="0" w:line="240" w:lineRule="auto"/>
              <w:jc w:val="center"/>
              <w:rPr>
                <w:rFonts w:eastAsia="Calibri" w:cs="Arial"/>
                <w:i/>
                <w:sz w:val="20"/>
                <w:szCs w:val="20"/>
              </w:rPr>
            </w:pPr>
            <w:r w:rsidRPr="00E02F30">
              <w:rPr>
                <w:rFonts w:eastAsia="Calibri" w:cs="Arial"/>
                <w:b/>
                <w:sz w:val="20"/>
                <w:szCs w:val="20"/>
              </w:rPr>
              <w:t>MONITOROWANIE</w:t>
            </w:r>
          </w:p>
        </w:tc>
      </w:tr>
      <w:tr w:rsidR="00E02F30" w:rsidRPr="00E02F30" w14:paraId="019CFB19" w14:textId="77777777" w:rsidTr="00A1631B">
        <w:tc>
          <w:tcPr>
            <w:tcW w:w="4361" w:type="dxa"/>
          </w:tcPr>
          <w:p w14:paraId="6F96FAC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Dyrektywa IED  definiuje dwa podstawowe cele prowadzenia monitoringu:</w:t>
            </w:r>
          </w:p>
          <w:p w14:paraId="0E1F3C33"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ocena zgodności z przepisami i decyzjami administracyjnymi w celu sprawdzenia, czy emisje nie przekraczają granicznych wielkości emisyjnych,</w:t>
            </w:r>
          </w:p>
          <w:p w14:paraId="5F5538D5"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raportowanie emisji przemysłowych w celu określenia udziału poszczególnych instalacji w ogólnym zanieczyszczeniu środowiska.</w:t>
            </w:r>
          </w:p>
          <w:p w14:paraId="63722815"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Dane z monitoringu mogą również służyć wielu innym potrzebom. Monitoring jest cennym źródłem informacji nie tylko dla oceny zgodności eksploatacji instalacji przemysłowych z wymaganiami pozwoleń IPPC, ale również pomaga on zrozumieć sposób oddziaływania tych instalacji na środowisko i społeczeństwo i umożliwia odpowiednie zarządzanie nimi.</w:t>
            </w:r>
          </w:p>
        </w:tc>
        <w:tc>
          <w:tcPr>
            <w:tcW w:w="6271" w:type="dxa"/>
          </w:tcPr>
          <w:p w14:paraId="2D788C4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w:t>
            </w:r>
            <w:proofErr w:type="spellStart"/>
            <w:r w:rsidRPr="00E02F30">
              <w:rPr>
                <w:rFonts w:eastAsia="Times New Roman" w:cs="Arial"/>
                <w:sz w:val="20"/>
                <w:szCs w:val="20"/>
                <w:lang w:eastAsia="pl-PL"/>
              </w:rPr>
              <w:t>o.o.w</w:t>
            </w:r>
            <w:proofErr w:type="spellEnd"/>
            <w:r w:rsidRPr="00E02F30">
              <w:rPr>
                <w:rFonts w:eastAsia="Times New Roman" w:cs="Arial"/>
                <w:sz w:val="20"/>
                <w:szCs w:val="20"/>
                <w:lang w:eastAsia="pl-PL"/>
              </w:rPr>
              <w:t xml:space="preserve"> eksploatowanych instalacjach IPPC ma miejsce wielokierunkowe wykorzystywanie wyników monitoringu: oprócz oceny zgodności z przepisami, dane pomiarowe są </w:t>
            </w:r>
            <w:proofErr w:type="spellStart"/>
            <w:r w:rsidRPr="00E02F30">
              <w:rPr>
                <w:rFonts w:eastAsia="Times New Roman" w:cs="Arial"/>
                <w:sz w:val="20"/>
                <w:szCs w:val="20"/>
                <w:lang w:eastAsia="pl-PL"/>
              </w:rPr>
              <w:t>tosowane</w:t>
            </w:r>
            <w:proofErr w:type="spellEnd"/>
            <w:r w:rsidRPr="00E02F30">
              <w:rPr>
                <w:rFonts w:eastAsia="Times New Roman" w:cs="Arial"/>
                <w:sz w:val="20"/>
                <w:szCs w:val="20"/>
                <w:lang w:eastAsia="pl-PL"/>
              </w:rPr>
              <w:t xml:space="preserve"> do obliczania opłat za korzystanie ze środowiska. Prowadzony monitoring jest również przesłanką do wprowadzania zmian technologicznych lub technicznych oraz impulsem do podejmowania działań modernizacyjno-inwestycyjnych.</w:t>
            </w:r>
          </w:p>
          <w:p w14:paraId="04A9CFFE" w14:textId="77777777" w:rsidR="00E02F30" w:rsidRPr="00E02F30" w:rsidRDefault="00E02F30" w:rsidP="00E02F30">
            <w:pPr>
              <w:spacing w:after="0" w:line="240" w:lineRule="auto"/>
              <w:ind w:firstLine="709"/>
              <w:jc w:val="both"/>
              <w:rPr>
                <w:rFonts w:eastAsia="Times New Roman" w:cs="Arial"/>
                <w:b/>
                <w:sz w:val="20"/>
                <w:szCs w:val="20"/>
                <w:u w:val="single"/>
                <w:lang w:eastAsia="pl-PL"/>
              </w:rPr>
            </w:pPr>
          </w:p>
        </w:tc>
      </w:tr>
      <w:tr w:rsidR="00E02F30" w:rsidRPr="00E02F30" w14:paraId="52EF58CE" w14:textId="77777777" w:rsidTr="00A1631B">
        <w:tc>
          <w:tcPr>
            <w:tcW w:w="4361" w:type="dxa"/>
          </w:tcPr>
          <w:p w14:paraId="7E59ADEB"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Dyrektywa IED nakłada obowiązek ustalenia w pozwoleniach wymagań związanych z prowadzeniem monitoringu. Zazwyczaj właściwe organy polegają w szerokim zakresie na „monitoringu własnym” prowadzących instalacje.</w:t>
            </w:r>
          </w:p>
        </w:tc>
        <w:tc>
          <w:tcPr>
            <w:tcW w:w="6271" w:type="dxa"/>
            <w:vAlign w:val="center"/>
          </w:tcPr>
          <w:p w14:paraId="5172074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Pomiary wielkości emisji i </w:t>
            </w:r>
            <w:proofErr w:type="spellStart"/>
            <w:r w:rsidRPr="00E02F30">
              <w:rPr>
                <w:rFonts w:eastAsia="Times New Roman" w:cs="Arial"/>
                <w:sz w:val="20"/>
                <w:szCs w:val="20"/>
                <w:lang w:eastAsia="pl-PL"/>
              </w:rPr>
              <w:t>imisji</w:t>
            </w:r>
            <w:proofErr w:type="spellEnd"/>
            <w:r w:rsidRPr="00E02F30">
              <w:rPr>
                <w:rFonts w:eastAsia="Times New Roman" w:cs="Arial"/>
                <w:sz w:val="20"/>
                <w:szCs w:val="20"/>
                <w:lang w:eastAsia="pl-PL"/>
              </w:rPr>
              <w:t xml:space="preserve"> do powietrza oraz hałasu są wykonywane w sposób okresowy poprzez ich zlecenie akredytowanym laboratorium zgodnie z warunkami określonymi w pozwoleniu zintegrowanym oraz w obowiązujących przepisach prawnych. </w:t>
            </w:r>
          </w:p>
          <w:p w14:paraId="1E8E44B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w:t>
            </w:r>
            <w:proofErr w:type="spellStart"/>
            <w:r w:rsidRPr="00E02F30">
              <w:rPr>
                <w:rFonts w:eastAsia="Times New Roman" w:cs="Arial"/>
                <w:sz w:val="20"/>
                <w:szCs w:val="20"/>
                <w:lang w:eastAsia="pl-PL"/>
              </w:rPr>
              <w:t>o.o.prowadzony</w:t>
            </w:r>
            <w:proofErr w:type="spellEnd"/>
            <w:r w:rsidRPr="00E02F30">
              <w:rPr>
                <w:rFonts w:eastAsia="Times New Roman" w:cs="Arial"/>
                <w:sz w:val="20"/>
                <w:szCs w:val="20"/>
                <w:lang w:eastAsia="pl-PL"/>
              </w:rPr>
              <w:t xml:space="preserve"> jest również monitoring procesów technologicznych, ilości pobieranej wody podziemnej, monitoring ilości wytwarzanych odpadów zgodnie z warunkami określonymi w pozwoleniu zintegrowanym oraz okresowe pomiary jakości ścieków wprowadzanych do urządzeń kanalizacyjnych </w:t>
            </w:r>
            <w:proofErr w:type="spellStart"/>
            <w:r w:rsidRPr="00E02F30">
              <w:rPr>
                <w:rFonts w:eastAsia="Times New Roman" w:cs="Arial"/>
                <w:sz w:val="20"/>
                <w:szCs w:val="20"/>
                <w:lang w:eastAsia="pl-PL"/>
              </w:rPr>
              <w:t>Qemetica</w:t>
            </w:r>
            <w:proofErr w:type="spellEnd"/>
            <w:r w:rsidRPr="00E02F30">
              <w:rPr>
                <w:rFonts w:eastAsia="Times New Roman" w:cs="Arial"/>
                <w:sz w:val="20"/>
                <w:szCs w:val="20"/>
                <w:lang w:eastAsia="pl-PL"/>
              </w:rPr>
              <w:t xml:space="preserve"> </w:t>
            </w:r>
            <w:proofErr w:type="spellStart"/>
            <w:r w:rsidRPr="00E02F30">
              <w:rPr>
                <w:rFonts w:eastAsia="Times New Roman" w:cs="Arial"/>
                <w:sz w:val="20"/>
                <w:szCs w:val="20"/>
                <w:lang w:eastAsia="pl-PL"/>
              </w:rPr>
              <w:t>Agricultural</w:t>
            </w:r>
            <w:proofErr w:type="spellEnd"/>
            <w:r w:rsidRPr="00E02F30">
              <w:rPr>
                <w:rFonts w:eastAsia="Times New Roman" w:cs="Arial"/>
                <w:sz w:val="20"/>
                <w:szCs w:val="20"/>
                <w:lang w:eastAsia="pl-PL"/>
              </w:rPr>
              <w:t xml:space="preserve"> Solutions Poland S.A. (wcześniej CIECH Sarzyna S.A.), zgodnie z warunkami pozwolenia wodnoprawnego w  tym zakresie.</w:t>
            </w:r>
          </w:p>
        </w:tc>
      </w:tr>
      <w:tr w:rsidR="00E02F30" w:rsidRPr="00E02F30" w14:paraId="45AA8606" w14:textId="77777777" w:rsidTr="00A1631B">
        <w:tc>
          <w:tcPr>
            <w:tcW w:w="4361" w:type="dxa"/>
          </w:tcPr>
          <w:p w14:paraId="432EAA6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Wybranie parametrów do monitorowania zależy od rodzaju procesu produkcyjnego, surowców i chemikaliów stosowanych w instalacji. Dobrze jest, jeżeli parametr wybrany do monitorowania będzie służył także dla potrzeb kontrolnych eksploatacji instalacji. Częstotliwość, z jaką monitorowany jest dany parametr, jest bardzo zmienna w zależności od potrzeb i zagrożenia dla środowiska i zależy ona od wybranej metody monitoringu.</w:t>
            </w:r>
          </w:p>
        </w:tc>
        <w:tc>
          <w:tcPr>
            <w:tcW w:w="6271" w:type="dxa"/>
          </w:tcPr>
          <w:p w14:paraId="704B396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Zasadę tę zastosowano przy formułowaniu proponowanego zakresu monitoringu dla instalacji IPPC, który został określony we wniosku o wydanie pozwolenia zintegrowanego.</w:t>
            </w:r>
          </w:p>
          <w:p w14:paraId="10E53EE5" w14:textId="77777777" w:rsidR="00E02F30" w:rsidRPr="00E02F30" w:rsidRDefault="00E02F30" w:rsidP="00E02F30">
            <w:pPr>
              <w:spacing w:after="0" w:line="240" w:lineRule="auto"/>
              <w:ind w:firstLine="709"/>
              <w:jc w:val="both"/>
              <w:rPr>
                <w:rFonts w:eastAsia="Times New Roman" w:cs="Arial"/>
                <w:sz w:val="20"/>
                <w:szCs w:val="20"/>
                <w:highlight w:val="cyan"/>
                <w:lang w:eastAsia="pl-PL"/>
              </w:rPr>
            </w:pPr>
          </w:p>
        </w:tc>
      </w:tr>
      <w:tr w:rsidR="00E02F30" w:rsidRPr="00E02F30" w14:paraId="714D1C5E" w14:textId="77777777" w:rsidTr="00A1631B">
        <w:tc>
          <w:tcPr>
            <w:tcW w:w="4361" w:type="dxa"/>
          </w:tcPr>
          <w:p w14:paraId="39E45BD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 przypadku istotnych emisji do wody określonych w wykazie strumieni ścieków - monitorowanie kluczowych parametrów procesu (w tym stały monitoring przepływu ścieków, </w:t>
            </w:r>
            <w:proofErr w:type="spellStart"/>
            <w:r w:rsidRPr="00E02F30">
              <w:rPr>
                <w:rFonts w:eastAsia="Times New Roman" w:cs="Arial"/>
                <w:sz w:val="20"/>
                <w:szCs w:val="20"/>
                <w:lang w:eastAsia="pl-PL"/>
              </w:rPr>
              <w:t>pH</w:t>
            </w:r>
            <w:proofErr w:type="spellEnd"/>
            <w:r w:rsidRPr="00E02F30">
              <w:rPr>
                <w:rFonts w:eastAsia="Times New Roman" w:cs="Arial"/>
                <w:sz w:val="20"/>
                <w:szCs w:val="20"/>
                <w:lang w:eastAsia="pl-PL"/>
              </w:rPr>
              <w:t xml:space="preserve"> i temperatury) w kluczowych lokalizacjach (np. dopływ ścieku - podczyszczanie, dopływ ścieku - obróbka końcowa)</w:t>
            </w:r>
          </w:p>
        </w:tc>
        <w:tc>
          <w:tcPr>
            <w:tcW w:w="6271" w:type="dxa"/>
          </w:tcPr>
          <w:p w14:paraId="08A306E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Instalacje IPPC </w:t>
            </w:r>
            <w:r w:rsidRPr="00E02F30">
              <w:rPr>
                <w:rFonts w:eastAsia="Times New Roman" w:cs="Arial"/>
                <w:bCs/>
                <w:sz w:val="20"/>
                <w:szCs w:val="20"/>
                <w:lang w:eastAsia="pl-PL"/>
              </w:rPr>
              <w:t xml:space="preserve">w 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w:t>
            </w:r>
            <w:proofErr w:type="spellStart"/>
            <w:r w:rsidRPr="00E02F30">
              <w:rPr>
                <w:rFonts w:eastAsia="Times New Roman" w:cs="Arial"/>
                <w:bCs/>
                <w:sz w:val="20"/>
                <w:szCs w:val="20"/>
                <w:lang w:eastAsia="pl-PL"/>
              </w:rPr>
              <w:t>o.o.</w:t>
            </w:r>
            <w:r w:rsidRPr="00E02F30">
              <w:rPr>
                <w:rFonts w:eastAsia="Times New Roman" w:cs="Arial"/>
                <w:sz w:val="20"/>
                <w:szCs w:val="20"/>
                <w:lang w:eastAsia="pl-PL"/>
              </w:rPr>
              <w:t>nie</w:t>
            </w:r>
            <w:proofErr w:type="spellEnd"/>
            <w:r w:rsidRPr="00E02F30">
              <w:rPr>
                <w:rFonts w:eastAsia="Times New Roman" w:cs="Arial"/>
                <w:sz w:val="20"/>
                <w:szCs w:val="20"/>
                <w:lang w:eastAsia="pl-PL"/>
              </w:rPr>
              <w:t xml:space="preserve"> dotyczą wprowadzania ścieków przemysłowych bezpośrednio do środowiska. Ścieki przemysłowe wprowadzane są do urządzeń kanalizacyjnych innego podmiotu. Wytwarzane w instalacjach ścieki przemysłowe (technologiczne) po wstępnym podczyszczeniu wprowadzane są do własnej kanalizacji przemysłowej, a następnie w mieszaninie z innymi ściekami (od innych wytwarzających i dostawców) do urządzeń kanalizacyjnych Komunalnej Biologicznej Oczyszczalni Ścieków Sp. z o. o. w Sarzynie (KBOŚ). Wody opadowe i roztopowe z terenów narażonych na zanieczyszczenie wypompowywane są do kanalizacji ścieków przemysłowych.</w:t>
            </w:r>
          </w:p>
        </w:tc>
      </w:tr>
      <w:tr w:rsidR="00E02F30" w:rsidRPr="00E02F30" w14:paraId="2D0185E7" w14:textId="77777777" w:rsidTr="00A1631B">
        <w:tc>
          <w:tcPr>
            <w:tcW w:w="4361" w:type="dxa"/>
          </w:tcPr>
          <w:p w14:paraId="3646286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Monitoring emisji do wody zgodnie z normami EN co najmniej z minimalną częstotliwością określoną w konkluzjach BAT.</w:t>
            </w:r>
          </w:p>
          <w:p w14:paraId="3C89B53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Jeżeli normy EN nie są dostępne, w ramach BAT należy stosować normy ISO, normy krajowe lub inne międzynarodowe normy zapewniające uzyskiwanie danych o równorzędnej jakości naukowej.</w:t>
            </w:r>
          </w:p>
          <w:p w14:paraId="09F8D93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Minimalna częstotliwość w odniesieniu do:</w:t>
            </w:r>
          </w:p>
          <w:p w14:paraId="2AB2DB18"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napToGrid w:val="0"/>
                <w:sz w:val="20"/>
                <w:szCs w:val="20"/>
                <w:lang w:eastAsia="pl-PL"/>
              </w:rPr>
              <w:t>ogólnego</w:t>
            </w:r>
            <w:r w:rsidRPr="00E02F30">
              <w:rPr>
                <w:rFonts w:eastAsia="Times New Roman" w:cs="Arial"/>
                <w:sz w:val="20"/>
                <w:szCs w:val="20"/>
                <w:lang w:eastAsia="pl-PL"/>
              </w:rPr>
              <w:t xml:space="preserve"> węgla organicznego,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 zawiesiny ogólnej, azotu ogólnego, azotu ogólnego nieorganicznego, fosforu ogólnego - codziennie</w:t>
            </w:r>
          </w:p>
          <w:p w14:paraId="2A8BEAB5"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proofErr w:type="spellStart"/>
            <w:r w:rsidRPr="00E02F30">
              <w:rPr>
                <w:rFonts w:eastAsia="Times New Roman" w:cs="Arial"/>
                <w:sz w:val="20"/>
                <w:szCs w:val="20"/>
                <w:lang w:eastAsia="pl-PL"/>
              </w:rPr>
              <w:t>adsorbowalnych</w:t>
            </w:r>
            <w:proofErr w:type="spellEnd"/>
            <w:r w:rsidRPr="00E02F30">
              <w:rPr>
                <w:rFonts w:eastAsia="Times New Roman" w:cs="Arial"/>
                <w:sz w:val="20"/>
                <w:szCs w:val="20"/>
                <w:lang w:eastAsia="pl-PL"/>
              </w:rPr>
              <w:t xml:space="preserve"> związków </w:t>
            </w:r>
            <w:proofErr w:type="spellStart"/>
            <w:r w:rsidRPr="00E02F30">
              <w:rPr>
                <w:rFonts w:eastAsia="Times New Roman" w:cs="Arial"/>
                <w:sz w:val="20"/>
                <w:szCs w:val="20"/>
                <w:lang w:eastAsia="pl-PL"/>
              </w:rPr>
              <w:t>chloroorganicznych</w:t>
            </w:r>
            <w:proofErr w:type="spellEnd"/>
            <w:r w:rsidRPr="00E02F30">
              <w:rPr>
                <w:rFonts w:eastAsia="Times New Roman" w:cs="Arial"/>
                <w:sz w:val="20"/>
                <w:szCs w:val="20"/>
                <w:lang w:eastAsia="pl-PL"/>
              </w:rPr>
              <w:t>, metali (Cr, Cu, Ni, Pb, Zn, inne w stosownych przypadkach) - co miesiąc,</w:t>
            </w:r>
          </w:p>
          <w:p w14:paraId="54B7E411"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toksyczności - do ustalenia na podstawie oceny ryzyka, po wstępnym scharakteryzowaniu</w:t>
            </w:r>
          </w:p>
        </w:tc>
        <w:tc>
          <w:tcPr>
            <w:tcW w:w="6271" w:type="dxa"/>
          </w:tcPr>
          <w:p w14:paraId="2DB5308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Instalacje IPPC </w:t>
            </w:r>
            <w:r w:rsidRPr="00E02F30">
              <w:rPr>
                <w:rFonts w:eastAsia="Times New Roman" w:cs="Arial"/>
                <w:bCs/>
                <w:sz w:val="20"/>
                <w:szCs w:val="20"/>
                <w:lang w:eastAsia="pl-PL"/>
              </w:rPr>
              <w:t xml:space="preserve">w 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w:t>
            </w:r>
            <w:proofErr w:type="spellStart"/>
            <w:r w:rsidRPr="00E02F30">
              <w:rPr>
                <w:rFonts w:eastAsia="Times New Roman" w:cs="Arial"/>
                <w:bCs/>
                <w:sz w:val="20"/>
                <w:szCs w:val="20"/>
                <w:lang w:eastAsia="pl-PL"/>
              </w:rPr>
              <w:t>o.o.</w:t>
            </w:r>
            <w:r w:rsidRPr="00E02F30">
              <w:rPr>
                <w:rFonts w:eastAsia="Times New Roman" w:cs="Arial"/>
                <w:sz w:val="20"/>
                <w:szCs w:val="20"/>
                <w:lang w:eastAsia="pl-PL"/>
              </w:rPr>
              <w:t>nie</w:t>
            </w:r>
            <w:proofErr w:type="spellEnd"/>
            <w:r w:rsidRPr="00E02F30">
              <w:rPr>
                <w:rFonts w:eastAsia="Times New Roman" w:cs="Arial"/>
                <w:sz w:val="20"/>
                <w:szCs w:val="20"/>
                <w:lang w:eastAsia="pl-PL"/>
              </w:rPr>
              <w:t xml:space="preserve"> dotyczą wprowadzania ścieków przemysłowych i wód opadowych bezpośrednio do środowiska.</w:t>
            </w:r>
          </w:p>
          <w:p w14:paraId="1B126D8D"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3A6B7F50" w14:textId="77777777" w:rsidTr="00A1631B">
        <w:tc>
          <w:tcPr>
            <w:tcW w:w="4361" w:type="dxa"/>
          </w:tcPr>
          <w:p w14:paraId="2E7AB3E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Monitoring emisji rozproszonych LZO do powietrza z istotnych źródeł, przy wykorzystaniu odpowiedniej kombinacji technik I - III, lub - gdy duża ilość LZO jest poddawana obróbce - wszystkie techniki I - III.</w:t>
            </w:r>
          </w:p>
          <w:p w14:paraId="3455701A" w14:textId="77777777" w:rsidR="00E02F30" w:rsidRPr="00E02F30" w:rsidRDefault="00E02F30" w:rsidP="00E02F30">
            <w:pPr>
              <w:tabs>
                <w:tab w:val="left" w:pos="386"/>
              </w:tabs>
              <w:spacing w:after="0" w:line="240" w:lineRule="auto"/>
              <w:ind w:left="386" w:hanging="386"/>
              <w:jc w:val="both"/>
              <w:rPr>
                <w:rFonts w:eastAsia="Times New Roman" w:cs="Arial"/>
                <w:sz w:val="20"/>
                <w:szCs w:val="20"/>
                <w:lang w:eastAsia="pl-PL"/>
              </w:rPr>
            </w:pPr>
            <w:r w:rsidRPr="00E02F30">
              <w:rPr>
                <w:rFonts w:eastAsia="Times New Roman" w:cs="Arial"/>
                <w:sz w:val="20"/>
                <w:szCs w:val="20"/>
                <w:lang w:eastAsia="pl-PL"/>
              </w:rPr>
              <w:t xml:space="preserve">I. </w:t>
            </w:r>
            <w:r w:rsidRPr="00E02F30">
              <w:rPr>
                <w:rFonts w:eastAsia="Times New Roman" w:cs="Arial"/>
                <w:sz w:val="20"/>
                <w:szCs w:val="20"/>
                <w:lang w:eastAsia="pl-PL"/>
              </w:rPr>
              <w:tab/>
              <w:t>Metody detekcji LZO (np. przy użyciu przyrządów przenośnych zgodnie z normą EN 15446) w połączeniu z krzywymi korelacji w odniesieniu do kluczowego wyposażenia.</w:t>
            </w:r>
          </w:p>
          <w:p w14:paraId="4CBA6997" w14:textId="77777777" w:rsidR="00E02F30" w:rsidRPr="00E02F30" w:rsidRDefault="00E02F30" w:rsidP="00E02F30">
            <w:pPr>
              <w:tabs>
                <w:tab w:val="left" w:pos="386"/>
              </w:tabs>
              <w:spacing w:after="0" w:line="240" w:lineRule="auto"/>
              <w:ind w:left="386" w:hanging="386"/>
              <w:jc w:val="both"/>
              <w:rPr>
                <w:rFonts w:eastAsia="Times New Roman" w:cs="Arial"/>
                <w:sz w:val="20"/>
                <w:szCs w:val="20"/>
                <w:lang w:eastAsia="pl-PL"/>
              </w:rPr>
            </w:pPr>
            <w:r w:rsidRPr="00E02F30">
              <w:rPr>
                <w:rFonts w:eastAsia="Times New Roman" w:cs="Arial"/>
                <w:sz w:val="20"/>
                <w:szCs w:val="20"/>
                <w:lang w:eastAsia="pl-PL"/>
              </w:rPr>
              <w:t xml:space="preserve">II. </w:t>
            </w:r>
            <w:r w:rsidRPr="00E02F30">
              <w:rPr>
                <w:rFonts w:eastAsia="Times New Roman" w:cs="Arial"/>
                <w:sz w:val="20"/>
                <w:szCs w:val="20"/>
                <w:lang w:eastAsia="pl-PL"/>
              </w:rPr>
              <w:tab/>
              <w:t>Metody optycznego obrazowania gazów.</w:t>
            </w:r>
          </w:p>
          <w:p w14:paraId="26719F06" w14:textId="77777777" w:rsidR="00E02F30" w:rsidRPr="00E02F30" w:rsidRDefault="00E02F30" w:rsidP="00E02F30">
            <w:pPr>
              <w:tabs>
                <w:tab w:val="left" w:pos="386"/>
              </w:tabs>
              <w:spacing w:after="0" w:line="240" w:lineRule="auto"/>
              <w:ind w:left="386" w:hanging="386"/>
              <w:jc w:val="both"/>
              <w:rPr>
                <w:rFonts w:eastAsia="Times New Roman" w:cs="Arial"/>
                <w:sz w:val="20"/>
                <w:szCs w:val="20"/>
                <w:lang w:eastAsia="pl-PL"/>
              </w:rPr>
            </w:pPr>
            <w:r w:rsidRPr="00E02F30">
              <w:rPr>
                <w:rFonts w:eastAsia="Times New Roman" w:cs="Arial"/>
                <w:sz w:val="20"/>
                <w:szCs w:val="20"/>
                <w:lang w:eastAsia="pl-PL"/>
              </w:rPr>
              <w:t xml:space="preserve">III. </w:t>
            </w:r>
            <w:r w:rsidRPr="00E02F30">
              <w:rPr>
                <w:rFonts w:eastAsia="Times New Roman" w:cs="Arial"/>
                <w:sz w:val="20"/>
                <w:szCs w:val="20"/>
                <w:lang w:eastAsia="pl-PL"/>
              </w:rPr>
              <w:tab/>
              <w:t>Obliczanie emisji na podstawie czynników emisji weryfikowane okresowo pomiarami (np. raz na dwa lata).</w:t>
            </w:r>
          </w:p>
          <w:p w14:paraId="6FEE627F"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 xml:space="preserve">Gdy duża ilość LZO jest poddawana obróbce, przydatną techniką uzupełniającą techniki I-III jest kontrola i oznaczenie ilościowe emisji z instalacji na zasadzie okresowych kampanii z wykorzystaniem technik optycznych opartych na absorpcji, takich jak </w:t>
            </w:r>
            <w:proofErr w:type="spellStart"/>
            <w:r w:rsidRPr="00E02F30">
              <w:rPr>
                <w:rFonts w:eastAsia="Times New Roman" w:cs="Arial"/>
                <w:sz w:val="20"/>
                <w:szCs w:val="20"/>
                <w:lang w:eastAsia="pl-PL"/>
              </w:rPr>
              <w:t>lidar</w:t>
            </w:r>
            <w:proofErr w:type="spellEnd"/>
            <w:r w:rsidRPr="00E02F30">
              <w:rPr>
                <w:rFonts w:eastAsia="Times New Roman" w:cs="Arial"/>
                <w:sz w:val="20"/>
                <w:szCs w:val="20"/>
                <w:lang w:eastAsia="pl-PL"/>
              </w:rPr>
              <w:t xml:space="preserve"> absorpcji różnicowej (DIAL), lub przenikanie promieniowania słonecznego (SOF).</w:t>
            </w:r>
          </w:p>
        </w:tc>
        <w:tc>
          <w:tcPr>
            <w:tcW w:w="6271" w:type="dxa"/>
          </w:tcPr>
          <w:p w14:paraId="2745A09E" w14:textId="77777777" w:rsidR="00E02F30" w:rsidRPr="00E02F30" w:rsidRDefault="00E02F30" w:rsidP="00E02F30">
            <w:pPr>
              <w:spacing w:after="0" w:line="240" w:lineRule="auto"/>
              <w:ind w:firstLine="709"/>
              <w:jc w:val="both"/>
              <w:rPr>
                <w:rFonts w:eastAsia="Times New Roman" w:cs="Arial"/>
                <w:color w:val="FF0000"/>
                <w:sz w:val="20"/>
                <w:szCs w:val="20"/>
                <w:lang w:eastAsia="pl-PL"/>
              </w:rPr>
            </w:pPr>
          </w:p>
          <w:p w14:paraId="352F9841"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Spółka dokonała oszacowania rocznej emisji rozproszonej z instalacji, z którego wynika, że nie przekracza progów wskazanych w BAT 22.</w:t>
            </w:r>
          </w:p>
          <w:p w14:paraId="7DF0BAB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Raport z monitoringu instalacji za dany rok zawierać będzie bilans substancji LZO i zestawienie awarii w których została uwolniona substancja LZO.</w:t>
            </w:r>
          </w:p>
          <w:p w14:paraId="17372AA3" w14:textId="77777777" w:rsidR="00E02F30" w:rsidRPr="00E02F30" w:rsidRDefault="00E02F30" w:rsidP="00E02F30">
            <w:pPr>
              <w:spacing w:after="0" w:line="240" w:lineRule="auto"/>
              <w:jc w:val="both"/>
              <w:rPr>
                <w:rFonts w:eastAsia="Times New Roman" w:cs="Arial"/>
                <w:color w:val="FF0000"/>
                <w:sz w:val="20"/>
                <w:szCs w:val="20"/>
                <w:lang w:eastAsia="pl-PL"/>
              </w:rPr>
            </w:pPr>
          </w:p>
        </w:tc>
      </w:tr>
      <w:tr w:rsidR="00E02F30" w:rsidRPr="00E02F30" w14:paraId="5D262534" w14:textId="77777777" w:rsidTr="00A1631B">
        <w:tc>
          <w:tcPr>
            <w:tcW w:w="4361" w:type="dxa"/>
          </w:tcPr>
          <w:p w14:paraId="4900009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Monitoring emisji odorów z istotnych źródeł zgodnie z normami EN.</w:t>
            </w:r>
          </w:p>
          <w:p w14:paraId="2022B91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Możliwość zastosowania jest ograniczona do przypadków, gdy można spodziewać się uciążliwego odoru lub gdy jego występowanie zostało stwierdzone.</w:t>
            </w:r>
          </w:p>
        </w:tc>
        <w:tc>
          <w:tcPr>
            <w:tcW w:w="6271" w:type="dxa"/>
          </w:tcPr>
          <w:p w14:paraId="6F231E83" w14:textId="77777777" w:rsidR="00E02F30" w:rsidRPr="00E02F30" w:rsidRDefault="00E02F30" w:rsidP="00E02F30">
            <w:pPr>
              <w:spacing w:after="0" w:line="240" w:lineRule="auto"/>
              <w:ind w:firstLine="709"/>
              <w:jc w:val="both"/>
              <w:rPr>
                <w:rFonts w:eastAsia="Times New Roman" w:cs="Arial"/>
                <w:sz w:val="20"/>
                <w:szCs w:val="20"/>
                <w:lang w:eastAsia="pl-PL"/>
              </w:rPr>
            </w:pPr>
          </w:p>
          <w:p w14:paraId="31567729" w14:textId="77777777" w:rsidR="00E02F30" w:rsidRPr="00E02F30" w:rsidRDefault="00E02F30" w:rsidP="00E02F30">
            <w:pPr>
              <w:spacing w:after="0" w:line="240" w:lineRule="auto"/>
              <w:jc w:val="both"/>
              <w:rPr>
                <w:rFonts w:eastAsia="Times New Roman" w:cs="Arial"/>
                <w:sz w:val="20"/>
                <w:szCs w:val="20"/>
                <w:u w:val="single"/>
                <w:lang w:eastAsia="pl-PL"/>
              </w:rPr>
            </w:pPr>
            <w:r w:rsidRPr="00E02F30">
              <w:rPr>
                <w:rFonts w:eastAsia="Times New Roman" w:cs="Arial"/>
                <w:sz w:val="20"/>
                <w:szCs w:val="20"/>
                <w:lang w:eastAsia="pl-PL"/>
              </w:rPr>
              <w:t xml:space="preserve">W trakcie dotychczasowej eksploatacji instalacji IPPC </w:t>
            </w:r>
            <w:r w:rsidRPr="00E02F30">
              <w:rPr>
                <w:rFonts w:eastAsia="Times New Roman" w:cs="Arial"/>
                <w:bCs/>
                <w:sz w:val="20"/>
                <w:szCs w:val="20"/>
                <w:lang w:eastAsia="pl-PL"/>
              </w:rPr>
              <w:t xml:space="preserve">w 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w:t>
            </w:r>
            <w:proofErr w:type="spellStart"/>
            <w:r w:rsidRPr="00E02F30">
              <w:rPr>
                <w:rFonts w:eastAsia="Times New Roman" w:cs="Arial"/>
                <w:bCs/>
                <w:sz w:val="20"/>
                <w:szCs w:val="20"/>
                <w:lang w:eastAsia="pl-PL"/>
              </w:rPr>
              <w:t>o.o.</w:t>
            </w:r>
            <w:r w:rsidRPr="00E02F30">
              <w:rPr>
                <w:rFonts w:eastAsia="Times New Roman" w:cs="Arial"/>
                <w:sz w:val="20"/>
                <w:szCs w:val="20"/>
                <w:lang w:eastAsia="pl-PL"/>
              </w:rPr>
              <w:t>nie</w:t>
            </w:r>
            <w:proofErr w:type="spellEnd"/>
            <w:r w:rsidRPr="00E02F30">
              <w:rPr>
                <w:rFonts w:eastAsia="Times New Roman" w:cs="Arial"/>
                <w:sz w:val="20"/>
                <w:szCs w:val="20"/>
                <w:lang w:eastAsia="pl-PL"/>
              </w:rPr>
              <w:t xml:space="preserve"> stwierdzono występowania uciążliwego odoru. Ponadto nie są prowadzone procesy oczyszczania ścieków.</w:t>
            </w:r>
          </w:p>
        </w:tc>
      </w:tr>
      <w:tr w:rsidR="00E02F30" w:rsidRPr="00E02F30" w14:paraId="695E5770" w14:textId="77777777" w:rsidTr="00A1631B">
        <w:tc>
          <w:tcPr>
            <w:tcW w:w="10632" w:type="dxa"/>
            <w:gridSpan w:val="2"/>
          </w:tcPr>
          <w:p w14:paraId="1B6E1668" w14:textId="77777777" w:rsidR="00E02F30" w:rsidRPr="00E02F30" w:rsidRDefault="00E02F30" w:rsidP="00E02F30">
            <w:pPr>
              <w:autoSpaceDE w:val="0"/>
              <w:autoSpaceDN w:val="0"/>
              <w:adjustRightInd w:val="0"/>
              <w:spacing w:after="0" w:line="240" w:lineRule="auto"/>
              <w:jc w:val="center"/>
              <w:rPr>
                <w:rFonts w:eastAsia="Calibri" w:cs="Arial"/>
                <w:b/>
                <w:color w:val="000000"/>
                <w:sz w:val="20"/>
                <w:szCs w:val="20"/>
              </w:rPr>
            </w:pPr>
            <w:r w:rsidRPr="00E02F30">
              <w:rPr>
                <w:rFonts w:eastAsia="Calibri" w:cs="Arial"/>
                <w:b/>
                <w:color w:val="000000"/>
                <w:sz w:val="20"/>
                <w:szCs w:val="20"/>
              </w:rPr>
              <w:t xml:space="preserve"> GOSPODARKA ŚCIEKOWA</w:t>
            </w:r>
          </w:p>
        </w:tc>
      </w:tr>
      <w:tr w:rsidR="00E02F30" w:rsidRPr="00E02F30" w14:paraId="2879DBB0" w14:textId="77777777" w:rsidTr="00A1631B">
        <w:tc>
          <w:tcPr>
            <w:tcW w:w="4361" w:type="dxa"/>
          </w:tcPr>
          <w:p w14:paraId="634D64B6" w14:textId="77777777" w:rsidR="00E02F30" w:rsidRPr="00E02F30" w:rsidRDefault="00E02F30" w:rsidP="00E02F30">
            <w:pPr>
              <w:autoSpaceDE w:val="0"/>
              <w:autoSpaceDN w:val="0"/>
              <w:adjustRightInd w:val="0"/>
              <w:spacing w:after="0" w:line="240" w:lineRule="auto"/>
              <w:rPr>
                <w:rFonts w:eastAsia="Calibri" w:cs="Arial"/>
                <w:color w:val="000000"/>
                <w:sz w:val="20"/>
                <w:szCs w:val="20"/>
              </w:rPr>
            </w:pPr>
            <w:r w:rsidRPr="00E02F30">
              <w:rPr>
                <w:rFonts w:eastAsia="Calibri" w:cs="Arial"/>
                <w:color w:val="000000"/>
                <w:sz w:val="20"/>
                <w:szCs w:val="20"/>
              </w:rPr>
              <w:t xml:space="preserve">Segregacja wód </w:t>
            </w:r>
            <w:proofErr w:type="spellStart"/>
            <w:r w:rsidRPr="00E02F30">
              <w:rPr>
                <w:rFonts w:eastAsia="Calibri" w:cs="Arial"/>
                <w:color w:val="000000"/>
                <w:sz w:val="20"/>
                <w:szCs w:val="20"/>
              </w:rPr>
              <w:t>poprocesowych</w:t>
            </w:r>
            <w:proofErr w:type="spellEnd"/>
            <w:r w:rsidRPr="00E02F30">
              <w:rPr>
                <w:rFonts w:eastAsia="Calibri" w:cs="Arial"/>
                <w:color w:val="000000"/>
                <w:sz w:val="20"/>
                <w:szCs w:val="20"/>
              </w:rPr>
              <w:t xml:space="preserve"> na nieskażoną wodę i inne niezanieczyszczone wody odpadowe. </w:t>
            </w:r>
          </w:p>
        </w:tc>
        <w:tc>
          <w:tcPr>
            <w:tcW w:w="6271" w:type="dxa"/>
          </w:tcPr>
          <w:p w14:paraId="2B1D9214" w14:textId="77777777" w:rsidR="00E02F30" w:rsidRPr="00E02F30" w:rsidRDefault="00E02F30" w:rsidP="00E02F30">
            <w:pPr>
              <w:autoSpaceDE w:val="0"/>
              <w:autoSpaceDN w:val="0"/>
              <w:adjustRightInd w:val="0"/>
              <w:spacing w:after="0" w:line="240" w:lineRule="auto"/>
              <w:jc w:val="both"/>
              <w:rPr>
                <w:rFonts w:eastAsia="Calibri" w:cs="Arial"/>
                <w:color w:val="000000"/>
                <w:sz w:val="20"/>
                <w:szCs w:val="20"/>
              </w:rPr>
            </w:pPr>
            <w:r w:rsidRPr="00E02F30">
              <w:rPr>
                <w:rFonts w:eastAsia="Calibri" w:cs="Arial"/>
                <w:color w:val="000000"/>
                <w:sz w:val="20"/>
                <w:szCs w:val="20"/>
              </w:rPr>
              <w:t xml:space="preserve">Istnieją odrębne systemy kanalizacyjne wód </w:t>
            </w:r>
            <w:proofErr w:type="spellStart"/>
            <w:r w:rsidRPr="00E02F30">
              <w:rPr>
                <w:rFonts w:eastAsia="Calibri" w:cs="Arial"/>
                <w:color w:val="000000"/>
                <w:sz w:val="20"/>
                <w:szCs w:val="20"/>
              </w:rPr>
              <w:t>pochłodniczych</w:t>
            </w:r>
            <w:proofErr w:type="spellEnd"/>
            <w:r w:rsidRPr="00E02F30">
              <w:rPr>
                <w:rFonts w:eastAsia="Calibri" w:cs="Arial"/>
                <w:color w:val="000000"/>
                <w:sz w:val="20"/>
                <w:szCs w:val="20"/>
              </w:rPr>
              <w:t xml:space="preserve">, ścieków </w:t>
            </w:r>
            <w:r w:rsidRPr="00E02F30">
              <w:rPr>
                <w:rFonts w:eastAsia="Calibri" w:cs="Arial"/>
                <w:sz w:val="20"/>
                <w:szCs w:val="20"/>
              </w:rPr>
              <w:t xml:space="preserve">przemysłowych i ścieków bytowych. Wody </w:t>
            </w:r>
            <w:proofErr w:type="spellStart"/>
            <w:r w:rsidRPr="00E02F30">
              <w:rPr>
                <w:rFonts w:eastAsia="Calibri" w:cs="Arial"/>
                <w:color w:val="000000"/>
                <w:sz w:val="20"/>
                <w:szCs w:val="20"/>
              </w:rPr>
              <w:t>pochłodnicze</w:t>
            </w:r>
            <w:proofErr w:type="spellEnd"/>
            <w:r w:rsidRPr="00E02F30">
              <w:rPr>
                <w:rFonts w:eastAsia="Calibri" w:cs="Arial"/>
                <w:color w:val="000000"/>
                <w:sz w:val="20"/>
                <w:szCs w:val="20"/>
              </w:rPr>
              <w:t xml:space="preserve"> są kierowane do obiegu zamkniętego, ścieki </w:t>
            </w:r>
            <w:r w:rsidRPr="00E02F30">
              <w:rPr>
                <w:rFonts w:eastAsia="Calibri" w:cs="Arial"/>
                <w:sz w:val="20"/>
                <w:szCs w:val="20"/>
              </w:rPr>
              <w:t xml:space="preserve">przemysłowe i bytowe do </w:t>
            </w:r>
            <w:r w:rsidRPr="00E02F30">
              <w:rPr>
                <w:rFonts w:eastAsia="Calibri" w:cs="Arial"/>
                <w:color w:val="000000"/>
                <w:sz w:val="20"/>
                <w:szCs w:val="20"/>
              </w:rPr>
              <w:t xml:space="preserve">oczyszczalni KBOŚ. </w:t>
            </w:r>
          </w:p>
        </w:tc>
      </w:tr>
      <w:tr w:rsidR="00E02F30" w:rsidRPr="00E02F30" w14:paraId="06B9BF0F" w14:textId="77777777" w:rsidTr="00A1631B">
        <w:tc>
          <w:tcPr>
            <w:tcW w:w="4361" w:type="dxa"/>
          </w:tcPr>
          <w:p w14:paraId="65EDC148" w14:textId="77777777" w:rsidR="00E02F30" w:rsidRPr="00E02F30" w:rsidRDefault="00E02F30" w:rsidP="00E02F30">
            <w:pPr>
              <w:autoSpaceDE w:val="0"/>
              <w:autoSpaceDN w:val="0"/>
              <w:adjustRightInd w:val="0"/>
              <w:spacing w:after="0" w:line="240" w:lineRule="auto"/>
              <w:rPr>
                <w:rFonts w:eastAsia="Calibri" w:cs="Arial"/>
                <w:color w:val="000000"/>
                <w:sz w:val="20"/>
                <w:szCs w:val="20"/>
              </w:rPr>
            </w:pPr>
            <w:r w:rsidRPr="00E02F30">
              <w:rPr>
                <w:rFonts w:eastAsia="Calibri" w:cs="Arial"/>
                <w:color w:val="000000"/>
                <w:sz w:val="20"/>
                <w:szCs w:val="20"/>
              </w:rPr>
              <w:t xml:space="preserve">Segregacja wód </w:t>
            </w:r>
            <w:proofErr w:type="spellStart"/>
            <w:r w:rsidRPr="00E02F30">
              <w:rPr>
                <w:rFonts w:eastAsia="Calibri" w:cs="Arial"/>
                <w:color w:val="000000"/>
                <w:sz w:val="20"/>
                <w:szCs w:val="20"/>
              </w:rPr>
              <w:t>poprocesowych</w:t>
            </w:r>
            <w:proofErr w:type="spellEnd"/>
            <w:r w:rsidRPr="00E02F30">
              <w:rPr>
                <w:rFonts w:eastAsia="Calibri" w:cs="Arial"/>
                <w:color w:val="000000"/>
                <w:sz w:val="20"/>
                <w:szCs w:val="20"/>
              </w:rPr>
              <w:t xml:space="preserve"> pod kątem niesionego ładunku zanieczyszczeń </w:t>
            </w:r>
          </w:p>
        </w:tc>
        <w:tc>
          <w:tcPr>
            <w:tcW w:w="6271" w:type="dxa"/>
          </w:tcPr>
          <w:p w14:paraId="6D1CD8E5" w14:textId="77777777" w:rsidR="00E02F30" w:rsidRPr="00E02F30" w:rsidRDefault="00E02F30" w:rsidP="00E02F30">
            <w:pPr>
              <w:autoSpaceDE w:val="0"/>
              <w:autoSpaceDN w:val="0"/>
              <w:adjustRightInd w:val="0"/>
              <w:spacing w:after="0" w:line="240" w:lineRule="auto"/>
              <w:jc w:val="both"/>
              <w:rPr>
                <w:rFonts w:eastAsia="Calibri" w:cs="Arial"/>
                <w:color w:val="000000"/>
                <w:sz w:val="20"/>
                <w:szCs w:val="20"/>
              </w:rPr>
            </w:pPr>
            <w:r w:rsidRPr="00E02F30">
              <w:rPr>
                <w:rFonts w:eastAsia="Calibri" w:cs="Arial"/>
                <w:color w:val="000000"/>
                <w:sz w:val="20"/>
                <w:szCs w:val="20"/>
              </w:rPr>
              <w:t xml:space="preserve">Wysoko stężone kondensaty z kondensacji żywic kierowane są do rektyfikacji - odzysku glikoli.  </w:t>
            </w:r>
          </w:p>
        </w:tc>
      </w:tr>
      <w:tr w:rsidR="00E02F30" w:rsidRPr="00E02F30" w14:paraId="0E6859F1" w14:textId="77777777" w:rsidTr="00A1631B">
        <w:tc>
          <w:tcPr>
            <w:tcW w:w="4361" w:type="dxa"/>
          </w:tcPr>
          <w:p w14:paraId="1EE34B4A" w14:textId="77777777" w:rsidR="00E02F30" w:rsidRPr="00E02F30" w:rsidRDefault="00E02F30" w:rsidP="00E02F30">
            <w:pPr>
              <w:autoSpaceDE w:val="0"/>
              <w:autoSpaceDN w:val="0"/>
              <w:adjustRightInd w:val="0"/>
              <w:spacing w:after="0" w:line="240" w:lineRule="auto"/>
              <w:rPr>
                <w:rFonts w:eastAsia="Calibri" w:cs="Arial"/>
                <w:color w:val="000000"/>
                <w:sz w:val="20"/>
                <w:szCs w:val="20"/>
              </w:rPr>
            </w:pPr>
            <w:r w:rsidRPr="00E02F30">
              <w:rPr>
                <w:rFonts w:eastAsia="Calibri" w:cs="Arial"/>
                <w:color w:val="000000"/>
                <w:sz w:val="20"/>
                <w:szCs w:val="20"/>
              </w:rPr>
              <w:t xml:space="preserve">Instalacja odrębnych drenaży obszarów zagrożonych skażeniem, wraz z odstojnikami zbierającymi odcieki </w:t>
            </w:r>
          </w:p>
        </w:tc>
        <w:tc>
          <w:tcPr>
            <w:tcW w:w="6271" w:type="dxa"/>
          </w:tcPr>
          <w:p w14:paraId="10CC0923" w14:textId="77777777" w:rsidR="00E02F30" w:rsidRPr="00E02F30" w:rsidRDefault="00E02F30" w:rsidP="00E02F30">
            <w:pPr>
              <w:autoSpaceDE w:val="0"/>
              <w:autoSpaceDN w:val="0"/>
              <w:adjustRightInd w:val="0"/>
              <w:spacing w:after="0" w:line="240" w:lineRule="auto"/>
              <w:jc w:val="both"/>
              <w:rPr>
                <w:rFonts w:eastAsia="Calibri" w:cs="Arial"/>
                <w:color w:val="000000"/>
                <w:sz w:val="20"/>
                <w:szCs w:val="20"/>
              </w:rPr>
            </w:pPr>
            <w:r w:rsidRPr="00E02F30">
              <w:rPr>
                <w:rFonts w:eastAsia="Calibri" w:cs="Arial"/>
                <w:color w:val="000000"/>
                <w:sz w:val="20"/>
                <w:szCs w:val="20"/>
              </w:rPr>
              <w:t xml:space="preserve">Teren wokół instalacji i magazynów jest utwardzony. </w:t>
            </w:r>
          </w:p>
          <w:p w14:paraId="7E87407A" w14:textId="77777777" w:rsidR="00E02F30" w:rsidRPr="00E02F30" w:rsidRDefault="00E02F30" w:rsidP="00E02F30">
            <w:pPr>
              <w:autoSpaceDE w:val="0"/>
              <w:autoSpaceDN w:val="0"/>
              <w:adjustRightInd w:val="0"/>
              <w:spacing w:after="0" w:line="240" w:lineRule="auto"/>
              <w:jc w:val="both"/>
              <w:rPr>
                <w:rFonts w:eastAsia="Calibri" w:cs="Arial"/>
                <w:color w:val="000000"/>
                <w:sz w:val="20"/>
                <w:szCs w:val="20"/>
              </w:rPr>
            </w:pPr>
            <w:r w:rsidRPr="00E02F30">
              <w:rPr>
                <w:rFonts w:eastAsia="Calibri" w:cs="Arial"/>
                <w:color w:val="000000"/>
                <w:sz w:val="20"/>
                <w:szCs w:val="20"/>
              </w:rPr>
              <w:t xml:space="preserve">Misy i tace ze zbiornikami i na stanowiskach rozładowczych wykonano jako bezodpływowe. </w:t>
            </w:r>
          </w:p>
          <w:p w14:paraId="25C19470" w14:textId="77777777" w:rsidR="00E02F30" w:rsidRPr="00E02F30" w:rsidRDefault="00E02F30" w:rsidP="00E02F30">
            <w:pPr>
              <w:autoSpaceDE w:val="0"/>
              <w:autoSpaceDN w:val="0"/>
              <w:adjustRightInd w:val="0"/>
              <w:spacing w:after="0" w:line="240" w:lineRule="auto"/>
              <w:jc w:val="both"/>
              <w:rPr>
                <w:rFonts w:eastAsia="Calibri" w:cs="Arial"/>
                <w:color w:val="000000"/>
                <w:sz w:val="20"/>
                <w:szCs w:val="20"/>
              </w:rPr>
            </w:pPr>
            <w:r w:rsidRPr="00E02F30">
              <w:rPr>
                <w:rFonts w:eastAsia="Calibri" w:cs="Arial"/>
                <w:color w:val="000000"/>
                <w:sz w:val="20"/>
                <w:szCs w:val="20"/>
              </w:rPr>
              <w:t xml:space="preserve">Wody opadowe wypompowywane są do kanalizacji ścieków przemysłowych i kierowane do oczyszczalni ścieków KBOŚ. </w:t>
            </w:r>
          </w:p>
        </w:tc>
      </w:tr>
      <w:tr w:rsidR="00E02F30" w:rsidRPr="00E02F30" w14:paraId="47A2FDEC" w14:textId="77777777" w:rsidTr="00A1631B">
        <w:tc>
          <w:tcPr>
            <w:tcW w:w="4361" w:type="dxa"/>
          </w:tcPr>
          <w:p w14:paraId="544F3071" w14:textId="77777777" w:rsidR="00E02F30" w:rsidRPr="00E02F30" w:rsidRDefault="00E02F30" w:rsidP="00E02F30">
            <w:pPr>
              <w:autoSpaceDE w:val="0"/>
              <w:autoSpaceDN w:val="0"/>
              <w:adjustRightInd w:val="0"/>
              <w:spacing w:after="0" w:line="240" w:lineRule="auto"/>
              <w:rPr>
                <w:rFonts w:eastAsia="Calibri" w:cs="Arial"/>
                <w:color w:val="000000"/>
                <w:sz w:val="20"/>
                <w:szCs w:val="20"/>
              </w:rPr>
            </w:pPr>
            <w:r w:rsidRPr="00E02F30">
              <w:rPr>
                <w:rFonts w:eastAsia="Calibri" w:cs="Arial"/>
                <w:color w:val="000000"/>
                <w:sz w:val="20"/>
                <w:szCs w:val="20"/>
              </w:rPr>
              <w:t xml:space="preserve">Użycie naziemnych systemów kanalizacji ściekowej dla wód </w:t>
            </w:r>
            <w:proofErr w:type="spellStart"/>
            <w:r w:rsidRPr="00E02F30">
              <w:rPr>
                <w:rFonts w:eastAsia="Calibri" w:cs="Arial"/>
                <w:color w:val="000000"/>
                <w:sz w:val="20"/>
                <w:szCs w:val="20"/>
              </w:rPr>
              <w:t>poprocesowych</w:t>
            </w:r>
            <w:proofErr w:type="spellEnd"/>
            <w:r w:rsidRPr="00E02F30">
              <w:rPr>
                <w:rFonts w:eastAsia="Calibri" w:cs="Arial"/>
                <w:color w:val="000000"/>
                <w:sz w:val="20"/>
                <w:szCs w:val="20"/>
              </w:rPr>
              <w:t xml:space="preserve"> wewnątrz zakładu, pomiędzy punktami wytworzenia ścieków </w:t>
            </w:r>
            <w:r w:rsidRPr="00E02F30">
              <w:rPr>
                <w:rFonts w:eastAsia="Calibri" w:cs="Arial"/>
                <w:color w:val="000000"/>
                <w:sz w:val="20"/>
                <w:szCs w:val="20"/>
              </w:rPr>
              <w:br/>
              <w:t xml:space="preserve">i urządzeniami końcowymi procesu oczyszczania. </w:t>
            </w:r>
          </w:p>
        </w:tc>
        <w:tc>
          <w:tcPr>
            <w:tcW w:w="6271" w:type="dxa"/>
          </w:tcPr>
          <w:p w14:paraId="7D023A3C" w14:textId="77777777" w:rsidR="00E02F30" w:rsidRPr="00E02F30" w:rsidRDefault="00E02F30" w:rsidP="00E02F30">
            <w:pPr>
              <w:autoSpaceDE w:val="0"/>
              <w:autoSpaceDN w:val="0"/>
              <w:adjustRightInd w:val="0"/>
              <w:spacing w:after="0" w:line="240" w:lineRule="auto"/>
              <w:jc w:val="both"/>
              <w:rPr>
                <w:rFonts w:eastAsia="Calibri" w:cs="Arial"/>
                <w:color w:val="000000"/>
                <w:sz w:val="20"/>
                <w:szCs w:val="20"/>
              </w:rPr>
            </w:pPr>
            <w:r w:rsidRPr="00E02F30">
              <w:rPr>
                <w:rFonts w:eastAsia="Calibri" w:cs="Arial"/>
                <w:color w:val="000000"/>
                <w:sz w:val="20"/>
                <w:szCs w:val="20"/>
              </w:rPr>
              <w:t xml:space="preserve">Ze względów ekonomicznych przerobienie całej kanalizacji na systemy naziemne byłoby niemożliwe. Poza tym warunki klimatyczne zmuszałyby przez długi okres w roku do ogrzewania rurociągów, co powodowałoby dodatkowe zużycie mediów energetycznych, a więc i dodatkowe zanieczyszczenia. </w:t>
            </w:r>
          </w:p>
          <w:p w14:paraId="5981122C" w14:textId="77777777" w:rsidR="00E02F30" w:rsidRPr="00E02F30" w:rsidRDefault="00E02F30" w:rsidP="00E02F30">
            <w:pPr>
              <w:autoSpaceDE w:val="0"/>
              <w:autoSpaceDN w:val="0"/>
              <w:adjustRightInd w:val="0"/>
              <w:spacing w:after="0" w:line="240" w:lineRule="auto"/>
              <w:jc w:val="both"/>
              <w:rPr>
                <w:rFonts w:eastAsia="Calibri" w:cs="Arial"/>
                <w:color w:val="000000"/>
                <w:sz w:val="20"/>
                <w:szCs w:val="20"/>
              </w:rPr>
            </w:pPr>
            <w:r w:rsidRPr="00E02F30">
              <w:rPr>
                <w:rFonts w:eastAsia="Calibri" w:cs="Arial"/>
                <w:color w:val="000000"/>
                <w:sz w:val="20"/>
                <w:szCs w:val="20"/>
              </w:rPr>
              <w:t xml:space="preserve">W systemach podziemnych przesyłane są wyłącznie ścieki oraz wody </w:t>
            </w:r>
            <w:proofErr w:type="spellStart"/>
            <w:r w:rsidRPr="00E02F30">
              <w:rPr>
                <w:rFonts w:eastAsia="Calibri" w:cs="Arial"/>
                <w:color w:val="000000"/>
                <w:sz w:val="20"/>
                <w:szCs w:val="20"/>
              </w:rPr>
              <w:t>pochłodnicze</w:t>
            </w:r>
            <w:proofErr w:type="spellEnd"/>
            <w:r w:rsidRPr="00E02F30">
              <w:rPr>
                <w:rFonts w:eastAsia="Calibri" w:cs="Arial"/>
                <w:color w:val="000000"/>
                <w:sz w:val="20"/>
                <w:szCs w:val="20"/>
              </w:rPr>
              <w:t>.</w:t>
            </w:r>
          </w:p>
        </w:tc>
      </w:tr>
      <w:tr w:rsidR="00E02F30" w:rsidRPr="00E02F30" w14:paraId="605AC466" w14:textId="77777777" w:rsidTr="00A1631B">
        <w:tc>
          <w:tcPr>
            <w:tcW w:w="4361" w:type="dxa"/>
          </w:tcPr>
          <w:p w14:paraId="52F41BB4" w14:textId="77777777" w:rsidR="00E02F30" w:rsidRPr="00E02F30" w:rsidRDefault="00E02F30" w:rsidP="00E02F30">
            <w:pPr>
              <w:autoSpaceDE w:val="0"/>
              <w:autoSpaceDN w:val="0"/>
              <w:adjustRightInd w:val="0"/>
              <w:spacing w:after="0" w:line="240" w:lineRule="auto"/>
              <w:rPr>
                <w:rFonts w:eastAsia="Calibri" w:cs="Arial"/>
                <w:color w:val="000000"/>
                <w:sz w:val="20"/>
                <w:szCs w:val="20"/>
              </w:rPr>
            </w:pPr>
            <w:r w:rsidRPr="00E02F30">
              <w:rPr>
                <w:rFonts w:eastAsia="Calibri" w:cs="Arial"/>
                <w:color w:val="000000"/>
                <w:sz w:val="20"/>
                <w:szCs w:val="20"/>
              </w:rPr>
              <w:t xml:space="preserve">Instalacja zbiorników retencyjnych na sytuacje awaryjne i wodę przeciwpożarową w świetle szacowania ryzyka. </w:t>
            </w:r>
          </w:p>
        </w:tc>
        <w:tc>
          <w:tcPr>
            <w:tcW w:w="6271" w:type="dxa"/>
          </w:tcPr>
          <w:p w14:paraId="79D7A17A" w14:textId="77777777" w:rsidR="00E02F30" w:rsidRPr="00E02F30" w:rsidRDefault="00E02F30" w:rsidP="00E02F30">
            <w:pPr>
              <w:autoSpaceDE w:val="0"/>
              <w:autoSpaceDN w:val="0"/>
              <w:adjustRightInd w:val="0"/>
              <w:spacing w:after="0" w:line="240" w:lineRule="auto"/>
              <w:jc w:val="both"/>
              <w:rPr>
                <w:rFonts w:eastAsia="Calibri" w:cs="Arial"/>
                <w:color w:val="000000"/>
                <w:sz w:val="20"/>
                <w:szCs w:val="20"/>
              </w:rPr>
            </w:pPr>
            <w:r w:rsidRPr="00E02F30">
              <w:rPr>
                <w:rFonts w:eastAsia="Calibri" w:cs="Arial"/>
                <w:color w:val="000000"/>
                <w:sz w:val="20"/>
                <w:szCs w:val="20"/>
              </w:rPr>
              <w:t xml:space="preserve">Operator posiada zbiornik retencyjny ścieków, misy bezodpływowe, zbiorniki awaryjne na  ciecze oraz system zbiorników przeciwpożarowych i cystern napełnionych wodą. </w:t>
            </w:r>
          </w:p>
        </w:tc>
      </w:tr>
      <w:tr w:rsidR="00E02F30" w:rsidRPr="00E02F30" w14:paraId="043500A0" w14:textId="77777777" w:rsidTr="00A1631B">
        <w:tc>
          <w:tcPr>
            <w:tcW w:w="4361" w:type="dxa"/>
          </w:tcPr>
          <w:p w14:paraId="152D594B" w14:textId="77777777" w:rsidR="00E02F30" w:rsidRPr="00E02F30" w:rsidRDefault="00E02F30" w:rsidP="00E02F30">
            <w:pPr>
              <w:autoSpaceDE w:val="0"/>
              <w:autoSpaceDN w:val="0"/>
              <w:adjustRightInd w:val="0"/>
              <w:spacing w:after="0" w:line="240" w:lineRule="auto"/>
              <w:rPr>
                <w:rFonts w:eastAsia="Calibri" w:cs="Arial"/>
                <w:color w:val="000000"/>
                <w:sz w:val="20"/>
                <w:szCs w:val="20"/>
              </w:rPr>
            </w:pPr>
            <w:r w:rsidRPr="00E02F30">
              <w:rPr>
                <w:rFonts w:eastAsia="Calibri" w:cs="Arial"/>
                <w:color w:val="000000"/>
                <w:sz w:val="20"/>
                <w:szCs w:val="20"/>
              </w:rPr>
              <w:t xml:space="preserve">Oczyszczanie ścieków, </w:t>
            </w:r>
            <w:r w:rsidRPr="00E02F30">
              <w:rPr>
                <w:rFonts w:eastAsia="Calibri" w:cs="Arial"/>
                <w:color w:val="000000"/>
                <w:sz w:val="20"/>
                <w:szCs w:val="20"/>
              </w:rPr>
              <w:br/>
              <w:t xml:space="preserve">w sektorze chemicznym, określone w BREF może być realizowane na 4 sposoby: </w:t>
            </w:r>
          </w:p>
          <w:p w14:paraId="07C75CBB" w14:textId="77777777" w:rsidR="00E02F30" w:rsidRPr="00E02F30" w:rsidRDefault="00E02F30" w:rsidP="00E02F30">
            <w:pPr>
              <w:autoSpaceDE w:val="0"/>
              <w:autoSpaceDN w:val="0"/>
              <w:adjustRightInd w:val="0"/>
              <w:spacing w:after="0" w:line="240" w:lineRule="auto"/>
              <w:rPr>
                <w:rFonts w:eastAsia="Calibri" w:cs="Arial"/>
                <w:color w:val="000000"/>
                <w:sz w:val="20"/>
                <w:szCs w:val="20"/>
              </w:rPr>
            </w:pPr>
            <w:r w:rsidRPr="00E02F30">
              <w:rPr>
                <w:rFonts w:eastAsia="Calibri" w:cs="Arial"/>
                <w:color w:val="000000"/>
                <w:sz w:val="20"/>
                <w:szCs w:val="20"/>
              </w:rPr>
              <w:t xml:space="preserve">• centralne, końcowe oczyszczanie w biologicznej oczyszczalni ścieków (OŚ) na terenie zakładu </w:t>
            </w:r>
          </w:p>
          <w:p w14:paraId="063D142E" w14:textId="77777777" w:rsidR="00E02F30" w:rsidRPr="00E02F30" w:rsidRDefault="00E02F30" w:rsidP="00E02F30">
            <w:pPr>
              <w:autoSpaceDE w:val="0"/>
              <w:autoSpaceDN w:val="0"/>
              <w:adjustRightInd w:val="0"/>
              <w:spacing w:after="0" w:line="240" w:lineRule="auto"/>
              <w:rPr>
                <w:rFonts w:eastAsia="Calibri" w:cs="Arial"/>
                <w:color w:val="000000"/>
                <w:sz w:val="20"/>
                <w:szCs w:val="20"/>
              </w:rPr>
            </w:pPr>
            <w:r w:rsidRPr="00E02F30">
              <w:rPr>
                <w:rFonts w:eastAsia="Calibri" w:cs="Arial"/>
                <w:color w:val="000000"/>
                <w:sz w:val="20"/>
                <w:szCs w:val="20"/>
              </w:rPr>
              <w:t xml:space="preserve">• centralne, końcowe oczyszczanie w miejskiej OŚ </w:t>
            </w:r>
          </w:p>
          <w:p w14:paraId="703BDC8F" w14:textId="77777777" w:rsidR="00E02F30" w:rsidRPr="00E02F30" w:rsidRDefault="00E02F30" w:rsidP="00E02F30">
            <w:pPr>
              <w:autoSpaceDE w:val="0"/>
              <w:autoSpaceDN w:val="0"/>
              <w:adjustRightInd w:val="0"/>
              <w:spacing w:after="0" w:line="240" w:lineRule="auto"/>
              <w:rPr>
                <w:rFonts w:eastAsia="Calibri" w:cs="Arial"/>
                <w:color w:val="000000"/>
                <w:sz w:val="20"/>
                <w:szCs w:val="20"/>
              </w:rPr>
            </w:pPr>
            <w:r w:rsidRPr="00E02F30">
              <w:rPr>
                <w:rFonts w:eastAsia="Calibri" w:cs="Arial"/>
                <w:color w:val="000000"/>
                <w:sz w:val="20"/>
                <w:szCs w:val="20"/>
              </w:rPr>
              <w:t xml:space="preserve">·centralne, końcowe oczyszczanie nieorganicznych ścieków </w:t>
            </w:r>
            <w:r w:rsidRPr="00E02F30">
              <w:rPr>
                <w:rFonts w:eastAsia="Calibri" w:cs="Arial"/>
                <w:color w:val="000000"/>
                <w:sz w:val="20"/>
                <w:szCs w:val="20"/>
              </w:rPr>
              <w:br/>
              <w:t xml:space="preserve">w mechaniczno-chemicznej OŚ </w:t>
            </w:r>
          </w:p>
          <w:p w14:paraId="43894E76" w14:textId="77777777" w:rsidR="00E02F30" w:rsidRPr="00E02F30" w:rsidRDefault="00E02F30" w:rsidP="00E02F30">
            <w:pPr>
              <w:autoSpaceDE w:val="0"/>
              <w:autoSpaceDN w:val="0"/>
              <w:adjustRightInd w:val="0"/>
              <w:spacing w:after="0" w:line="240" w:lineRule="auto"/>
              <w:rPr>
                <w:rFonts w:eastAsia="Calibri" w:cs="Arial"/>
                <w:color w:val="000000"/>
                <w:sz w:val="20"/>
                <w:szCs w:val="20"/>
              </w:rPr>
            </w:pPr>
            <w:r w:rsidRPr="00E02F30">
              <w:rPr>
                <w:rFonts w:eastAsia="Calibri" w:cs="Arial"/>
                <w:color w:val="000000"/>
                <w:sz w:val="20"/>
                <w:szCs w:val="20"/>
              </w:rPr>
              <w:t xml:space="preserve">• oczyszczanie zdecentralizowane </w:t>
            </w:r>
          </w:p>
        </w:tc>
        <w:tc>
          <w:tcPr>
            <w:tcW w:w="6271" w:type="dxa"/>
          </w:tcPr>
          <w:p w14:paraId="0593F018" w14:textId="77777777" w:rsidR="00E02F30" w:rsidRPr="00E02F30" w:rsidRDefault="00E02F30" w:rsidP="00E02F30">
            <w:pPr>
              <w:autoSpaceDE w:val="0"/>
              <w:autoSpaceDN w:val="0"/>
              <w:adjustRightInd w:val="0"/>
              <w:spacing w:after="0" w:line="240" w:lineRule="auto"/>
              <w:jc w:val="both"/>
              <w:rPr>
                <w:rFonts w:eastAsia="Calibri" w:cs="Arial"/>
                <w:color w:val="000000"/>
                <w:sz w:val="20"/>
                <w:szCs w:val="20"/>
              </w:rPr>
            </w:pPr>
            <w:r w:rsidRPr="00E02F30">
              <w:rPr>
                <w:rFonts w:eastAsia="Calibri" w:cs="Arial"/>
                <w:color w:val="000000"/>
                <w:sz w:val="20"/>
                <w:szCs w:val="20"/>
              </w:rPr>
              <w:t xml:space="preserve">Żaden z tych czterech sposobów nie jest lepszy od innego, tak długo jak podobna wielkość emisji jest gwarantowana dla ochrony środowiska jako całości i zapewnione jest, że nie prowadzi on do wyższego zanieczyszczenia środowiska [artykuł 2(6) Dyrektywy]. </w:t>
            </w:r>
          </w:p>
          <w:p w14:paraId="176E796D" w14:textId="77777777" w:rsidR="00E02F30" w:rsidRPr="00E02F30" w:rsidRDefault="00E02F30" w:rsidP="00E02F30">
            <w:pPr>
              <w:autoSpaceDE w:val="0"/>
              <w:autoSpaceDN w:val="0"/>
              <w:adjustRightInd w:val="0"/>
              <w:spacing w:after="0" w:line="240" w:lineRule="auto"/>
              <w:jc w:val="both"/>
              <w:rPr>
                <w:rFonts w:eastAsia="Calibri" w:cs="Arial"/>
                <w:color w:val="000000"/>
                <w:sz w:val="20"/>
                <w:szCs w:val="20"/>
              </w:rPr>
            </w:pPr>
            <w:r w:rsidRPr="00E02F30">
              <w:rPr>
                <w:rFonts w:eastAsia="Calibri" w:cs="Arial"/>
                <w:color w:val="000000"/>
                <w:sz w:val="20"/>
                <w:szCs w:val="20"/>
              </w:rPr>
              <w:t xml:space="preserve">Operator stosuje oczyszczanie zdecentralizowane </w:t>
            </w:r>
            <w:r w:rsidRPr="00E02F30">
              <w:rPr>
                <w:rFonts w:eastAsia="Calibri" w:cs="Arial"/>
                <w:color w:val="000000"/>
                <w:sz w:val="20"/>
                <w:szCs w:val="20"/>
              </w:rPr>
              <w:br/>
              <w:t xml:space="preserve">w odniesieniu do ścieków z zawartością substancji organicznych o wysokich stężeniach (odzysk o-krezolu i fenolu).Ścieki o niższych stężeniach substancji organicznych są podczyszczane na terenie prowadzącego instalację i   przekazywane do KBOŚ. </w:t>
            </w:r>
          </w:p>
        </w:tc>
      </w:tr>
      <w:tr w:rsidR="00E02F30" w:rsidRPr="00E02F30" w14:paraId="0F80B0DF" w14:textId="77777777" w:rsidTr="00A1631B">
        <w:tc>
          <w:tcPr>
            <w:tcW w:w="4361" w:type="dxa"/>
          </w:tcPr>
          <w:p w14:paraId="0065AC2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Ograniczanie ilości i/lub ładunku zanieczyszczeń w strumieniach ścieków w celu zwiększenia ponownego wykorzystania ścieków w procesie produkcji oraz w celu odzysku i ponownego użycia surowców.</w:t>
            </w:r>
          </w:p>
        </w:tc>
        <w:tc>
          <w:tcPr>
            <w:tcW w:w="6271" w:type="dxa"/>
          </w:tcPr>
          <w:p w14:paraId="578B2113" w14:textId="77777777" w:rsidR="00E02F30" w:rsidRPr="00E02F30" w:rsidRDefault="00E02F30" w:rsidP="00E02F30">
            <w:pPr>
              <w:spacing w:after="0" w:line="240" w:lineRule="auto"/>
              <w:jc w:val="both"/>
              <w:rPr>
                <w:rFonts w:eastAsia="Times New Roman" w:cs="Arial"/>
                <w:color w:val="000000"/>
                <w:sz w:val="20"/>
                <w:szCs w:val="20"/>
                <w:lang w:eastAsia="pl-PL"/>
              </w:rPr>
            </w:pPr>
            <w:r w:rsidRPr="00E02F30">
              <w:rPr>
                <w:rFonts w:eastAsia="Times New Roman" w:cs="Arial"/>
                <w:bCs/>
                <w:color w:val="000000"/>
                <w:sz w:val="20"/>
                <w:szCs w:val="20"/>
                <w:lang w:eastAsia="pl-PL"/>
              </w:rPr>
              <w:t>Wysoko stężone kondensaty z kondensacji żywic kierowane są do rektyfikacji (rozdziału) - odzysku glikoli.  O</w:t>
            </w:r>
            <w:r w:rsidRPr="00E02F30">
              <w:rPr>
                <w:rFonts w:eastAsia="Times New Roman" w:cs="Arial"/>
                <w:color w:val="000000"/>
                <w:sz w:val="20"/>
                <w:szCs w:val="20"/>
                <w:lang w:eastAsia="pl-PL"/>
              </w:rPr>
              <w:t>dzysk fenolu i wykorzystanie  ponowne w procesie produkcyjnym, kondensację ścieków fenolowych i wykorzystanie w procesie produkcyjnym żywicy po kondensacji ścieków. Odzysk/rozdział i regeneracja ksylenu) i wykorzystanie ponowne w procesie produkcyjnym. O</w:t>
            </w:r>
            <w:r w:rsidRPr="00E02F30">
              <w:rPr>
                <w:rFonts w:eastAsia="Times New Roman" w:cs="Arial"/>
                <w:bCs/>
                <w:color w:val="000000"/>
                <w:sz w:val="20"/>
                <w:szCs w:val="20"/>
                <w:lang w:eastAsia="pl-PL"/>
              </w:rPr>
              <w:t xml:space="preserve">dzysk </w:t>
            </w:r>
            <w:r w:rsidRPr="00E02F30">
              <w:rPr>
                <w:rFonts w:eastAsia="Times New Roman" w:cs="Arial"/>
                <w:color w:val="000000"/>
                <w:sz w:val="20"/>
                <w:szCs w:val="20"/>
                <w:lang w:eastAsia="pl-PL"/>
              </w:rPr>
              <w:t>glikoli  – kolumna z wypełnieniem zawraca glikole do środowiska reakcji, tym samym ogranicza ilość glikoli w ściekach</w:t>
            </w:r>
            <w:r w:rsidRPr="00E02F30">
              <w:rPr>
                <w:rFonts w:eastAsia="Times New Roman" w:cs="Arial"/>
                <w:bCs/>
                <w:color w:val="000000"/>
                <w:sz w:val="20"/>
                <w:szCs w:val="20"/>
                <w:lang w:eastAsia="pl-PL"/>
              </w:rPr>
              <w:t>.</w:t>
            </w:r>
          </w:p>
        </w:tc>
      </w:tr>
      <w:tr w:rsidR="00E02F30" w:rsidRPr="00E02F30" w14:paraId="5835797E" w14:textId="77777777" w:rsidTr="00A1631B">
        <w:tc>
          <w:tcPr>
            <w:tcW w:w="4361" w:type="dxa"/>
          </w:tcPr>
          <w:p w14:paraId="570E0A2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Oddzielanie niezanieczyszczonych strumieni ścieków od strumieni ścieków wymagających oczyszczenia. Oddzielanie niezanieczyszczonych wód opadowych nie może być stosowane w przypadku istniejących systemów zbierania ścieków.</w:t>
            </w:r>
          </w:p>
          <w:p w14:paraId="50A7EA9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Zapewnienie odpowiedniej pojemności zbiornika buforowego ścieków powstałych w warunkach innych niż normalne warunki eksploatacji na podstawie oceny ryzyka, oraz podejmowanie odpowiednich dalszych środków w celu zapobiegania niekontrolowanym emisjom do wody.</w:t>
            </w:r>
          </w:p>
        </w:tc>
        <w:tc>
          <w:tcPr>
            <w:tcW w:w="6271" w:type="dxa"/>
          </w:tcPr>
          <w:p w14:paraId="54DF385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 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w:t>
            </w:r>
            <w:proofErr w:type="spellStart"/>
            <w:r w:rsidRPr="00E02F30">
              <w:rPr>
                <w:rFonts w:eastAsia="Times New Roman" w:cs="Arial"/>
                <w:bCs/>
                <w:sz w:val="20"/>
                <w:szCs w:val="20"/>
                <w:lang w:eastAsia="pl-PL"/>
              </w:rPr>
              <w:t>o.o.istnieją</w:t>
            </w:r>
            <w:proofErr w:type="spellEnd"/>
            <w:r w:rsidRPr="00E02F30">
              <w:rPr>
                <w:rFonts w:eastAsia="Times New Roman" w:cs="Arial"/>
                <w:bCs/>
                <w:sz w:val="20"/>
                <w:szCs w:val="20"/>
                <w:lang w:eastAsia="pl-PL"/>
              </w:rPr>
              <w:t xml:space="preserve"> odrębne systemy kanalizacyjne wód </w:t>
            </w:r>
            <w:proofErr w:type="spellStart"/>
            <w:r w:rsidRPr="00E02F30">
              <w:rPr>
                <w:rFonts w:eastAsia="Times New Roman" w:cs="Arial"/>
                <w:bCs/>
                <w:sz w:val="20"/>
                <w:szCs w:val="20"/>
                <w:lang w:eastAsia="pl-PL"/>
              </w:rPr>
              <w:t>pochłodniczych</w:t>
            </w:r>
            <w:proofErr w:type="spellEnd"/>
            <w:r w:rsidRPr="00E02F30">
              <w:rPr>
                <w:rFonts w:eastAsia="Times New Roman" w:cs="Arial"/>
                <w:bCs/>
                <w:sz w:val="20"/>
                <w:szCs w:val="20"/>
                <w:lang w:eastAsia="pl-PL"/>
              </w:rPr>
              <w:t xml:space="preserve"> i ścieków przemysłowych. </w:t>
            </w:r>
          </w:p>
          <w:p w14:paraId="1282004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Wody </w:t>
            </w:r>
            <w:proofErr w:type="spellStart"/>
            <w:r w:rsidRPr="00E02F30">
              <w:rPr>
                <w:rFonts w:eastAsia="Times New Roman" w:cs="Arial"/>
                <w:sz w:val="20"/>
                <w:szCs w:val="20"/>
                <w:lang w:eastAsia="pl-PL"/>
              </w:rPr>
              <w:t>pochłodnicze</w:t>
            </w:r>
            <w:proofErr w:type="spellEnd"/>
            <w:r w:rsidRPr="00E02F30">
              <w:rPr>
                <w:rFonts w:eastAsia="Times New Roman" w:cs="Arial"/>
                <w:sz w:val="20"/>
                <w:szCs w:val="20"/>
                <w:lang w:eastAsia="pl-PL"/>
              </w:rPr>
              <w:t xml:space="preserve"> są kierowane do obiegu zamkniętego, ścieki przemysłowe i wody opadowe i roztopowe do oczyszczalni KBOŚ. </w:t>
            </w:r>
          </w:p>
          <w:p w14:paraId="2051A25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Operator posiada zbiornik retencyjny ścieków, misy bezodpływowe, zbiorniki awaryjne na  ciecze oraz system zbiorników przeciwpożarowych i cystern napełnionych wodą.</w:t>
            </w:r>
          </w:p>
          <w:p w14:paraId="76CE0227" w14:textId="77777777" w:rsidR="00E02F30" w:rsidRPr="00E02F30" w:rsidRDefault="00E02F30" w:rsidP="00E02F30">
            <w:pPr>
              <w:spacing w:after="0" w:line="240" w:lineRule="auto"/>
              <w:ind w:firstLine="709"/>
              <w:jc w:val="both"/>
              <w:rPr>
                <w:rFonts w:eastAsia="Times New Roman" w:cs="Arial"/>
                <w:color w:val="C0504D"/>
                <w:sz w:val="20"/>
                <w:szCs w:val="20"/>
                <w:u w:val="single"/>
                <w:lang w:eastAsia="pl-PL"/>
              </w:rPr>
            </w:pPr>
          </w:p>
        </w:tc>
      </w:tr>
      <w:tr w:rsidR="00E02F30" w:rsidRPr="00E02F30" w14:paraId="7CAD6FBF" w14:textId="77777777" w:rsidTr="00A1631B">
        <w:tc>
          <w:tcPr>
            <w:tcW w:w="4361" w:type="dxa"/>
          </w:tcPr>
          <w:p w14:paraId="1682C33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Stosowanie zintegrowanej strategii gospodarowania ściekami i oczyszczania ścieków, obejmującej odpowiednią kombinację technik:</w:t>
            </w:r>
          </w:p>
          <w:p w14:paraId="318728A3"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techniki zintegrowane z procesem,</w:t>
            </w:r>
          </w:p>
          <w:p w14:paraId="292EB608"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odzysk zanieczyszczeń u źródła,</w:t>
            </w:r>
          </w:p>
          <w:p w14:paraId="000A08F5"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podczyszczanie ścieków,</w:t>
            </w:r>
          </w:p>
          <w:p w14:paraId="1C064D63" w14:textId="77777777" w:rsidR="00E02F30" w:rsidRPr="00E02F30" w:rsidRDefault="00E02F30" w:rsidP="00E02F30">
            <w:pPr>
              <w:spacing w:after="0" w:line="240" w:lineRule="auto"/>
              <w:ind w:firstLine="709"/>
              <w:jc w:val="both"/>
              <w:rPr>
                <w:rFonts w:eastAsia="Times New Roman" w:cs="Arial"/>
                <w:b/>
                <w:sz w:val="20"/>
                <w:szCs w:val="20"/>
                <w:lang w:eastAsia="pl-PL"/>
              </w:rPr>
            </w:pPr>
            <w:r w:rsidRPr="00E02F30">
              <w:rPr>
                <w:rFonts w:eastAsia="Times New Roman" w:cs="Arial"/>
                <w:sz w:val="20"/>
                <w:szCs w:val="20"/>
                <w:lang w:eastAsia="pl-PL"/>
              </w:rPr>
              <w:t>oczyszczanie końcowe ścieków.</w:t>
            </w:r>
            <w:r w:rsidRPr="00E02F30">
              <w:rPr>
                <w:rFonts w:eastAsia="Times New Roman" w:cs="Arial"/>
                <w:b/>
                <w:sz w:val="20"/>
                <w:szCs w:val="20"/>
                <w:lang w:eastAsia="pl-PL"/>
              </w:rPr>
              <w:t xml:space="preserve"> </w:t>
            </w:r>
          </w:p>
          <w:p w14:paraId="38D3932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Oczyszczanie ścieków</w:t>
            </w:r>
          </w:p>
          <w:p w14:paraId="27C10B86"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Przeprowadzanie podczyszczenia ścieków zawierających zanieczyszczenia, którymi nie można się odpowiednio zająć podczas oczyszczania końcowego ścieków za pomocą odpowiednich technik.</w:t>
            </w:r>
          </w:p>
          <w:p w14:paraId="33E3CAA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Oczyszczanie ścieków</w:t>
            </w:r>
          </w:p>
          <w:p w14:paraId="44E3352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Stosowanie odpowiedniej kombinacji technik oczyszczania końcowego ścieków:</w:t>
            </w:r>
          </w:p>
          <w:p w14:paraId="5B79E424"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oczyszczanie wstępne i pierwotne (wyrównanie, neutralizacja, odseparowanie fizyczne),</w:t>
            </w:r>
          </w:p>
          <w:p w14:paraId="6E3218E9"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oczyszczanie biologiczne (oczyszczanie drugiego stopnia), np. proces osadu czynnego, bioreaktor membranowy,</w:t>
            </w:r>
          </w:p>
          <w:p w14:paraId="12F288B3"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usuwanie azotu (nitryfikacja/denitryfikacja),</w:t>
            </w:r>
          </w:p>
          <w:p w14:paraId="7D72FDC9"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usuwanie fosforu (chemiczne strącanie)</w:t>
            </w:r>
          </w:p>
          <w:p w14:paraId="3F7F0227"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ostateczne usuwanie substancji stałych (koagulacja i flokulacja, sedymentacja, filtracja, flotacja).</w:t>
            </w:r>
          </w:p>
          <w:p w14:paraId="06826F02" w14:textId="77777777" w:rsidR="00E02F30" w:rsidRPr="00E02F30" w:rsidRDefault="00E02F30" w:rsidP="00E02F30">
            <w:pPr>
              <w:spacing w:after="0" w:line="240" w:lineRule="auto"/>
              <w:ind w:firstLine="709"/>
              <w:jc w:val="both"/>
              <w:rPr>
                <w:rFonts w:eastAsia="Times New Roman" w:cs="Arial"/>
                <w:sz w:val="20"/>
                <w:szCs w:val="20"/>
                <w:lang w:eastAsia="pl-PL"/>
              </w:rPr>
            </w:pPr>
          </w:p>
        </w:tc>
        <w:tc>
          <w:tcPr>
            <w:tcW w:w="6271" w:type="dxa"/>
          </w:tcPr>
          <w:p w14:paraId="54E95539" w14:textId="77777777" w:rsidR="00E02F30" w:rsidRPr="00E02F30" w:rsidRDefault="00E02F30" w:rsidP="00E02F30">
            <w:pPr>
              <w:spacing w:after="0" w:line="240" w:lineRule="auto"/>
              <w:jc w:val="both"/>
              <w:rPr>
                <w:rFonts w:eastAsia="Times New Roman" w:cs="Arial"/>
                <w:bCs/>
                <w:color w:val="000000"/>
                <w:sz w:val="20"/>
                <w:szCs w:val="20"/>
                <w:lang w:eastAsia="pl-PL"/>
              </w:rPr>
            </w:pPr>
            <w:r w:rsidRPr="00E02F30">
              <w:rPr>
                <w:rFonts w:eastAsia="Times New Roman" w:cs="Arial"/>
                <w:bCs/>
                <w:color w:val="000000"/>
                <w:sz w:val="20"/>
                <w:szCs w:val="20"/>
                <w:lang w:eastAsia="pl-PL"/>
              </w:rPr>
              <w:t xml:space="preserve">Operator stosuje oczyszczanie zdecentralizowane w odniesieniu do ścieków z zawartością substancji organicznych o wysokich stężeniach (odzysk o-krezolu). Wysoko stężone kondensaty z kondensacji żywic kierowane są do rektyfikacji (rozdziału) - odzysku glikoli.  </w:t>
            </w:r>
          </w:p>
          <w:p w14:paraId="16776013" w14:textId="77777777" w:rsidR="00E02F30" w:rsidRPr="00E02F30" w:rsidRDefault="00E02F30" w:rsidP="00E02F30">
            <w:pPr>
              <w:spacing w:after="0" w:line="240" w:lineRule="auto"/>
              <w:jc w:val="both"/>
              <w:rPr>
                <w:rFonts w:eastAsia="Times New Roman" w:cs="Arial"/>
                <w:color w:val="C0504D"/>
                <w:sz w:val="20"/>
                <w:szCs w:val="20"/>
                <w:u w:val="single"/>
                <w:lang w:eastAsia="pl-PL"/>
              </w:rPr>
            </w:pPr>
            <w:r w:rsidRPr="00E02F30">
              <w:rPr>
                <w:rFonts w:eastAsia="Times New Roman" w:cs="Arial"/>
                <w:color w:val="000000"/>
                <w:sz w:val="20"/>
                <w:szCs w:val="20"/>
                <w:lang w:eastAsia="pl-PL"/>
              </w:rPr>
              <w:t xml:space="preserve">Ścieki o niższych stężeniach substancji organicznych są podczyszczane na terenie zakładu i przekazywane </w:t>
            </w:r>
            <w:r w:rsidRPr="00E02F30">
              <w:rPr>
                <w:rFonts w:eastAsia="Times New Roman" w:cs="Arial"/>
                <w:sz w:val="20"/>
                <w:szCs w:val="20"/>
                <w:lang w:eastAsia="pl-PL"/>
              </w:rPr>
              <w:t>do urządzeń kanalizacyjnych KBOŚ.</w:t>
            </w:r>
          </w:p>
        </w:tc>
      </w:tr>
      <w:tr w:rsidR="00E02F30" w:rsidRPr="00E02F30" w14:paraId="4AA05CB2" w14:textId="77777777" w:rsidTr="00A1631B">
        <w:tc>
          <w:tcPr>
            <w:tcW w:w="4361" w:type="dxa"/>
          </w:tcPr>
          <w:p w14:paraId="24A4F11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Ułatwienie zmniejszenia emisji do wody i powietrza oraz zmniejszenia zużycia wody</w:t>
            </w:r>
          </w:p>
          <w:p w14:paraId="66C1DF3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Ustanowienie i prowadzenie wykazu strumieni ścieków i gazów odpadowych, jako część systemu zarządzania środowiskowego zawierającego w sobie wszystkie następujące cechy:</w:t>
            </w:r>
          </w:p>
          <w:p w14:paraId="369C1A7E"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napToGrid w:val="0"/>
                <w:sz w:val="20"/>
                <w:szCs w:val="20"/>
                <w:lang w:eastAsia="pl-PL"/>
              </w:rPr>
              <w:t xml:space="preserve">informacje </w:t>
            </w:r>
            <w:r w:rsidRPr="00E02F30">
              <w:rPr>
                <w:rFonts w:eastAsia="Times New Roman" w:cs="Arial"/>
                <w:sz w:val="20"/>
                <w:szCs w:val="20"/>
                <w:lang w:eastAsia="pl-PL"/>
              </w:rPr>
              <w:t>na temat chemicznych procesów produkcyjnych,</w:t>
            </w:r>
          </w:p>
          <w:p w14:paraId="1DB11663"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informacje na tyle wyczerpujące, na ile jest to racjonalnie możliwe, o cechach strumieni ścieków,</w:t>
            </w:r>
          </w:p>
          <w:p w14:paraId="2DB499CD" w14:textId="77777777" w:rsidR="00E02F30" w:rsidRPr="00E02F30" w:rsidRDefault="00E02F30">
            <w:pPr>
              <w:keepNext/>
              <w:numPr>
                <w:ilvl w:val="0"/>
                <w:numId w:val="80"/>
              </w:numPr>
              <w:spacing w:before="60" w:after="60" w:line="240" w:lineRule="auto"/>
              <w:ind w:left="386" w:hanging="284"/>
              <w:jc w:val="both"/>
              <w:rPr>
                <w:rFonts w:eastAsia="Times New Roman" w:cs="Arial"/>
                <w:color w:val="C0504D"/>
                <w:sz w:val="20"/>
                <w:szCs w:val="20"/>
                <w:lang w:eastAsia="pl-PL"/>
              </w:rPr>
            </w:pPr>
            <w:r w:rsidRPr="00E02F30">
              <w:rPr>
                <w:rFonts w:eastAsia="Times New Roman" w:cs="Arial"/>
                <w:snapToGrid w:val="0"/>
                <w:sz w:val="20"/>
                <w:szCs w:val="20"/>
                <w:lang w:eastAsia="pl-PL"/>
              </w:rPr>
              <w:t>informacje na tyle wyczerpujące, na ile jest to racjonalnie możliwe, o cechach strumieni gazów odlotowych.</w:t>
            </w:r>
          </w:p>
        </w:tc>
        <w:tc>
          <w:tcPr>
            <w:tcW w:w="6271" w:type="dxa"/>
          </w:tcPr>
          <w:p w14:paraId="047D0C0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 ramach systemu zarządzania środowiskowego zostały zidentyfikowane aspekty środowiskowe oraz opracowane i wdrożone stosowne procedury. </w:t>
            </w:r>
          </w:p>
          <w:p w14:paraId="4C43A8C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Istnieją szczegółowe opracowania poszczególnych instalacji IPPC (mapy, plany, rzuty kondygnacji, schematy technologiczne, dokumentacja techniczna), część z nich stanowi załączniki do wniosku o wydanie pozwolenia zintegrowanego. Strumienie emisji są zidentyfikowane, oznaczone i monitorowane.</w:t>
            </w:r>
          </w:p>
          <w:p w14:paraId="5AAFEA7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Identyfikacja i ocena emisji czyli aspektów środowiskowych jest podstawą wyznaczania celów i zadań realizowanych w ramach Programów rocznych. W wyniku tego notowana jest ciągła poprawa w zakresie emisji do środowiska przez wszystkie instalacje IPPC.</w:t>
            </w:r>
          </w:p>
          <w:p w14:paraId="29C3765B"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770BA6D5" w14:textId="77777777" w:rsidTr="00A1631B">
        <w:tc>
          <w:tcPr>
            <w:tcW w:w="10632" w:type="dxa"/>
            <w:gridSpan w:val="2"/>
          </w:tcPr>
          <w:p w14:paraId="0510F820" w14:textId="77777777" w:rsidR="00E02F30" w:rsidRPr="00E02F30" w:rsidRDefault="00E02F30" w:rsidP="00E02F30">
            <w:pPr>
              <w:spacing w:after="0" w:line="240" w:lineRule="auto"/>
              <w:ind w:firstLine="709"/>
              <w:jc w:val="center"/>
              <w:rPr>
                <w:rFonts w:eastAsia="Times New Roman" w:cs="Arial"/>
                <w:b/>
                <w:sz w:val="20"/>
                <w:szCs w:val="20"/>
                <w:lang w:eastAsia="pl-PL"/>
              </w:rPr>
            </w:pPr>
            <w:r w:rsidRPr="00E02F30">
              <w:rPr>
                <w:rFonts w:eastAsia="Times New Roman" w:cs="Arial"/>
                <w:b/>
                <w:sz w:val="20"/>
                <w:szCs w:val="20"/>
                <w:lang w:eastAsia="pl-PL"/>
              </w:rPr>
              <w:t>GOSPODARKA ODPADAMI</w:t>
            </w:r>
          </w:p>
        </w:tc>
      </w:tr>
      <w:tr w:rsidR="00E02F30" w:rsidRPr="00E02F30" w14:paraId="3E113D52" w14:textId="77777777" w:rsidTr="00A1631B">
        <w:tc>
          <w:tcPr>
            <w:tcW w:w="4361" w:type="dxa"/>
          </w:tcPr>
          <w:p w14:paraId="150C36F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Przyjęcie i wdrożenie planu gospodarowania odpadami jako część systemu zarządzania środowiskowego, w którym, w kolejności, zapewnia się zapobieganie powstawaniu odpadów, przygotowanie ich do ponownego wykorzystania, recykling lub innego rodzaju odzysk.</w:t>
            </w:r>
          </w:p>
        </w:tc>
        <w:tc>
          <w:tcPr>
            <w:tcW w:w="6271" w:type="dxa"/>
          </w:tcPr>
          <w:p w14:paraId="10A53F5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ramach systemu zarządzania środowiskowego zostały zidentyfikowane aspekty środowiskowe oraz opracowane i wdrożone stosowne procedury, w tym w zakresie gospodarowania odpadami. Wyznaczone są odpowiednio zabezpieczone miejsca magazynowania odpadów.</w:t>
            </w:r>
          </w:p>
          <w:p w14:paraId="2E7B49B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Prowadzona w zakładzie gospodarka odpadami opiera się na obowiązujących zasadach hierarchii sposobów postępowania z odpadami.</w:t>
            </w:r>
          </w:p>
          <w:p w14:paraId="4AC6CC6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Ponadto zapobieganie i ograniczanie powstawania odpadów polega na:</w:t>
            </w:r>
          </w:p>
          <w:p w14:paraId="479CD26D" w14:textId="77777777" w:rsidR="00E02F30" w:rsidRPr="00E02F30" w:rsidRDefault="00E02F30">
            <w:pPr>
              <w:keepNext/>
              <w:numPr>
                <w:ilvl w:val="0"/>
                <w:numId w:val="80"/>
              </w:numPr>
              <w:spacing w:after="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przestrzeganiu zasad prawidłowej eksploatacji i konserwacji urządzeń,</w:t>
            </w:r>
          </w:p>
          <w:p w14:paraId="66418A38" w14:textId="77777777" w:rsidR="00E02F30" w:rsidRPr="00E02F30" w:rsidRDefault="00E02F30">
            <w:pPr>
              <w:keepNext/>
              <w:numPr>
                <w:ilvl w:val="0"/>
                <w:numId w:val="80"/>
              </w:numPr>
              <w:spacing w:after="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przeprowadzaniu systematycznych szkoleń pracowników zajmujących się gospodarką odpadami,</w:t>
            </w:r>
          </w:p>
          <w:p w14:paraId="7B607263" w14:textId="77777777" w:rsidR="00E02F30" w:rsidRPr="00E02F30" w:rsidRDefault="00E02F30">
            <w:pPr>
              <w:keepNext/>
              <w:numPr>
                <w:ilvl w:val="0"/>
                <w:numId w:val="80"/>
              </w:numPr>
              <w:spacing w:after="0" w:line="240" w:lineRule="auto"/>
              <w:ind w:left="386" w:hanging="284"/>
              <w:jc w:val="both"/>
              <w:rPr>
                <w:rFonts w:eastAsia="Times New Roman" w:cs="Arial"/>
                <w:sz w:val="20"/>
                <w:szCs w:val="20"/>
                <w:u w:val="single"/>
                <w:lang w:eastAsia="pl-PL"/>
              </w:rPr>
            </w:pPr>
            <w:r w:rsidRPr="00E02F30">
              <w:rPr>
                <w:rFonts w:eastAsia="Times New Roman" w:cs="Arial"/>
                <w:sz w:val="20"/>
                <w:szCs w:val="20"/>
                <w:lang w:eastAsia="pl-PL"/>
              </w:rPr>
              <w:t>optymalizacji zużycia surowców.</w:t>
            </w:r>
          </w:p>
        </w:tc>
      </w:tr>
      <w:tr w:rsidR="00E02F30" w:rsidRPr="00E02F30" w14:paraId="2663D5AA" w14:textId="77777777" w:rsidTr="00A1631B">
        <w:tc>
          <w:tcPr>
            <w:tcW w:w="10632" w:type="dxa"/>
            <w:gridSpan w:val="2"/>
          </w:tcPr>
          <w:p w14:paraId="366A4848" w14:textId="77777777" w:rsidR="00E02F30" w:rsidRPr="00E02F30" w:rsidRDefault="00E02F30" w:rsidP="00E02F30">
            <w:pPr>
              <w:autoSpaceDE w:val="0"/>
              <w:autoSpaceDN w:val="0"/>
              <w:adjustRightInd w:val="0"/>
              <w:spacing w:after="0" w:line="240" w:lineRule="auto"/>
              <w:jc w:val="center"/>
              <w:rPr>
                <w:rFonts w:eastAsia="Calibri" w:cs="Arial"/>
                <w:b/>
                <w:sz w:val="20"/>
                <w:szCs w:val="20"/>
              </w:rPr>
            </w:pPr>
            <w:r w:rsidRPr="00E02F30">
              <w:rPr>
                <w:rFonts w:eastAsia="Calibri" w:cs="Arial"/>
                <w:b/>
                <w:sz w:val="20"/>
                <w:szCs w:val="20"/>
              </w:rPr>
              <w:t>SYSTEMY CHŁODZENIA</w:t>
            </w:r>
          </w:p>
        </w:tc>
      </w:tr>
      <w:tr w:rsidR="00E02F30" w:rsidRPr="00E02F30" w14:paraId="5D4DF97B" w14:textId="77777777" w:rsidTr="00A1631B">
        <w:tc>
          <w:tcPr>
            <w:tcW w:w="4361" w:type="dxa"/>
          </w:tcPr>
          <w:p w14:paraId="5F0896A0"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Wykorzystanie wody jako medium chłodzące: system wykorzystujący otwarte chłodnie wentylatorowe z recyrkulacją wody, przy zastosowaniu chłodzenia bezpośredniego. </w:t>
            </w:r>
          </w:p>
          <w:p w14:paraId="678756FB"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W takim systemie woda chłodząca przepływa w rurach, a medium produkcyjne w płaszczu wymiennika. Woda ogrzana wraca do chłodni, gdzie oddaje ciepło. </w:t>
            </w:r>
          </w:p>
        </w:tc>
        <w:tc>
          <w:tcPr>
            <w:tcW w:w="6271" w:type="dxa"/>
          </w:tcPr>
          <w:p w14:paraId="4E20D9BD"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Prowadzący instalacje eksploatuje centralny zamknięty obieg wody, z którego korzystają wszystkie instalacje produkcyjne i inne podmioty. W ramach instalacji żywic epoksydowych funkcjonuje wewnętrzny zamknięty obieg wody chłodniczej uzupełniany z obiegu centralnego. Instalacje, w których wymagane jest stosowanie czynnika chłodzącego o niższych temperaturach w instalacji nienasyconych żywic poliestrowych i żywic epoksydowych wyposażone są w agregaty chłodnicze z wewnętrznymi obiegami czynnika chłodzącego. </w:t>
            </w:r>
          </w:p>
        </w:tc>
      </w:tr>
      <w:tr w:rsidR="00E02F30" w:rsidRPr="00E02F30" w14:paraId="7579BD67" w14:textId="77777777" w:rsidTr="00A1631B">
        <w:tc>
          <w:tcPr>
            <w:tcW w:w="4361" w:type="dxa"/>
          </w:tcPr>
          <w:p w14:paraId="1368CB03"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Oszczędności wody chłodzącej dzięki jej ponownemu wykorzystaniu </w:t>
            </w:r>
          </w:p>
        </w:tc>
        <w:tc>
          <w:tcPr>
            <w:tcW w:w="6271" w:type="dxa"/>
          </w:tcPr>
          <w:p w14:paraId="3640F813"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Woda chłodząca używana w instalacjach krąży </w:t>
            </w:r>
            <w:r w:rsidRPr="00E02F30">
              <w:rPr>
                <w:rFonts w:eastAsia="Calibri" w:cs="Arial"/>
                <w:sz w:val="20"/>
                <w:szCs w:val="20"/>
              </w:rPr>
              <w:br/>
              <w:t xml:space="preserve">w układzie zamkniętym. Po wprowadzeniu zamkniętego układu chłodniczego nastąpiło znaczne zmniejszenie zużycia wody do celów chłodniczych w stosunku do stosowanego wcześniej systemu otwartego. Zastosowanie agregatów chłodniczych przy instalacjach: nienasyconych  żywic poliestrowych oraz  żywic epoksydowych przyczyniło się do dalszego zmniejszenia zużycia wody chłodzącej. </w:t>
            </w:r>
          </w:p>
        </w:tc>
      </w:tr>
      <w:tr w:rsidR="00E02F30" w:rsidRPr="00E02F30" w14:paraId="7F7CDD37" w14:textId="77777777" w:rsidTr="00A1631B">
        <w:tc>
          <w:tcPr>
            <w:tcW w:w="4361" w:type="dxa"/>
          </w:tcPr>
          <w:p w14:paraId="5A6403B7"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Obniżenie zużycia energii elektrycznej </w:t>
            </w:r>
          </w:p>
        </w:tc>
        <w:tc>
          <w:tcPr>
            <w:tcW w:w="6271" w:type="dxa"/>
          </w:tcPr>
          <w:p w14:paraId="49EF6184"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Silniki pomp i napędów wyposażone są w falowniki (VSD), co pozwala dostosować ich wydajności do temperatury powietrza (pory roku) i uzyskać wymagane temperatury przy zmniejszonym zużyciu energii elektrycznej. Dodatkowym efektem jest zmniejszenie hałasu. Szczególnie w ten system napędów elektrycznych wyposażone zostały: instalacje nienasyconych  żywic </w:t>
            </w:r>
            <w:proofErr w:type="spellStart"/>
            <w:r w:rsidRPr="00E02F30">
              <w:rPr>
                <w:rFonts w:eastAsia="Calibri" w:cs="Arial"/>
                <w:sz w:val="20"/>
                <w:szCs w:val="20"/>
              </w:rPr>
              <w:t>poliestrowychoraz</w:t>
            </w:r>
            <w:proofErr w:type="spellEnd"/>
            <w:r w:rsidRPr="00E02F30">
              <w:rPr>
                <w:rFonts w:eastAsia="Calibri" w:cs="Arial"/>
                <w:sz w:val="20"/>
                <w:szCs w:val="20"/>
              </w:rPr>
              <w:t xml:space="preserve"> wcześniej instalacja żywic epoksydowych. </w:t>
            </w:r>
          </w:p>
        </w:tc>
      </w:tr>
      <w:tr w:rsidR="00E02F30" w:rsidRPr="00E02F30" w14:paraId="4409A9A2" w14:textId="77777777" w:rsidTr="00A1631B">
        <w:tc>
          <w:tcPr>
            <w:tcW w:w="10632" w:type="dxa"/>
            <w:gridSpan w:val="2"/>
          </w:tcPr>
          <w:p w14:paraId="743F8622" w14:textId="77777777" w:rsidR="00E02F30" w:rsidRPr="00E02F30" w:rsidRDefault="00E02F30" w:rsidP="00E02F30">
            <w:pPr>
              <w:autoSpaceDE w:val="0"/>
              <w:autoSpaceDN w:val="0"/>
              <w:adjustRightInd w:val="0"/>
              <w:spacing w:after="0" w:line="240" w:lineRule="auto"/>
              <w:jc w:val="center"/>
              <w:rPr>
                <w:rFonts w:eastAsia="Calibri" w:cs="Arial"/>
                <w:b/>
                <w:sz w:val="20"/>
                <w:szCs w:val="20"/>
              </w:rPr>
            </w:pPr>
            <w:r w:rsidRPr="00E02F30">
              <w:rPr>
                <w:rFonts w:eastAsia="Calibri" w:cs="Arial"/>
                <w:b/>
                <w:sz w:val="20"/>
                <w:szCs w:val="20"/>
              </w:rPr>
              <w:t>ZBIORNIKI MAGAZYNOWE</w:t>
            </w:r>
          </w:p>
        </w:tc>
      </w:tr>
      <w:tr w:rsidR="00E02F30" w:rsidRPr="00E02F30" w14:paraId="11BC8800" w14:textId="77777777" w:rsidTr="00A1631B">
        <w:tc>
          <w:tcPr>
            <w:tcW w:w="4361" w:type="dxa"/>
          </w:tcPr>
          <w:p w14:paraId="41BD7941"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Procedury operacyjne i szkolenie </w:t>
            </w:r>
          </w:p>
        </w:tc>
        <w:tc>
          <w:tcPr>
            <w:tcW w:w="6271" w:type="dxa"/>
          </w:tcPr>
          <w:p w14:paraId="1CE17E71"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W ramach systemu zarządzania w Zakładach funkcjonują wdrożone procedury operacyjne oraz procedura w zakresie szkolenia pracowników </w:t>
            </w:r>
            <w:r w:rsidRPr="00E02F30">
              <w:rPr>
                <w:rFonts w:eastAsia="Calibri" w:cs="Arial"/>
                <w:sz w:val="20"/>
                <w:szCs w:val="20"/>
              </w:rPr>
              <w:br/>
              <w:t xml:space="preserve">i nadzoru. W obszarze tym prowadzone są zapisy. </w:t>
            </w:r>
          </w:p>
        </w:tc>
      </w:tr>
      <w:tr w:rsidR="00E02F30" w:rsidRPr="00E02F30" w14:paraId="45754CE4" w14:textId="77777777" w:rsidTr="00A1631B">
        <w:tc>
          <w:tcPr>
            <w:tcW w:w="4361" w:type="dxa"/>
          </w:tcPr>
          <w:p w14:paraId="08BA1E67"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Przecieki i przepełnienia</w:t>
            </w:r>
          </w:p>
        </w:tc>
        <w:tc>
          <w:tcPr>
            <w:tcW w:w="6271" w:type="dxa"/>
          </w:tcPr>
          <w:p w14:paraId="672D03F2"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Zbiorniki są wykonane z odpowiednich materiałów (np. stal specjalna). Zapobieganie korozji i erozji następuje poprzez zabezpieczenia antykorozyjne (malowanie).</w:t>
            </w:r>
          </w:p>
          <w:p w14:paraId="44FD5366" w14:textId="77777777" w:rsidR="00E02F30" w:rsidRPr="00E02F30" w:rsidRDefault="00E02F30" w:rsidP="00E02F30">
            <w:pPr>
              <w:autoSpaceDE w:val="0"/>
              <w:autoSpaceDN w:val="0"/>
              <w:adjustRightInd w:val="0"/>
              <w:spacing w:after="0" w:line="240" w:lineRule="auto"/>
              <w:jc w:val="both"/>
              <w:rPr>
                <w:rFonts w:eastAsia="Calibri" w:cs="Arial"/>
                <w:sz w:val="20"/>
                <w:szCs w:val="20"/>
              </w:rPr>
            </w:pPr>
            <w:r w:rsidRPr="00E02F30">
              <w:rPr>
                <w:rFonts w:eastAsia="Calibri" w:cs="Arial"/>
                <w:sz w:val="20"/>
                <w:szCs w:val="20"/>
              </w:rPr>
              <w:t xml:space="preserve">Zbiorniki wyposażone są w urządzenia do pomiaru poziomu napełniania i zapobiegające ich przepełnieniu. Zlokalizowane są w misach bezodpływowych do wyłapywania ewentualnych przecieków magazynowanych substancji. </w:t>
            </w:r>
          </w:p>
        </w:tc>
      </w:tr>
      <w:tr w:rsidR="00E02F30" w:rsidRPr="00E02F30" w14:paraId="7ADE1D2E" w14:textId="77777777" w:rsidTr="00A1631B">
        <w:tc>
          <w:tcPr>
            <w:tcW w:w="4361" w:type="dxa"/>
          </w:tcPr>
          <w:p w14:paraId="4013A2B1"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Ochrona przeciwpożarowa</w:t>
            </w:r>
          </w:p>
        </w:tc>
        <w:tc>
          <w:tcPr>
            <w:tcW w:w="6271" w:type="dxa"/>
          </w:tcPr>
          <w:p w14:paraId="4C552E4D"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Magazyny zbiorników wyposażone są w półstałą  instalację do gaszenia pożaru pianą oraz podręczny sprzęt gaśniczy (gaśnice). Do wyłapywania przecieków i wód </w:t>
            </w:r>
            <w:proofErr w:type="spellStart"/>
            <w:r w:rsidRPr="00E02F30">
              <w:rPr>
                <w:rFonts w:eastAsia="Times New Roman" w:cs="Arial"/>
                <w:sz w:val="20"/>
                <w:szCs w:val="20"/>
                <w:lang w:val="x-none" w:eastAsia="pl-PL"/>
              </w:rPr>
              <w:t>pogaśniczych</w:t>
            </w:r>
            <w:proofErr w:type="spellEnd"/>
            <w:r w:rsidRPr="00E02F30">
              <w:rPr>
                <w:rFonts w:eastAsia="Times New Roman" w:cs="Arial"/>
                <w:sz w:val="20"/>
                <w:szCs w:val="20"/>
                <w:lang w:val="x-none" w:eastAsia="pl-PL"/>
              </w:rPr>
              <w:t xml:space="preserve"> na wypadek pożaru służą misy i tace. W  zbiornikach z cieczami palnymi  utrzymywana jest atmosfera gazu </w:t>
            </w:r>
            <w:proofErr w:type="spellStart"/>
            <w:r w:rsidRPr="00E02F30">
              <w:rPr>
                <w:rFonts w:eastAsia="Times New Roman" w:cs="Arial"/>
                <w:sz w:val="20"/>
                <w:szCs w:val="20"/>
                <w:lang w:val="x-none" w:eastAsia="pl-PL"/>
              </w:rPr>
              <w:t>inertnego</w:t>
            </w:r>
            <w:proofErr w:type="spellEnd"/>
            <w:r w:rsidRPr="00E02F30">
              <w:rPr>
                <w:rFonts w:eastAsia="Times New Roman" w:cs="Arial"/>
                <w:sz w:val="20"/>
                <w:szCs w:val="20"/>
                <w:lang w:val="x-none" w:eastAsia="pl-PL"/>
              </w:rPr>
              <w:t xml:space="preserve"> (azotu).</w:t>
            </w:r>
          </w:p>
        </w:tc>
      </w:tr>
      <w:tr w:rsidR="00E02F30" w:rsidRPr="00E02F30" w14:paraId="06965729" w14:textId="77777777" w:rsidTr="00A1631B">
        <w:tc>
          <w:tcPr>
            <w:tcW w:w="4361" w:type="dxa"/>
          </w:tcPr>
          <w:p w14:paraId="36126C6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dedykowanych systemów w miejscach, gdzie zbiorniki są wykorzystywane do krótko- i średnioterminowego przechowywania różnych produktów.</w:t>
            </w:r>
          </w:p>
        </w:tc>
        <w:tc>
          <w:tcPr>
            <w:tcW w:w="6271" w:type="dxa"/>
          </w:tcPr>
          <w:p w14:paraId="7BD5FE5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Układy hermetyzacji aparatów i urządzeń z odprowadzeniem strumieni </w:t>
            </w:r>
            <w:proofErr w:type="spellStart"/>
            <w:r w:rsidRPr="00E02F30">
              <w:rPr>
                <w:rFonts w:eastAsia="Times New Roman" w:cs="Arial"/>
                <w:sz w:val="20"/>
                <w:szCs w:val="20"/>
                <w:lang w:eastAsia="pl-PL"/>
              </w:rPr>
              <w:t>odgazów</w:t>
            </w:r>
            <w:proofErr w:type="spellEnd"/>
            <w:r w:rsidRPr="00E02F30">
              <w:rPr>
                <w:rFonts w:eastAsia="Times New Roman" w:cs="Arial"/>
                <w:sz w:val="20"/>
                <w:szCs w:val="20"/>
                <w:lang w:eastAsia="pl-PL"/>
              </w:rPr>
              <w:t xml:space="preserve"> do układów redukujących ilość szkodliwych substancji odprowadzanych do atmosfery (układ dopalacza </w:t>
            </w:r>
            <w:proofErr w:type="spellStart"/>
            <w:r w:rsidRPr="00E02F30">
              <w:rPr>
                <w:rFonts w:eastAsia="Times New Roman" w:cs="Arial"/>
                <w:sz w:val="20"/>
                <w:szCs w:val="20"/>
                <w:lang w:eastAsia="pl-PL"/>
              </w:rPr>
              <w:t>odgazów</w:t>
            </w:r>
            <w:proofErr w:type="spellEnd"/>
            <w:r w:rsidRPr="00E02F30">
              <w:rPr>
                <w:rFonts w:eastAsia="Times New Roman" w:cs="Arial"/>
                <w:sz w:val="20"/>
                <w:szCs w:val="20"/>
                <w:lang w:eastAsia="pl-PL"/>
              </w:rPr>
              <w:t>). Zbiorniki podłączone są do instalacji hermetyzacji, która redukuje emisję do atmosfery.</w:t>
            </w:r>
          </w:p>
          <w:p w14:paraId="5B8B35A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Na instalacji stosuje się zamknięte zbiorniki. Są one wyposażone w armaturę utrzymującą stałe ciśnienie azotu. Hermetyzacja aparatów i urządzeń w węzłach produkcyjnych instalacji z odprowadzeniem strumieni </w:t>
            </w:r>
            <w:proofErr w:type="spellStart"/>
            <w:r w:rsidRPr="00E02F30">
              <w:rPr>
                <w:rFonts w:eastAsia="Times New Roman" w:cs="Arial"/>
                <w:sz w:val="20"/>
                <w:szCs w:val="20"/>
                <w:lang w:eastAsia="pl-PL"/>
              </w:rPr>
              <w:t>odgazów</w:t>
            </w:r>
            <w:proofErr w:type="spellEnd"/>
            <w:r w:rsidRPr="00E02F30">
              <w:rPr>
                <w:rFonts w:eastAsia="Times New Roman" w:cs="Arial"/>
                <w:sz w:val="20"/>
                <w:szCs w:val="20"/>
                <w:lang w:eastAsia="pl-PL"/>
              </w:rPr>
              <w:t xml:space="preserve"> do układów redukujących ilość szkodliwych substancji odprowadzanych do atmosfery (układy absorpcji i adsorpcji). Na instalacji stosuje się zamknięte zbiorniki. Są one wyposażone w armaturę utrzymującą stałe ciśnienie azotu.</w:t>
            </w:r>
          </w:p>
        </w:tc>
      </w:tr>
      <w:tr w:rsidR="00E02F30" w:rsidRPr="00E02F30" w14:paraId="0A495C89" w14:textId="77777777" w:rsidTr="00A1631B">
        <w:tc>
          <w:tcPr>
            <w:tcW w:w="4361" w:type="dxa"/>
          </w:tcPr>
          <w:p w14:paraId="509A6D4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narzędzia w celu ustalenia planów konserwacji i rozwoju opartych na ryzyku planów kontroli takich jak podejście konserwacji oparte na ryzyku i niezawodności.</w:t>
            </w:r>
          </w:p>
          <w:p w14:paraId="4F5FFFA9" w14:textId="77777777" w:rsidR="00E02F30" w:rsidRPr="00E02F30" w:rsidRDefault="00E02F30" w:rsidP="00E02F30">
            <w:pPr>
              <w:spacing w:after="0" w:line="240" w:lineRule="auto"/>
              <w:ind w:firstLine="709"/>
              <w:jc w:val="both"/>
              <w:rPr>
                <w:rFonts w:eastAsia="Times New Roman" w:cs="Arial"/>
                <w:sz w:val="20"/>
                <w:szCs w:val="20"/>
                <w:lang w:eastAsia="pl-PL"/>
              </w:rPr>
            </w:pPr>
          </w:p>
          <w:p w14:paraId="30DFC45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programu wykrywania przecieków i naprawy.</w:t>
            </w:r>
          </w:p>
        </w:tc>
        <w:tc>
          <w:tcPr>
            <w:tcW w:w="6271" w:type="dxa"/>
          </w:tcPr>
          <w:p w14:paraId="137B540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 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w:t>
            </w:r>
            <w:proofErr w:type="spellStart"/>
            <w:r w:rsidRPr="00E02F30">
              <w:rPr>
                <w:rFonts w:eastAsia="Times New Roman" w:cs="Arial"/>
                <w:sz w:val="20"/>
                <w:szCs w:val="20"/>
                <w:lang w:eastAsia="pl-PL"/>
              </w:rPr>
              <w:t>o.o.prowadzony</w:t>
            </w:r>
            <w:proofErr w:type="spellEnd"/>
            <w:r w:rsidRPr="00E02F30">
              <w:rPr>
                <w:rFonts w:eastAsia="Times New Roman" w:cs="Arial"/>
                <w:sz w:val="20"/>
                <w:szCs w:val="20"/>
                <w:lang w:eastAsia="pl-PL"/>
              </w:rPr>
              <w:t xml:space="preserve"> jest systematyczny nadzór instalacji pozwalający na szybkie rozpoznanie i reagowanie na wypadek awarii. Prowadzone są również regularne przeglądy i konserwacje instalacji zgodnie z ustalonymi harmonogramami.</w:t>
            </w:r>
          </w:p>
          <w:p w14:paraId="7D53935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Zbiorniki wyposażone są w odpowiednie systemy zabezpieczające przed przepełnieniem, a stały nadzór nad procesem załadunku i rozładunku pozwala natychmiast przerwać procedurę i zawiadomić odpowiednie służby zakładowe w przypadku wystąpienia sytuacji awaryjnej i potencjalnej emisji do powietrza. </w:t>
            </w:r>
          </w:p>
        </w:tc>
      </w:tr>
      <w:tr w:rsidR="00E02F30" w:rsidRPr="00E02F30" w14:paraId="73671E71" w14:textId="77777777" w:rsidTr="00A1631B">
        <w:tc>
          <w:tcPr>
            <w:tcW w:w="4361" w:type="dxa"/>
          </w:tcPr>
          <w:p w14:paraId="3B6FB01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Zmniejszenie emisji z magazynowania, transportu i przeładunku cystern, które mają znaczący negatywny wpływ na środowisko.</w:t>
            </w:r>
          </w:p>
          <w:p w14:paraId="46C31E4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Ma to zastosowanie do dużych magazynów pozwalając na określony termin realizacji.</w:t>
            </w:r>
          </w:p>
        </w:tc>
        <w:tc>
          <w:tcPr>
            <w:tcW w:w="6271" w:type="dxa"/>
          </w:tcPr>
          <w:p w14:paraId="466E2F7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Zasada „minimalizacji emisji przy magazynowaniu w zbiornikach” obejmuje emisje wynikające z normalnych działań eksploatacyjnych oraz wypadków w zakresie:</w:t>
            </w:r>
          </w:p>
          <w:p w14:paraId="0C1EAFC3" w14:textId="77777777" w:rsidR="00E02F30" w:rsidRPr="00E02F30" w:rsidRDefault="00E02F30">
            <w:pPr>
              <w:keepNext/>
              <w:numPr>
                <w:ilvl w:val="0"/>
                <w:numId w:val="80"/>
              </w:numPr>
              <w:spacing w:after="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emisji do powietrza</w:t>
            </w:r>
          </w:p>
          <w:p w14:paraId="104977AD" w14:textId="77777777" w:rsidR="00E02F30" w:rsidRPr="00E02F30" w:rsidRDefault="00E02F30">
            <w:pPr>
              <w:keepNext/>
              <w:numPr>
                <w:ilvl w:val="0"/>
                <w:numId w:val="80"/>
              </w:numPr>
              <w:spacing w:after="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emisji do gleby</w:t>
            </w:r>
          </w:p>
          <w:p w14:paraId="6D80E549" w14:textId="77777777" w:rsidR="00E02F30" w:rsidRPr="00E02F30" w:rsidRDefault="00E02F30">
            <w:pPr>
              <w:keepNext/>
              <w:numPr>
                <w:ilvl w:val="0"/>
                <w:numId w:val="80"/>
              </w:numPr>
              <w:spacing w:after="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emisji do wody</w:t>
            </w:r>
          </w:p>
          <w:p w14:paraId="04E91FA1" w14:textId="77777777" w:rsidR="00E02F30" w:rsidRPr="00E02F30" w:rsidRDefault="00E02F30">
            <w:pPr>
              <w:keepNext/>
              <w:numPr>
                <w:ilvl w:val="0"/>
                <w:numId w:val="80"/>
              </w:numPr>
              <w:spacing w:after="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odpadów.</w:t>
            </w:r>
          </w:p>
          <w:p w14:paraId="7E6F0B92"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 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w:t>
            </w:r>
            <w:proofErr w:type="spellStart"/>
            <w:r w:rsidRPr="00E02F30">
              <w:rPr>
                <w:rFonts w:eastAsia="Times New Roman" w:cs="Arial"/>
                <w:bCs/>
                <w:sz w:val="20"/>
                <w:szCs w:val="20"/>
                <w:lang w:eastAsia="pl-PL"/>
              </w:rPr>
              <w:t>o.o.tam</w:t>
            </w:r>
            <w:proofErr w:type="spellEnd"/>
            <w:r w:rsidRPr="00E02F30">
              <w:rPr>
                <w:rFonts w:eastAsia="Times New Roman" w:cs="Arial"/>
                <w:bCs/>
                <w:sz w:val="20"/>
                <w:szCs w:val="20"/>
                <w:lang w:eastAsia="pl-PL"/>
              </w:rPr>
              <w:t xml:space="preserve">, gdzie ze względu na przebieg procesu produkcyjnego nie można wyeliminować emisji, stosuje się różnorodne metody jej redukcji przed odprowadzeniem do środowiska. </w:t>
            </w:r>
          </w:p>
          <w:p w14:paraId="051BE710"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W emisji gazów: </w:t>
            </w:r>
          </w:p>
          <w:p w14:paraId="1A7C109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chłodnice wykraplające na </w:t>
            </w:r>
            <w:proofErr w:type="spellStart"/>
            <w:r w:rsidRPr="00E02F30">
              <w:rPr>
                <w:rFonts w:eastAsia="Times New Roman" w:cs="Arial"/>
                <w:bCs/>
                <w:sz w:val="20"/>
                <w:szCs w:val="20"/>
                <w:lang w:eastAsia="pl-PL"/>
              </w:rPr>
              <w:t>odprowadzeniach</w:t>
            </w:r>
            <w:proofErr w:type="spellEnd"/>
            <w:r w:rsidRPr="00E02F30">
              <w:rPr>
                <w:rFonts w:eastAsia="Times New Roman" w:cs="Arial"/>
                <w:bCs/>
                <w:sz w:val="20"/>
                <w:szCs w:val="20"/>
                <w:lang w:eastAsia="pl-PL"/>
              </w:rPr>
              <w:t xml:space="preserve"> </w:t>
            </w:r>
            <w:proofErr w:type="spellStart"/>
            <w:r w:rsidRPr="00E02F30">
              <w:rPr>
                <w:rFonts w:eastAsia="Times New Roman" w:cs="Arial"/>
                <w:bCs/>
                <w:sz w:val="20"/>
                <w:szCs w:val="20"/>
                <w:lang w:eastAsia="pl-PL"/>
              </w:rPr>
              <w:t>odgazów</w:t>
            </w:r>
            <w:proofErr w:type="spellEnd"/>
            <w:r w:rsidRPr="00E02F30">
              <w:rPr>
                <w:rFonts w:eastAsia="Times New Roman" w:cs="Arial"/>
                <w:bCs/>
                <w:sz w:val="20"/>
                <w:szCs w:val="20"/>
                <w:lang w:eastAsia="pl-PL"/>
              </w:rPr>
              <w:t xml:space="preserve"> z aparatów technologicznych,  </w:t>
            </w:r>
          </w:p>
          <w:p w14:paraId="2494C759"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filtry pulsacyjne w węzłach produkcji żywic epoksydowych i innych produktów pylistych, </w:t>
            </w:r>
          </w:p>
          <w:p w14:paraId="7AB0630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adsorbery i absorbery, </w:t>
            </w:r>
          </w:p>
          <w:p w14:paraId="5BD4824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dopalacz termiczny w instalacji nienasyconych żywic poliestrowych oczyszczający gazy zawierające związki organiczne z całej instalacji, </w:t>
            </w:r>
          </w:p>
          <w:p w14:paraId="02978DA2"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zamknięcia olejowe wydechów ze zbiorników magazynowych, </w:t>
            </w:r>
          </w:p>
          <w:p w14:paraId="0B21222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wahadła gazów przy rozładunku cystern kolejowych i autocystern do zbiorników. </w:t>
            </w:r>
          </w:p>
          <w:p w14:paraId="1128ACC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 emisji ścieków: </w:t>
            </w:r>
          </w:p>
          <w:p w14:paraId="607A3BD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wielokrotne wykorzystywanie cieczy myjącej do oczyszczania aparatów produkcyjnych, </w:t>
            </w:r>
          </w:p>
          <w:p w14:paraId="4C573A21"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kondensacja żywic fenolowo-formaldehydowych ze ścieków, </w:t>
            </w:r>
          </w:p>
          <w:p w14:paraId="495DE5F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zamknięte obiegi wód chłodniczych z wykorzystaniem do chłodzenia wód powierzchniowych i stopniowej eliminacji wód podziemnych, zainstalowanie lokalnych układów chłodniczych z  udziałem agregatów. </w:t>
            </w:r>
          </w:p>
          <w:p w14:paraId="324D319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 emisji odpadów: </w:t>
            </w:r>
          </w:p>
          <w:p w14:paraId="5674526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odzysk papieru i tektury oraz opakowań z tworzyw sztucznych, </w:t>
            </w:r>
          </w:p>
          <w:p w14:paraId="478A56D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realizacja zbiórki i recyklingu opakowań, </w:t>
            </w:r>
          </w:p>
          <w:p w14:paraId="21326800"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rozszerzanie stosowania opakowań wielokrotnego użytku (bębny, kontenery, big-</w:t>
            </w:r>
            <w:proofErr w:type="spellStart"/>
            <w:r w:rsidRPr="00E02F30">
              <w:rPr>
                <w:rFonts w:eastAsia="Times New Roman" w:cs="Arial"/>
                <w:bCs/>
                <w:sz w:val="20"/>
                <w:szCs w:val="20"/>
                <w:lang w:eastAsia="pl-PL"/>
              </w:rPr>
              <w:t>bagi</w:t>
            </w:r>
            <w:proofErr w:type="spellEnd"/>
            <w:r w:rsidRPr="00E02F30">
              <w:rPr>
                <w:rFonts w:eastAsia="Times New Roman" w:cs="Arial"/>
                <w:bCs/>
                <w:sz w:val="20"/>
                <w:szCs w:val="20"/>
                <w:lang w:eastAsia="pl-PL"/>
              </w:rPr>
              <w:t xml:space="preserve">), palety drewniane. </w:t>
            </w:r>
          </w:p>
          <w:p w14:paraId="25CC7F1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 emisji hałasu: </w:t>
            </w:r>
          </w:p>
          <w:p w14:paraId="3133C2C9"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zabudowa urządzeń będących istotnymi źródłami hałasu w zabezpieczonych pomieszczeniach instalacji,  </w:t>
            </w:r>
          </w:p>
          <w:p w14:paraId="29C46C6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stosowanie osłon i ekranów  indywidualnych, przeciwhałasowych, </w:t>
            </w:r>
          </w:p>
          <w:p w14:paraId="6F7FFEB7"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stosowanie pomp i wentylatorów niskoszumowych, </w:t>
            </w:r>
          </w:p>
          <w:p w14:paraId="1C5B950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stosowanie regulatorów obrotów w wentylatorach i pompach, </w:t>
            </w:r>
          </w:p>
          <w:p w14:paraId="0070688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prowadzenie zrównoważonej gospodarki leśnej w zakładowych lasach ochronnych oraz utrzymywanie zieleni na terenach przyległych do instalacji jako naturalnych ekranów.</w:t>
            </w:r>
          </w:p>
        </w:tc>
      </w:tr>
      <w:tr w:rsidR="00E02F30" w:rsidRPr="00E02F30" w14:paraId="17089829" w14:textId="77777777" w:rsidTr="00A1631B">
        <w:tc>
          <w:tcPr>
            <w:tcW w:w="4361" w:type="dxa"/>
          </w:tcPr>
          <w:p w14:paraId="5607CA9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systemu zarządzania bezpieczeństwem dla zapobiegania incydentów i wypadków.</w:t>
            </w:r>
          </w:p>
          <w:p w14:paraId="03F4CE44" w14:textId="77777777" w:rsidR="00E02F30" w:rsidRPr="00E02F30" w:rsidRDefault="00E02F30" w:rsidP="00E02F30">
            <w:pPr>
              <w:spacing w:after="0" w:line="240" w:lineRule="auto"/>
              <w:ind w:firstLine="709"/>
              <w:jc w:val="both"/>
              <w:rPr>
                <w:rFonts w:eastAsia="Times New Roman" w:cs="Arial"/>
                <w:sz w:val="20"/>
                <w:szCs w:val="20"/>
                <w:lang w:eastAsia="pl-PL"/>
              </w:rPr>
            </w:pPr>
          </w:p>
          <w:p w14:paraId="6199C96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Wdrożenie i przestrzeganie odpowiednich środków organizacyjnych oraz umożliwienie kształcenia i szkolenia pracowników dla bezpiecznego i niezawodnego funkcjonowania instalacji.</w:t>
            </w:r>
          </w:p>
        </w:tc>
        <w:tc>
          <w:tcPr>
            <w:tcW w:w="6271" w:type="dxa"/>
          </w:tcPr>
          <w:p w14:paraId="63CFCE21"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w:t>
            </w:r>
            <w:proofErr w:type="spellStart"/>
            <w:r w:rsidRPr="00E02F30">
              <w:rPr>
                <w:rFonts w:eastAsia="Times New Roman" w:cs="Arial"/>
                <w:bCs/>
                <w:sz w:val="20"/>
                <w:szCs w:val="20"/>
                <w:lang w:eastAsia="pl-PL"/>
              </w:rPr>
              <w:t>o.o.posiada</w:t>
            </w:r>
            <w:proofErr w:type="spellEnd"/>
            <w:r w:rsidRPr="00E02F30">
              <w:rPr>
                <w:rFonts w:eastAsia="Times New Roman" w:cs="Arial"/>
                <w:bCs/>
                <w:sz w:val="20"/>
                <w:szCs w:val="20"/>
                <w:lang w:eastAsia="pl-PL"/>
              </w:rPr>
              <w:t xml:space="preserve"> przyjętą i realizuje politykę dotyczącą jakości, środowiska i bezpieczeństwa obejmującą zespół działań zmierzających do minimalizacji wpływu na środowisko. </w:t>
            </w:r>
          </w:p>
          <w:p w14:paraId="3623A8C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Ponadto zakład posiada wymaganą dokumentację związaną z ich zakwalifikowaniem do grupy zakładów dużego ryzyka wystąpienia poważnej awarii przemysłowej, w tym: zgłoszenie, program zapobiegania awariom, raport o bezpieczeństwie oraz wewnętrzny i zewnętrzny plan operacyjno-ratowniczy.</w:t>
            </w:r>
          </w:p>
          <w:p w14:paraId="110F67A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 ramach systemu zarządzania w zakładzie funkcjonują wdrożone procedury operacyjne oraz procedura w zakresie szkolenia pracowników i nadzoru. Ponadto szkolenia okresowe bhp są rozszerzone o zagadnienia ochrony środowiska. Kadra kierownicza składa egzaminy z tego zakresu. Istnieje Wewnętrzny Plan Operacyjno-Ratowniczy, z którego wyciąg jest podstawą przeszkolenia pracowników, obok szkolenia podstawowego. </w:t>
            </w:r>
          </w:p>
        </w:tc>
      </w:tr>
      <w:tr w:rsidR="00E02F30" w:rsidRPr="00E02F30" w14:paraId="1675F618" w14:textId="77777777" w:rsidTr="00A1631B">
        <w:tc>
          <w:tcPr>
            <w:tcW w:w="10632" w:type="dxa"/>
            <w:gridSpan w:val="2"/>
          </w:tcPr>
          <w:p w14:paraId="3FC22799" w14:textId="77777777" w:rsidR="00E02F30" w:rsidRPr="00E02F30" w:rsidRDefault="00E02F30" w:rsidP="00E02F30">
            <w:pPr>
              <w:tabs>
                <w:tab w:val="center" w:pos="4536"/>
                <w:tab w:val="right" w:pos="9072"/>
              </w:tabs>
              <w:spacing w:after="0" w:line="240" w:lineRule="auto"/>
              <w:ind w:firstLine="709"/>
              <w:jc w:val="center"/>
              <w:rPr>
                <w:rFonts w:eastAsia="Times New Roman" w:cs="Arial"/>
                <w:b/>
                <w:sz w:val="20"/>
                <w:szCs w:val="20"/>
                <w:lang w:val="x-none" w:eastAsia="pl-PL"/>
              </w:rPr>
            </w:pPr>
            <w:r w:rsidRPr="00E02F30">
              <w:rPr>
                <w:rFonts w:eastAsia="Times New Roman" w:cs="Arial"/>
                <w:b/>
                <w:sz w:val="20"/>
                <w:szCs w:val="20"/>
                <w:lang w:val="x-none" w:eastAsia="pl-PL"/>
              </w:rPr>
              <w:t>EFEKTYWNOŚĆ ENERGETYCZNA</w:t>
            </w:r>
          </w:p>
        </w:tc>
      </w:tr>
      <w:tr w:rsidR="00E02F30" w:rsidRPr="00E02F30" w14:paraId="2E4D525E" w14:textId="77777777" w:rsidTr="00A1631B">
        <w:trPr>
          <w:trHeight w:val="978"/>
        </w:trPr>
        <w:tc>
          <w:tcPr>
            <w:tcW w:w="4361" w:type="dxa"/>
          </w:tcPr>
          <w:p w14:paraId="466EC492"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Zarządzanie efektywnością energetyczną (ENEMS)</w:t>
            </w:r>
          </w:p>
        </w:tc>
        <w:tc>
          <w:tcPr>
            <w:tcW w:w="6271" w:type="dxa"/>
          </w:tcPr>
          <w:p w14:paraId="2277E451"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Mając na względzie efektywność energetyczną,  Zarząd Zakładów wdrożył i udoskonala system zarządzania, w tym zakresie.</w:t>
            </w:r>
            <w:r w:rsidRPr="00E02F30">
              <w:rPr>
                <w:rFonts w:eastAsia="Times New Roman" w:cs="Arial"/>
                <w:sz w:val="20"/>
                <w:szCs w:val="20"/>
                <w:lang w:eastAsia="pl-PL"/>
              </w:rPr>
              <w:t xml:space="preserve"> </w:t>
            </w:r>
            <w:r w:rsidRPr="00E02F30">
              <w:rPr>
                <w:rFonts w:eastAsia="Times New Roman" w:cs="Arial"/>
                <w:sz w:val="20"/>
                <w:szCs w:val="20"/>
                <w:lang w:val="x-none" w:eastAsia="pl-PL"/>
              </w:rPr>
              <w:t xml:space="preserve">Spełniane są następujące funkcje: </w:t>
            </w:r>
          </w:p>
          <w:p w14:paraId="6C7EB1A5"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Kierownictwo Zakładów- Zarząd poprzez realizację polityki ZSZ angażuje się w utrzymanie i rozwój ENEMS.</w:t>
            </w:r>
          </w:p>
          <w:p w14:paraId="5371E5F3"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 w ramach systemu wyznaczane są cele i odbywa się planowanie w okresach rocznych </w:t>
            </w:r>
          </w:p>
          <w:p w14:paraId="538F8167"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-system posiada regulacje w formie wdrożonych </w:t>
            </w:r>
            <w:r w:rsidRPr="00E02F30">
              <w:rPr>
                <w:rFonts w:eastAsia="Times New Roman" w:cs="Arial"/>
                <w:sz w:val="20"/>
                <w:szCs w:val="20"/>
                <w:lang w:val="x-none" w:eastAsia="pl-PL"/>
              </w:rPr>
              <w:br/>
              <w:t xml:space="preserve">i funkcjonujących procedur ZSZ, w tym: </w:t>
            </w:r>
          </w:p>
          <w:p w14:paraId="43643C5C"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procedury systemowe i operacyjne,</w:t>
            </w:r>
          </w:p>
          <w:p w14:paraId="776C7D7F"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monitorowanie i nadzorowanie zużycia ciepła,</w:t>
            </w:r>
          </w:p>
          <w:p w14:paraId="18175671"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identyfikacja, monitorowanie i nadzorowanie zużycia gazu,</w:t>
            </w:r>
          </w:p>
          <w:p w14:paraId="525BF6B4"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identyfikacja, monitorowanie i nadzorowanie sieci, instalacji i urządzeń elektro-energetycznych oraz zużycia energii elektrycznej,</w:t>
            </w:r>
          </w:p>
          <w:p w14:paraId="2D144670"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przegląd i nadzorowanie umów z firmami.</w:t>
            </w:r>
          </w:p>
          <w:p w14:paraId="7DDEF181"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 przy projektowaniu nowych wyrobów, procesów </w:t>
            </w:r>
            <w:r w:rsidRPr="00E02F30">
              <w:rPr>
                <w:rFonts w:eastAsia="Times New Roman" w:cs="Arial"/>
                <w:sz w:val="20"/>
                <w:szCs w:val="20"/>
                <w:lang w:val="x-none" w:eastAsia="pl-PL"/>
              </w:rPr>
              <w:br/>
              <w:t>i instalacji, bądź ich modernizacji stosowana jest zasada energooszczędności, angażując specjalistyczne firmy i ekspertów w zakresie zagadnień energetycznych.</w:t>
            </w:r>
          </w:p>
          <w:p w14:paraId="6CE3D241"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 sprawdzanie funkcjonowania systemu poprzez wewnętrzne i zewnętrzne </w:t>
            </w:r>
            <w:proofErr w:type="spellStart"/>
            <w:r w:rsidRPr="00E02F30">
              <w:rPr>
                <w:rFonts w:eastAsia="Times New Roman" w:cs="Arial"/>
                <w:sz w:val="20"/>
                <w:szCs w:val="20"/>
                <w:lang w:val="x-none" w:eastAsia="pl-PL"/>
              </w:rPr>
              <w:t>audity</w:t>
            </w:r>
            <w:proofErr w:type="spellEnd"/>
            <w:r w:rsidRPr="00E02F30">
              <w:rPr>
                <w:rFonts w:eastAsia="Times New Roman" w:cs="Arial"/>
                <w:sz w:val="20"/>
                <w:szCs w:val="20"/>
                <w:lang w:val="x-none" w:eastAsia="pl-PL"/>
              </w:rPr>
              <w:t xml:space="preserve"> ZSZ, monitorowanie </w:t>
            </w:r>
            <w:r w:rsidRPr="00E02F30">
              <w:rPr>
                <w:rFonts w:eastAsia="Times New Roman" w:cs="Arial"/>
                <w:sz w:val="20"/>
                <w:szCs w:val="20"/>
                <w:lang w:val="x-none" w:eastAsia="pl-PL"/>
              </w:rPr>
              <w:br/>
              <w:t>i pomiary oraz usuwanie niezgodności poprzez działania korekcyjne, korygujące i naprawcze.</w:t>
            </w:r>
          </w:p>
          <w:p w14:paraId="7B05F322"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przegląd systemu przeprowadzany w ramach przeglądu ZSZ.</w:t>
            </w:r>
          </w:p>
        </w:tc>
      </w:tr>
      <w:tr w:rsidR="00E02F30" w:rsidRPr="00E02F30" w14:paraId="44304F94" w14:textId="77777777" w:rsidTr="00A1631B">
        <w:tc>
          <w:tcPr>
            <w:tcW w:w="4361" w:type="dxa"/>
          </w:tcPr>
          <w:p w14:paraId="675DB318"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Stała poprawa oddziaływania na środowisko</w:t>
            </w:r>
          </w:p>
        </w:tc>
        <w:tc>
          <w:tcPr>
            <w:tcW w:w="6271" w:type="dxa"/>
          </w:tcPr>
          <w:p w14:paraId="10AC7C7C"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eastAsia="pl-PL"/>
              </w:rPr>
            </w:pPr>
            <w:r w:rsidRPr="00E02F30">
              <w:rPr>
                <w:rFonts w:eastAsia="Times New Roman" w:cs="Arial"/>
                <w:sz w:val="20"/>
                <w:szCs w:val="20"/>
                <w:lang w:val="x-none" w:eastAsia="pl-PL"/>
              </w:rPr>
              <w:t xml:space="preserve">Poprawa w oddziaływaniu na środowisko realizowana jest w ramach planowania i realizacji remontów </w:t>
            </w:r>
            <w:r w:rsidRPr="00E02F30">
              <w:rPr>
                <w:rFonts w:eastAsia="Times New Roman" w:cs="Arial"/>
                <w:sz w:val="20"/>
                <w:szCs w:val="20"/>
                <w:lang w:val="x-none" w:eastAsia="pl-PL"/>
              </w:rPr>
              <w:br/>
              <w:t>i inwestycji- uwzględnia wieloletnie cele zmniejszania oddziaływania instalacji produkcyjnych na środowisko</w:t>
            </w:r>
            <w:r w:rsidRPr="00E02F30">
              <w:rPr>
                <w:rFonts w:eastAsia="Times New Roman" w:cs="Arial"/>
                <w:sz w:val="20"/>
                <w:szCs w:val="20"/>
                <w:lang w:eastAsia="pl-PL"/>
              </w:rPr>
              <w:t>.</w:t>
            </w:r>
          </w:p>
        </w:tc>
      </w:tr>
      <w:tr w:rsidR="00E02F30" w:rsidRPr="00E02F30" w14:paraId="05ECE4D7" w14:textId="77777777" w:rsidTr="00A1631B">
        <w:tc>
          <w:tcPr>
            <w:tcW w:w="4361" w:type="dxa"/>
          </w:tcPr>
          <w:p w14:paraId="0C69B2E4"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Ustalanie aspektów efektywności energetycznej instalacji </w:t>
            </w:r>
            <w:r w:rsidRPr="00E02F30">
              <w:rPr>
                <w:rFonts w:eastAsia="Calibri" w:cs="Arial"/>
                <w:sz w:val="20"/>
                <w:szCs w:val="20"/>
              </w:rPr>
              <w:br/>
              <w:t>i możliwości oszczędności energii</w:t>
            </w:r>
          </w:p>
        </w:tc>
        <w:tc>
          <w:tcPr>
            <w:tcW w:w="6271" w:type="dxa"/>
          </w:tcPr>
          <w:p w14:paraId="4E008B4D"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Przed planowaną przebudową lub modernizacją instalacji dokonywana jest identyfikacja i ocena ich aspektów, które mają wpływ na efektywność energetyczną. Wykonywane są analizy i bilanse zgodnie z przyjętymi metodykami, których wynikiem jest m.in. optymalizacja zużycia i/lub odzysku energii. </w:t>
            </w:r>
          </w:p>
        </w:tc>
      </w:tr>
      <w:tr w:rsidR="00E02F30" w:rsidRPr="00E02F30" w14:paraId="24022551" w14:textId="77777777" w:rsidTr="00A1631B">
        <w:tc>
          <w:tcPr>
            <w:tcW w:w="4361" w:type="dxa"/>
          </w:tcPr>
          <w:p w14:paraId="6C13B3BD"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Podejście systemowe do zarządzania energią</w:t>
            </w:r>
          </w:p>
        </w:tc>
        <w:tc>
          <w:tcPr>
            <w:tcW w:w="6271" w:type="dxa"/>
          </w:tcPr>
          <w:p w14:paraId="4AE35D3C"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Systemowe zarządzanie  energią odbywa się w ramach: </w:t>
            </w:r>
          </w:p>
          <w:p w14:paraId="0F7C9F24"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systemów grzewczych (para, gorąca woda, kondensat, energia elektryczna),</w:t>
            </w:r>
          </w:p>
          <w:p w14:paraId="3AF1E179"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systemów chłodzenia,</w:t>
            </w:r>
          </w:p>
          <w:p w14:paraId="6C63BE0A"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systemów sprężania i próżniowych,</w:t>
            </w:r>
          </w:p>
          <w:p w14:paraId="497E72BA"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systemów napędów silnikami elektrycznymi (pompy, wentylatory, sprężarki, agregaty, mieszadła w reaktorach),</w:t>
            </w:r>
          </w:p>
          <w:p w14:paraId="13043565"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systemów oświetlenia instalacji i obiektów,</w:t>
            </w:r>
          </w:p>
          <w:p w14:paraId="238125C8"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eastAsia="pl-PL"/>
              </w:rPr>
            </w:pPr>
            <w:r w:rsidRPr="00E02F30">
              <w:rPr>
                <w:rFonts w:eastAsia="Times New Roman" w:cs="Arial"/>
                <w:sz w:val="20"/>
                <w:szCs w:val="20"/>
                <w:lang w:val="x-none" w:eastAsia="pl-PL"/>
              </w:rPr>
              <w:t>- systemów technologicznych i operacji jednostkowych w instalacjach</w:t>
            </w:r>
            <w:r w:rsidRPr="00E02F30">
              <w:rPr>
                <w:rFonts w:eastAsia="Times New Roman" w:cs="Arial"/>
                <w:sz w:val="20"/>
                <w:szCs w:val="20"/>
                <w:lang w:eastAsia="pl-PL"/>
              </w:rPr>
              <w:t>,</w:t>
            </w:r>
          </w:p>
          <w:p w14:paraId="2C932513"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-systemu centralnego zakładowego rejestrowania </w:t>
            </w:r>
            <w:r w:rsidRPr="00E02F30">
              <w:rPr>
                <w:rFonts w:eastAsia="Times New Roman" w:cs="Arial"/>
                <w:sz w:val="20"/>
                <w:szCs w:val="20"/>
                <w:lang w:val="x-none" w:eastAsia="pl-PL"/>
              </w:rPr>
              <w:br/>
              <w:t xml:space="preserve">i bieżących odczytów dobowych profilów zużycia podstawowych mediów energetycznych. </w:t>
            </w:r>
          </w:p>
        </w:tc>
      </w:tr>
      <w:tr w:rsidR="00E02F30" w:rsidRPr="00E02F30" w14:paraId="5900F292" w14:textId="77777777" w:rsidTr="00A1631B">
        <w:trPr>
          <w:trHeight w:val="693"/>
        </w:trPr>
        <w:tc>
          <w:tcPr>
            <w:tcW w:w="4361" w:type="dxa"/>
          </w:tcPr>
          <w:p w14:paraId="015E5EFC"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Ustalanie i dokonywanie przeglądu celów i wskaźników dotyczących efektywności energetycznej</w:t>
            </w:r>
          </w:p>
        </w:tc>
        <w:tc>
          <w:tcPr>
            <w:tcW w:w="6271" w:type="dxa"/>
          </w:tcPr>
          <w:p w14:paraId="1C6E92C3"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Odbywa się w ramach przeglądu ZSZ dokonywanego przez kierownictwo/Zarząd oraz przy ustalaniu planów i programów ruchu instalacji i produkcji wyrobów. </w:t>
            </w:r>
          </w:p>
        </w:tc>
      </w:tr>
      <w:tr w:rsidR="00E02F30" w:rsidRPr="00E02F30" w14:paraId="1EB3B754" w14:textId="77777777" w:rsidTr="00A1631B">
        <w:tc>
          <w:tcPr>
            <w:tcW w:w="4361" w:type="dxa"/>
          </w:tcPr>
          <w:p w14:paraId="1466A512"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Wzmożona integracja procesu</w:t>
            </w:r>
          </w:p>
        </w:tc>
        <w:tc>
          <w:tcPr>
            <w:tcW w:w="6271" w:type="dxa"/>
          </w:tcPr>
          <w:p w14:paraId="40D74D0D"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Realizowana jest w liniach technologicznych instalacji pomiędzy procesami i instalacjami w Zakładach</w:t>
            </w:r>
          </w:p>
        </w:tc>
      </w:tr>
      <w:tr w:rsidR="00E02F30" w:rsidRPr="00E02F30" w14:paraId="051510F7" w14:textId="77777777" w:rsidTr="00A1631B">
        <w:tc>
          <w:tcPr>
            <w:tcW w:w="4361" w:type="dxa"/>
          </w:tcPr>
          <w:p w14:paraId="6F8CCF8E"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Utrzymywanie tempa inicjatyw </w:t>
            </w:r>
            <w:r w:rsidRPr="00E02F30">
              <w:rPr>
                <w:rFonts w:eastAsia="Calibri" w:cs="Arial"/>
                <w:sz w:val="20"/>
                <w:szCs w:val="20"/>
              </w:rPr>
              <w:br/>
              <w:t>w zakresie efektywności energetycznej</w:t>
            </w:r>
          </w:p>
        </w:tc>
        <w:tc>
          <w:tcPr>
            <w:tcW w:w="6271" w:type="dxa"/>
          </w:tcPr>
          <w:p w14:paraId="080363B7"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Stosowany i doskonalony jest system zarządzania energią elektryczną, parą (ciepłem), kondensatem i ciepłą wodą oraz gazem ujęty w procedurach ZSZ . Rozliczanie za energię odbywa się</w:t>
            </w:r>
            <w:r w:rsidRPr="00E02F30">
              <w:rPr>
                <w:rFonts w:eastAsia="Times New Roman" w:cs="Arial"/>
                <w:sz w:val="20"/>
                <w:szCs w:val="20"/>
                <w:lang w:eastAsia="pl-PL"/>
              </w:rPr>
              <w:t xml:space="preserve"> </w:t>
            </w:r>
            <w:r w:rsidRPr="00E02F30">
              <w:rPr>
                <w:rFonts w:eastAsia="Times New Roman" w:cs="Arial"/>
                <w:sz w:val="20"/>
                <w:szCs w:val="20"/>
                <w:lang w:val="x-none" w:eastAsia="pl-PL"/>
              </w:rPr>
              <w:t xml:space="preserve">w oparciu o odczyty liczników zainstalowanych przy instalacjach. </w:t>
            </w:r>
          </w:p>
        </w:tc>
      </w:tr>
      <w:tr w:rsidR="00E02F30" w:rsidRPr="00E02F30" w14:paraId="499C062A" w14:textId="77777777" w:rsidTr="00A1631B">
        <w:tc>
          <w:tcPr>
            <w:tcW w:w="4361" w:type="dxa"/>
          </w:tcPr>
          <w:p w14:paraId="14389106"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Utrzymywanie poziomu wiedzy specjalistycznej </w:t>
            </w:r>
          </w:p>
        </w:tc>
        <w:tc>
          <w:tcPr>
            <w:tcW w:w="6271" w:type="dxa"/>
          </w:tcPr>
          <w:p w14:paraId="59205CFC"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Zatrudnianie wykwalifikowanego personelu, szkolenie obsługi i nadzoru. Egzaminy kwalifikacyjne dla osób obsługi i nadzoru urządzeń elektroenergetycznych w prowadzonych instalacjach.</w:t>
            </w:r>
          </w:p>
        </w:tc>
      </w:tr>
      <w:tr w:rsidR="00E02F30" w:rsidRPr="00E02F30" w14:paraId="005649D2" w14:textId="77777777" w:rsidTr="00A1631B">
        <w:tc>
          <w:tcPr>
            <w:tcW w:w="4361" w:type="dxa"/>
          </w:tcPr>
          <w:p w14:paraId="01A55234"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Skuteczna kontrola procesu</w:t>
            </w:r>
          </w:p>
        </w:tc>
        <w:tc>
          <w:tcPr>
            <w:tcW w:w="6271" w:type="dxa"/>
          </w:tcPr>
          <w:p w14:paraId="3E4F394E"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Monitorowanie kluczowych parametrów prowadzenia instalacji. Dokumentowanie i rejestrowanie parametrów eksploatacyjnych instalacji, w tym parametrów mających wpływ na efektywność energetyczną.</w:t>
            </w:r>
          </w:p>
        </w:tc>
      </w:tr>
      <w:tr w:rsidR="00E02F30" w:rsidRPr="00E02F30" w14:paraId="23B873EC" w14:textId="77777777" w:rsidTr="00A1631B">
        <w:tc>
          <w:tcPr>
            <w:tcW w:w="4361" w:type="dxa"/>
          </w:tcPr>
          <w:p w14:paraId="095AAC1F"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Konserwacja </w:t>
            </w:r>
          </w:p>
        </w:tc>
        <w:tc>
          <w:tcPr>
            <w:tcW w:w="6271" w:type="dxa"/>
          </w:tcPr>
          <w:p w14:paraId="7689E8E4"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Planowanie prac konserwacyjnych i remontowych (plany roczne remontów). Procedury przekazywania instalacji do remontów i odbioru po remontach. </w:t>
            </w:r>
          </w:p>
        </w:tc>
      </w:tr>
      <w:tr w:rsidR="00E02F30" w:rsidRPr="00E02F30" w14:paraId="6E53F57E" w14:textId="77777777" w:rsidTr="00A1631B">
        <w:tc>
          <w:tcPr>
            <w:tcW w:w="4361" w:type="dxa"/>
          </w:tcPr>
          <w:p w14:paraId="7643EE16"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Monitorowanie i pomiar</w:t>
            </w:r>
          </w:p>
        </w:tc>
        <w:tc>
          <w:tcPr>
            <w:tcW w:w="6271" w:type="dxa"/>
          </w:tcPr>
          <w:p w14:paraId="2711BB87"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W instalacjach prowadzony jest regularny monitoring </w:t>
            </w:r>
            <w:r w:rsidRPr="00E02F30">
              <w:rPr>
                <w:rFonts w:eastAsia="Times New Roman" w:cs="Arial"/>
                <w:sz w:val="20"/>
                <w:szCs w:val="20"/>
                <w:lang w:val="x-none" w:eastAsia="pl-PL"/>
              </w:rPr>
              <w:br/>
              <w:t xml:space="preserve">i pomiary w zakresie parametrów mających wpływ na efektywność energetyczną. Prowadzone są zapisy i rejestry wyników monitoringu i pomiarów, które są analizowane przez służby technologiczne, techniczne </w:t>
            </w:r>
            <w:r w:rsidRPr="00E02F30">
              <w:rPr>
                <w:rFonts w:eastAsia="Times New Roman" w:cs="Arial"/>
                <w:sz w:val="20"/>
                <w:szCs w:val="20"/>
                <w:lang w:val="x-none" w:eastAsia="pl-PL"/>
              </w:rPr>
              <w:br/>
              <w:t xml:space="preserve">i specjalistyczno-projektowe. </w:t>
            </w:r>
          </w:p>
        </w:tc>
      </w:tr>
      <w:tr w:rsidR="00E02F30" w:rsidRPr="00E02F30" w14:paraId="2A5886F4" w14:textId="77777777" w:rsidTr="00A1631B">
        <w:tc>
          <w:tcPr>
            <w:tcW w:w="4361" w:type="dxa"/>
          </w:tcPr>
          <w:p w14:paraId="25FDDF9B"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Calibri" w:cs="Arial"/>
                <w:sz w:val="20"/>
                <w:szCs w:val="20"/>
              </w:rPr>
              <w:t xml:space="preserve">Optymalizacja efektywności energetycznej z wykorzystaniem zalecanych technik w systemach </w:t>
            </w:r>
            <w:r w:rsidRPr="00E02F30">
              <w:rPr>
                <w:rFonts w:eastAsia="Calibri" w:cs="Arial"/>
                <w:sz w:val="20"/>
                <w:szCs w:val="20"/>
              </w:rPr>
              <w:br/>
              <w:t xml:space="preserve">i urządzeniach. </w:t>
            </w:r>
          </w:p>
        </w:tc>
        <w:tc>
          <w:tcPr>
            <w:tcW w:w="6271" w:type="dxa"/>
          </w:tcPr>
          <w:p w14:paraId="17780877"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W Zakładach występują procedury i instrukcje zawierające elementy optymalizacji, efektywności energetycznej w instalacjach, w tym:</w:t>
            </w:r>
          </w:p>
          <w:p w14:paraId="72E977D2"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systemach grzewczych parowych i wodnych</w:t>
            </w:r>
          </w:p>
          <w:p w14:paraId="01A6B525"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instalacjach sprężonego powietrza i próżniowych</w:t>
            </w:r>
          </w:p>
          <w:p w14:paraId="737FF7AC"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 systemach napędów w reaktorach i aparatach oraz pompach i wentylatorach. </w:t>
            </w:r>
          </w:p>
          <w:p w14:paraId="0F4D7A46"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r w:rsidRPr="00E02F30">
              <w:rPr>
                <w:rFonts w:eastAsia="Times New Roman" w:cs="Arial"/>
                <w:sz w:val="20"/>
                <w:szCs w:val="20"/>
                <w:lang w:val="x-none" w:eastAsia="pl-PL"/>
              </w:rPr>
              <w:t xml:space="preserve">W istniejących instalacjach prowadzona jest systematyczna wymiana na silniki energooszczędne (EEM) oraz napędy o regulowanej prędkości (VSD).  </w:t>
            </w:r>
          </w:p>
        </w:tc>
      </w:tr>
      <w:tr w:rsidR="00E02F30" w:rsidRPr="00E02F30" w14:paraId="63EAF320" w14:textId="77777777" w:rsidTr="00A1631B">
        <w:tc>
          <w:tcPr>
            <w:tcW w:w="10632" w:type="dxa"/>
            <w:gridSpan w:val="2"/>
          </w:tcPr>
          <w:p w14:paraId="213E08F9" w14:textId="77777777" w:rsidR="00E02F30" w:rsidRPr="00E02F30" w:rsidRDefault="00E02F30" w:rsidP="00E02F30">
            <w:pPr>
              <w:tabs>
                <w:tab w:val="center" w:pos="4536"/>
                <w:tab w:val="right" w:pos="9072"/>
              </w:tabs>
              <w:spacing w:after="0" w:line="240" w:lineRule="auto"/>
              <w:rPr>
                <w:rFonts w:eastAsia="Times New Roman" w:cs="Arial"/>
                <w:sz w:val="20"/>
                <w:szCs w:val="20"/>
                <w:lang w:val="x-none" w:eastAsia="pl-PL"/>
              </w:rPr>
            </w:pPr>
            <w:r w:rsidRPr="00E02F30">
              <w:rPr>
                <w:rFonts w:eastAsia="Times New Roman" w:cs="Arial"/>
                <w:b/>
                <w:sz w:val="20"/>
                <w:szCs w:val="20"/>
                <w:lang w:val="x-none" w:eastAsia="pl-PL"/>
              </w:rPr>
              <w:t>Zapobieganie i minimalizacja oddziaływania na środowisko</w:t>
            </w:r>
          </w:p>
        </w:tc>
      </w:tr>
      <w:tr w:rsidR="00E02F30" w:rsidRPr="00E02F30" w14:paraId="26D3C945" w14:textId="77777777" w:rsidTr="00A1631B">
        <w:tc>
          <w:tcPr>
            <w:tcW w:w="4361" w:type="dxa"/>
          </w:tcPr>
          <w:p w14:paraId="477DF51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Zapewnienie procesu produkcji podlegającego kontroli jakości pod kątem włączania względów środowiskowych, zdrowotnych i bezpieczeństwa do prac rozwojowych.</w:t>
            </w:r>
          </w:p>
          <w:p w14:paraId="462FF408"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Opracowanie nowych procesów w następujący sposób:</w:t>
            </w:r>
          </w:p>
          <w:p w14:paraId="38B1A2BC"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ulepszenie</w:t>
            </w:r>
            <w:r w:rsidRPr="00E02F30">
              <w:rPr>
                <w:rFonts w:eastAsia="Times New Roman" w:cs="Arial"/>
                <w:b/>
                <w:bCs/>
                <w:sz w:val="20"/>
                <w:szCs w:val="20"/>
                <w:lang w:eastAsia="pl-PL"/>
              </w:rPr>
              <w:t xml:space="preserve"> </w:t>
            </w:r>
            <w:r w:rsidRPr="00E02F30">
              <w:rPr>
                <w:rFonts w:eastAsia="Times New Roman" w:cs="Arial"/>
                <w:snapToGrid w:val="0"/>
                <w:sz w:val="20"/>
                <w:szCs w:val="20"/>
                <w:lang w:eastAsia="pl-PL"/>
              </w:rPr>
              <w:t>procesu projektowania w celu zmaksymalizowania zużycia surowców w produkcie końcowym,</w:t>
            </w:r>
          </w:p>
          <w:p w14:paraId="11BCD93F"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 xml:space="preserve">wykorzystanie substancji mało toksycznych lub nietoksycznych dla zdrowia człowieka i środowiska (substancje powinny być dobierane w celu zminimalizowania liczby potencjalnych wypadków, emisji zanieczyszczeń, eksplozji lub pożarów), </w:t>
            </w:r>
          </w:p>
          <w:p w14:paraId="14E6FC4A"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 xml:space="preserve">uniknięcie zastosowania dodatkowych substancji (np. rozpuszczalników, izolatorów, itd.), </w:t>
            </w:r>
          </w:p>
          <w:p w14:paraId="7C695169"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 xml:space="preserve">zminimalizowanie zapotrzebowania na energię z uwzględnieniem powiązanego z tym oddziaływania na środowisko i gospodarkę (preferowane są reakcje powstałe w temperaturze i ciśnieniu otoczenia) </w:t>
            </w:r>
          </w:p>
          <w:p w14:paraId="6F6521A0"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stosowanie surowców odnawialnych zamiast wyczerpywania ich źródeł, gdy jest to technicznie i ekonomicznie możliwe,</w:t>
            </w:r>
          </w:p>
          <w:p w14:paraId="15C7FA54"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 xml:space="preserve">uniknięcie niepotrzebnych procesów </w:t>
            </w:r>
            <w:proofErr w:type="spellStart"/>
            <w:r w:rsidRPr="00E02F30">
              <w:rPr>
                <w:rFonts w:eastAsia="Times New Roman" w:cs="Arial"/>
                <w:snapToGrid w:val="0"/>
                <w:sz w:val="20"/>
                <w:szCs w:val="20"/>
                <w:lang w:eastAsia="pl-PL"/>
              </w:rPr>
              <w:t>upochodniania</w:t>
            </w:r>
            <w:proofErr w:type="spellEnd"/>
            <w:r w:rsidRPr="00E02F30">
              <w:rPr>
                <w:rFonts w:eastAsia="Times New Roman" w:cs="Arial"/>
                <w:snapToGrid w:val="0"/>
                <w:sz w:val="20"/>
                <w:szCs w:val="20"/>
                <w:lang w:eastAsia="pl-PL"/>
              </w:rPr>
              <w:t xml:space="preserve"> tj. </w:t>
            </w:r>
            <w:proofErr w:type="spellStart"/>
            <w:r w:rsidRPr="00E02F30">
              <w:rPr>
                <w:rFonts w:eastAsia="Times New Roman" w:cs="Arial"/>
                <w:snapToGrid w:val="0"/>
                <w:sz w:val="20"/>
                <w:szCs w:val="20"/>
                <w:lang w:eastAsia="pl-PL"/>
              </w:rPr>
              <w:t>derywatyzacji</w:t>
            </w:r>
            <w:proofErr w:type="spellEnd"/>
            <w:r w:rsidRPr="00E02F30">
              <w:rPr>
                <w:rFonts w:eastAsia="Times New Roman" w:cs="Arial"/>
                <w:snapToGrid w:val="0"/>
                <w:sz w:val="20"/>
                <w:szCs w:val="20"/>
                <w:lang w:eastAsia="pl-PL"/>
              </w:rPr>
              <w:t xml:space="preserve"> (np. stosowania grup blokujących lub ochronnych) </w:t>
            </w:r>
          </w:p>
          <w:p w14:paraId="33DB1E17"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napToGrid w:val="0"/>
                <w:sz w:val="20"/>
                <w:szCs w:val="20"/>
              </w:rPr>
              <w:t>stosowanie katalitycznych odczynników, które są zazwyczaj nadrzędne dla stechiometrycznych odczynników.</w:t>
            </w:r>
          </w:p>
        </w:tc>
        <w:tc>
          <w:tcPr>
            <w:tcW w:w="6271" w:type="dxa"/>
          </w:tcPr>
          <w:p w14:paraId="781E2D5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Przed wprowadzeniem nowych procesów produkcyjnych w 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w:t>
            </w:r>
            <w:proofErr w:type="spellStart"/>
            <w:r w:rsidRPr="00E02F30">
              <w:rPr>
                <w:rFonts w:eastAsia="Times New Roman" w:cs="Arial"/>
                <w:sz w:val="20"/>
                <w:szCs w:val="20"/>
                <w:lang w:eastAsia="pl-PL"/>
              </w:rPr>
              <w:t>o.o.prowadzone</w:t>
            </w:r>
            <w:proofErr w:type="spellEnd"/>
            <w:r w:rsidRPr="00E02F30">
              <w:rPr>
                <w:rFonts w:eastAsia="Times New Roman" w:cs="Arial"/>
                <w:sz w:val="20"/>
                <w:szCs w:val="20"/>
                <w:lang w:eastAsia="pl-PL"/>
              </w:rPr>
              <w:t xml:space="preserve"> są prace rozwojowe obejmujące identyfikację kwestii środowiskowych, zdrowotnych oraz bezpieczeństwa. Funkcjonuje procedura "Projektowanie wyrobu". W oparciu o tę procedurę dokonuje się etapowej realizacji projektu z uwzględnieniem wszystkich występujących aspektów środowiskowych, w tym opracowanie dokumentacji prób, przegląd wyników, itp.</w:t>
            </w:r>
          </w:p>
          <w:p w14:paraId="38BDA23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Ponadto corocznie Zarząd Spółki analizuje wielkości zużycia surowców, opakowań, materiałów, energii i jej nośników, wody oraz wielkości emisji gazów i pyłów, ścieków i odpadów. Bieżąca analiza zużyć przez kierowników instalacji  na podstawie wyników monitoringu (pomiarów).</w:t>
            </w:r>
          </w:p>
          <w:p w14:paraId="5E05FD50"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p>
        </w:tc>
      </w:tr>
      <w:tr w:rsidR="00E02F30" w:rsidRPr="00E02F30" w14:paraId="2A637F36" w14:textId="77777777" w:rsidTr="00A1631B">
        <w:tc>
          <w:tcPr>
            <w:tcW w:w="4361" w:type="dxa"/>
          </w:tcPr>
          <w:p w14:paraId="25DD226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Wykonanie przemyślanej oceny bezpieczeństwa dla normalnej operacji i uwzględnienie skutków odchyleń w procesie chemicznym i w funkcjonowaniu instalacji. </w:t>
            </w:r>
          </w:p>
          <w:p w14:paraId="2F7E789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jednej bądź kombinacji następujących technik:</w:t>
            </w:r>
          </w:p>
          <w:p w14:paraId="21E49C76"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właściwe procedury organizacyjne,</w:t>
            </w:r>
          </w:p>
          <w:p w14:paraId="5A531469"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koncepcje dotyczące technik regulacji,</w:t>
            </w:r>
          </w:p>
          <w:p w14:paraId="4042ED2A"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narzędzia unieszkodliwiania reakcji chemicznych (np. neutralizacja, hartowanie),</w:t>
            </w:r>
          </w:p>
          <w:p w14:paraId="6291491C"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chłodzenie awaryjne,</w:t>
            </w:r>
          </w:p>
          <w:p w14:paraId="7AAEA3BD"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konstrukcja wytrzymała na zmiany ciśnienia,</w:t>
            </w:r>
          </w:p>
          <w:p w14:paraId="18CC916F" w14:textId="77777777" w:rsidR="00E02F30" w:rsidRPr="00E02F30" w:rsidRDefault="00E02F30">
            <w:pPr>
              <w:keepNext/>
              <w:numPr>
                <w:ilvl w:val="0"/>
                <w:numId w:val="80"/>
              </w:numPr>
              <w:spacing w:before="60" w:after="60" w:line="240" w:lineRule="auto"/>
              <w:ind w:left="386" w:hanging="284"/>
              <w:jc w:val="both"/>
              <w:rPr>
                <w:rFonts w:eastAsia="Times New Roman" w:cs="Arial"/>
                <w:snapToGrid w:val="0"/>
                <w:sz w:val="20"/>
                <w:szCs w:val="20"/>
                <w:lang w:eastAsia="pl-PL"/>
              </w:rPr>
            </w:pPr>
            <w:r w:rsidRPr="00E02F30">
              <w:rPr>
                <w:rFonts w:eastAsia="Times New Roman" w:cs="Arial"/>
                <w:snapToGrid w:val="0"/>
                <w:sz w:val="20"/>
                <w:szCs w:val="20"/>
                <w:lang w:eastAsia="pl-PL"/>
              </w:rPr>
              <w:t>zawory upustowe</w:t>
            </w:r>
          </w:p>
          <w:p w14:paraId="7AF407E4"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z w:val="20"/>
                <w:szCs w:val="20"/>
              </w:rPr>
              <w:t>w celu zapewnienia odpowiedniej kontroli procesu.</w:t>
            </w:r>
          </w:p>
        </w:tc>
        <w:tc>
          <w:tcPr>
            <w:tcW w:w="6271" w:type="dxa"/>
          </w:tcPr>
          <w:p w14:paraId="7EDFBB5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 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w:t>
            </w:r>
            <w:proofErr w:type="spellStart"/>
            <w:r w:rsidRPr="00E02F30">
              <w:rPr>
                <w:rFonts w:eastAsia="Times New Roman" w:cs="Arial"/>
                <w:sz w:val="20"/>
                <w:szCs w:val="20"/>
                <w:lang w:eastAsia="pl-PL"/>
              </w:rPr>
              <w:t>o.o.opracowano</w:t>
            </w:r>
            <w:proofErr w:type="spellEnd"/>
            <w:r w:rsidRPr="00E02F30">
              <w:rPr>
                <w:rFonts w:eastAsia="Times New Roman" w:cs="Arial"/>
                <w:sz w:val="20"/>
                <w:szCs w:val="20"/>
                <w:lang w:eastAsia="pl-PL"/>
              </w:rPr>
              <w:t xml:space="preserve"> i wdrożono Raport o Bezpieczeństwie i Program Zapobiegania Awariom. Każdorazowo, przy modernizacji lub rozbudowie instalacji ocenia się ryzyko wpływu na środowisko i poziom zagrożeń w ramach Programu Zapobiegania Awariom. Powołano zakładowy Zespół ds. identyfikacji i oceny zagrożeń, który m.in. co najmniej raz w roku dokonuje przeglądu Programu Zapobiegania Awariom i jego aktualizacji w związku z istotnymi zmianami w technologiach i instalacjach oraz  zmianami przepisów prawnych. </w:t>
            </w:r>
          </w:p>
          <w:p w14:paraId="6823398B"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p>
        </w:tc>
      </w:tr>
      <w:tr w:rsidR="00E02F30" w:rsidRPr="00E02F30" w14:paraId="78F820A0" w14:textId="77777777" w:rsidTr="00A1631B">
        <w:tc>
          <w:tcPr>
            <w:tcW w:w="4361" w:type="dxa"/>
          </w:tcPr>
          <w:p w14:paraId="4613FBCE"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z w:val="20"/>
                <w:szCs w:val="20"/>
              </w:rPr>
              <w:t>Ustanowienie i wdrożenie procedur i środków technicznych z zamiarem ograniczenia ryzyka związanego z obsługą i magazynowaniem substancji chemicznych.</w:t>
            </w:r>
          </w:p>
        </w:tc>
        <w:tc>
          <w:tcPr>
            <w:tcW w:w="6271" w:type="dxa"/>
          </w:tcPr>
          <w:p w14:paraId="07AFE8B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w:t>
            </w:r>
            <w:proofErr w:type="spellStart"/>
            <w:r w:rsidRPr="00E02F30">
              <w:rPr>
                <w:rFonts w:eastAsia="Times New Roman" w:cs="Arial"/>
                <w:bCs/>
                <w:sz w:val="20"/>
                <w:szCs w:val="20"/>
                <w:lang w:eastAsia="pl-PL"/>
              </w:rPr>
              <w:t>o.o.posiada</w:t>
            </w:r>
            <w:proofErr w:type="spellEnd"/>
            <w:r w:rsidRPr="00E02F30">
              <w:rPr>
                <w:rFonts w:eastAsia="Times New Roman" w:cs="Arial"/>
                <w:bCs/>
                <w:sz w:val="20"/>
                <w:szCs w:val="20"/>
                <w:lang w:eastAsia="pl-PL"/>
              </w:rPr>
              <w:t xml:space="preserve"> przyjętą i realizuje politykę dotyczącą jakości, środowiska i bezpieczeństwa obejmującą zespół działań zmierzających do minimalizacji wpływu na środowisko. </w:t>
            </w:r>
          </w:p>
          <w:p w14:paraId="027FE7B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W spółce realizowane są i wdrożone:</w:t>
            </w:r>
          </w:p>
          <w:p w14:paraId="7FE8F72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System Zarządzania Jakością ISO 9001:2015, </w:t>
            </w:r>
          </w:p>
          <w:p w14:paraId="275F4CD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System Zarządzania Środowiskowego oparty na wymaganiach normy PN – EN ISO 14001:2015 </w:t>
            </w:r>
          </w:p>
          <w:p w14:paraId="0E12EC2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System Zarządzania Bezpieczeństwem oparty na wymaganiach normy PN ISO 45001:2018.W ramach systemu zarządzania środowiskowego wdrożone zostały odpowiednie procedury i środki techniczne służące ograniczeniu ryzyka związanych z obsługą i magazynowaniem substancji chemicznych.</w:t>
            </w:r>
          </w:p>
          <w:p w14:paraId="06FB7D07"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4CBD6962" w14:textId="77777777" w:rsidTr="00A1631B">
        <w:tc>
          <w:tcPr>
            <w:tcW w:w="4361" w:type="dxa"/>
          </w:tcPr>
          <w:p w14:paraId="620884F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Zapewnienie wystarczającego i odpowiedniego szkolenia dla operatorów, którzy zarządzają niebezpiecznymi substancjami.</w:t>
            </w:r>
          </w:p>
        </w:tc>
        <w:tc>
          <w:tcPr>
            <w:tcW w:w="6271" w:type="dxa"/>
          </w:tcPr>
          <w:p w14:paraId="7BE21F3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ramach systemu zarządzania w zakładzie funkcjonują wdrożone procedury operacyjne oraz procedura w zakresie szkolenia pracowników i nadzoru. W obszarze tym prowadzone są zapisy.</w:t>
            </w:r>
          </w:p>
          <w:p w14:paraId="2CD399B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Ponadto szkolenia okresowe bhp są rozszerzone o zagadnienia ochrony środowiska. Kadra kierownicza składa egzaminy z tego zakresu. Istnieje Wewnętrzny Plan Operacyjno-Ratowniczy, z którego wyciąg jest podstawą przeszkolenia pracowników, obok szkolenia podstawowego. Jest to realizacja procedury ćwiczeń czyli przygotowania i reakcji na niebezpieczeństwo w tym awarię.</w:t>
            </w:r>
          </w:p>
        </w:tc>
      </w:tr>
      <w:tr w:rsidR="00E02F30" w:rsidRPr="00E02F30" w14:paraId="79B68AF3" w14:textId="77777777" w:rsidTr="00A1631B">
        <w:tc>
          <w:tcPr>
            <w:tcW w:w="10632" w:type="dxa"/>
            <w:gridSpan w:val="2"/>
          </w:tcPr>
          <w:p w14:paraId="1980B543" w14:textId="77777777" w:rsidR="00E02F30" w:rsidRPr="00E02F30" w:rsidRDefault="00E02F30" w:rsidP="00E02F30">
            <w:pPr>
              <w:tabs>
                <w:tab w:val="center" w:pos="4536"/>
                <w:tab w:val="right" w:pos="9072"/>
              </w:tabs>
              <w:spacing w:after="0" w:line="240" w:lineRule="auto"/>
              <w:jc w:val="center"/>
              <w:rPr>
                <w:rFonts w:eastAsia="Times New Roman" w:cs="Arial"/>
                <w:sz w:val="20"/>
                <w:szCs w:val="20"/>
                <w:lang w:val="x-none" w:eastAsia="pl-PL"/>
              </w:rPr>
            </w:pPr>
            <w:r w:rsidRPr="00E02F30">
              <w:rPr>
                <w:rFonts w:eastAsia="Times New Roman" w:cs="Arial"/>
                <w:b/>
                <w:sz w:val="20"/>
                <w:szCs w:val="20"/>
                <w:lang w:val="x-none" w:eastAsia="pl-PL"/>
              </w:rPr>
              <w:t>Minimalizacja oddziaływania na środowisko</w:t>
            </w:r>
          </w:p>
        </w:tc>
      </w:tr>
      <w:tr w:rsidR="00E02F30" w:rsidRPr="00E02F30" w14:paraId="127B993B" w14:textId="77777777" w:rsidTr="00A1631B">
        <w:tc>
          <w:tcPr>
            <w:tcW w:w="4361" w:type="dxa"/>
          </w:tcPr>
          <w:p w14:paraId="6AFD94A5"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z w:val="20"/>
                <w:szCs w:val="20"/>
              </w:rPr>
              <w:t>Zaprojektowanie, budowanie, eksploatowanie i utrzymanie udogodnień w placówkach gdzie przechowywanie substancji (przeważnie ciekłych) stwarza potencjalne ryzyko zanieczyszczenia gleby i wód gruntowych, w celu zminimalizowania skutków potencjalnego wycieku. Urządzenia powinny być szczelne, trwałe i wystarczająco odporne na wszelkie możliwe mechaniczne, termiczne czy chemiczne obciążenia.</w:t>
            </w:r>
          </w:p>
        </w:tc>
        <w:tc>
          <w:tcPr>
            <w:tcW w:w="6271" w:type="dxa"/>
          </w:tcPr>
          <w:p w14:paraId="1D3C6E4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Instalacje i zbiorniki w zakładzie 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w:t>
            </w:r>
            <w:proofErr w:type="spellStart"/>
            <w:r w:rsidRPr="00E02F30">
              <w:rPr>
                <w:rFonts w:eastAsia="Times New Roman" w:cs="Arial"/>
                <w:bCs/>
                <w:sz w:val="20"/>
                <w:szCs w:val="20"/>
                <w:lang w:eastAsia="pl-PL"/>
              </w:rPr>
              <w:t>o.o.są</w:t>
            </w:r>
            <w:proofErr w:type="spellEnd"/>
            <w:r w:rsidRPr="00E02F30">
              <w:rPr>
                <w:rFonts w:eastAsia="Times New Roman" w:cs="Arial"/>
                <w:bCs/>
                <w:sz w:val="20"/>
                <w:szCs w:val="20"/>
                <w:lang w:eastAsia="pl-PL"/>
              </w:rPr>
              <w:t xml:space="preserve"> zaprojektowane, wykonane i prowadzone w sposób zapobiegający awariom przemysłowym i ograniczający ich skutki dla ludzi i środowiska. </w:t>
            </w:r>
          </w:p>
          <w:p w14:paraId="325EBE9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Zbiorniki są wykonane z odpowiednich materiałów (trwałych i odpornych). Zapobieganie korozji i erozji następuje poprzez zabezpieczenia antykorozyjne (malowanie).</w:t>
            </w:r>
          </w:p>
          <w:p w14:paraId="77C317F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Zbiorniki wyposażone są w urządzenia do pomiaru poziomu napełniania i zapobiegające ich przepełnieniu. Zlokalizowane są w misach bezodpływowych do wyłapywania ewentualnych przecieków magazynowanych substancji. </w:t>
            </w:r>
          </w:p>
        </w:tc>
      </w:tr>
      <w:tr w:rsidR="00E02F30" w:rsidRPr="00E02F30" w14:paraId="52A87866" w14:textId="77777777" w:rsidTr="00A1631B">
        <w:tc>
          <w:tcPr>
            <w:tcW w:w="4361" w:type="dxa"/>
          </w:tcPr>
          <w:p w14:paraId="2AB223F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Ochrona gleby i jej potencjał retencyjny</w:t>
            </w:r>
          </w:p>
          <w:p w14:paraId="0F1A3856"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z w:val="20"/>
                <w:szCs w:val="20"/>
              </w:rPr>
              <w:t>Szybkie rozpoznanie i reagowanie na wycieki.</w:t>
            </w:r>
          </w:p>
        </w:tc>
        <w:tc>
          <w:tcPr>
            <w:tcW w:w="6271" w:type="dxa"/>
          </w:tcPr>
          <w:p w14:paraId="7BEFF5E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 ramach systemu zarządzania środowiskowego wdrożone zostały odpowiednie procedury rozpoznawania i reagowania w przypadku wycieków. Zbiorniki wyposażone są w odpowiednie systemy zabezpieczające przed przepełnieniem. </w:t>
            </w:r>
          </w:p>
          <w:p w14:paraId="3FB9CE1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bCs/>
                <w:sz w:val="20"/>
                <w:szCs w:val="20"/>
                <w:lang w:eastAsia="pl-PL"/>
              </w:rPr>
              <w:t xml:space="preserve">Magazyny zbiorników wyposażone są w półstałą instalację do gaszenia pożaru pianą oraz podręczny sprzęt gaśniczy (gaśnice). Do wyłapywania przecieków i wód </w:t>
            </w:r>
            <w:proofErr w:type="spellStart"/>
            <w:r w:rsidRPr="00E02F30">
              <w:rPr>
                <w:rFonts w:eastAsia="Times New Roman" w:cs="Arial"/>
                <w:bCs/>
                <w:sz w:val="20"/>
                <w:szCs w:val="20"/>
                <w:lang w:eastAsia="pl-PL"/>
              </w:rPr>
              <w:t>pogaśniczych</w:t>
            </w:r>
            <w:proofErr w:type="spellEnd"/>
            <w:r w:rsidRPr="00E02F30">
              <w:rPr>
                <w:rFonts w:eastAsia="Times New Roman" w:cs="Arial"/>
                <w:bCs/>
                <w:sz w:val="20"/>
                <w:szCs w:val="20"/>
                <w:lang w:eastAsia="pl-PL"/>
              </w:rPr>
              <w:t xml:space="preserve"> na wypadek awarii służą misy i tace. </w:t>
            </w:r>
            <w:r w:rsidRPr="00E02F30">
              <w:rPr>
                <w:rFonts w:eastAsia="Times New Roman" w:cs="Arial"/>
                <w:sz w:val="20"/>
                <w:szCs w:val="20"/>
                <w:lang w:eastAsia="pl-PL"/>
              </w:rPr>
              <w:t xml:space="preserve">W zbiornikach z cieczami palnymi utrzymywana jest atmosfera gazu </w:t>
            </w:r>
            <w:proofErr w:type="spellStart"/>
            <w:r w:rsidRPr="00E02F30">
              <w:rPr>
                <w:rFonts w:eastAsia="Times New Roman" w:cs="Arial"/>
                <w:sz w:val="20"/>
                <w:szCs w:val="20"/>
                <w:lang w:eastAsia="pl-PL"/>
              </w:rPr>
              <w:t>inertnego</w:t>
            </w:r>
            <w:proofErr w:type="spellEnd"/>
            <w:r w:rsidRPr="00E02F30">
              <w:rPr>
                <w:rFonts w:eastAsia="Times New Roman" w:cs="Arial"/>
                <w:sz w:val="20"/>
                <w:szCs w:val="20"/>
                <w:lang w:eastAsia="pl-PL"/>
              </w:rPr>
              <w:t xml:space="preserve"> (azotu).</w:t>
            </w:r>
          </w:p>
          <w:p w14:paraId="562488F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Ponadto zakład posiada wymaganą dokumentację związaną z ich zakwalifikowaniem do grupy zakładów dużego ryzyka wystąpienia poważnej awarii przemysłowej, w tym: zgłoszenie, program zapobiegania awariom, raport o bezpieczeństwie oraz wewnętrzny i zewnętrzny plan operacyjno-ratowniczy.</w:t>
            </w:r>
          </w:p>
        </w:tc>
      </w:tr>
      <w:tr w:rsidR="00E02F30" w:rsidRPr="00E02F30" w14:paraId="3055B2EA" w14:textId="77777777" w:rsidTr="00A1631B">
        <w:tc>
          <w:tcPr>
            <w:tcW w:w="4361" w:type="dxa"/>
          </w:tcPr>
          <w:p w14:paraId="241FD22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Zapewnienie wystarczającej objętości retencji w celu bezpiecznego zatrzymania wycieków substancji i następnie umożliwienia ich odzysku lub unieszkodliwiania. </w:t>
            </w:r>
          </w:p>
          <w:p w14:paraId="73CCCCC5"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z w:val="20"/>
                <w:szCs w:val="20"/>
              </w:rPr>
              <w:t>Zapewnienie wystarczających objętości retencyjnych w celu bezpiecznego przechowywania wody gaśniczej i zanieczyszczonych wód powierzchniowych.</w:t>
            </w:r>
          </w:p>
        </w:tc>
        <w:tc>
          <w:tcPr>
            <w:tcW w:w="6271" w:type="dxa"/>
          </w:tcPr>
          <w:p w14:paraId="12D895C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Zbiorniki magazynowe usytuowane są na szczelnej tacy pozwalającej na zatrzymanie i zebranie potencjalnych wycieków, wody gaśniczej w przypadku ewentualnego pożaru oraz zanieczyszczonych wód opadowych, a następnie ich odprowadzenie do odpowiedniego procesu odzysku lub unieszkodliwiania.</w:t>
            </w:r>
          </w:p>
          <w:p w14:paraId="19F6E90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Ścieki z misy zbiorników magazynowych są analizowane na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 xml:space="preserve">   i są zrzucane do kanalizacji zakładowej pod nadzorem. </w:t>
            </w:r>
          </w:p>
        </w:tc>
      </w:tr>
      <w:tr w:rsidR="00E02F30" w:rsidRPr="00E02F30" w14:paraId="3C9AD747" w14:textId="77777777" w:rsidTr="00A1631B">
        <w:tc>
          <w:tcPr>
            <w:tcW w:w="4361" w:type="dxa"/>
          </w:tcPr>
          <w:p w14:paraId="62BD95E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następujących technik:</w:t>
            </w:r>
          </w:p>
          <w:p w14:paraId="1E2C58B2"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załadunek i rozładunek możliwy tylko w wyznaczonych miejscach zabezpieczonych przed niekontrolowanym wyciekiem,</w:t>
            </w:r>
          </w:p>
          <w:p w14:paraId="26536AB9"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magazynowanie i gromadzenie materiałów przeznaczonych do usunięcia w wyznaczonych miejscach zabezpieczonych przed niekontrolowanym wyciekiem,</w:t>
            </w:r>
          </w:p>
          <w:p w14:paraId="69320EAD"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wyposażenie wszystkich studzienek ściekowych lub innych pomieszczeń zakładu, gdzie może powstać wyciek, w systemy alarmowe reagujące na wysoki poziom cieczy lub w systematyczny nadzór personelu,</w:t>
            </w:r>
          </w:p>
          <w:p w14:paraId="4069EA06"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ustanowienie programów testujących i nadzorujących zbiorniki i rurociągi wyposażone w kołnierze i zawory,</w:t>
            </w:r>
          </w:p>
          <w:p w14:paraId="3A43C697"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zapewnienie urządzeń kontrolujących wycieki, takich jak wysięgniki zamknięcia i odpowiednie materiały absorbujące,</w:t>
            </w:r>
          </w:p>
          <w:p w14:paraId="55266399"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testowanie struktury obwałowań zbiorników,</w:t>
            </w:r>
          </w:p>
          <w:p w14:paraId="3CC7CF21"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z w:val="20"/>
                <w:szCs w:val="20"/>
              </w:rPr>
              <w:t>wyposażenie zbiorników w urządzenia chroniące przed przepełnieniem.</w:t>
            </w:r>
          </w:p>
        </w:tc>
        <w:tc>
          <w:tcPr>
            <w:tcW w:w="6271" w:type="dxa"/>
          </w:tcPr>
          <w:p w14:paraId="58620A1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Wszystkie procesy produkcyjne monitorowane są w systemach aparatury kontrolno-pomiarowej i komputerowych, w tym także praca urządzeń oczyszczających. Wizualizacja podstawowych parametrów pracy, jak też sygnalizacja stanów </w:t>
            </w:r>
            <w:proofErr w:type="spellStart"/>
            <w:r w:rsidRPr="00E02F30">
              <w:rPr>
                <w:rFonts w:eastAsia="Times New Roman" w:cs="Arial"/>
                <w:sz w:val="20"/>
                <w:szCs w:val="20"/>
                <w:lang w:eastAsia="pl-PL"/>
              </w:rPr>
              <w:t>przedawaryjnych</w:t>
            </w:r>
            <w:proofErr w:type="spellEnd"/>
            <w:r w:rsidRPr="00E02F30">
              <w:rPr>
                <w:rFonts w:eastAsia="Times New Roman" w:cs="Arial"/>
                <w:sz w:val="20"/>
                <w:szCs w:val="20"/>
                <w:lang w:eastAsia="pl-PL"/>
              </w:rPr>
              <w:t>, pozwala w porę reagować na ewentualne zakłócenia. Tam gdzie nie ma pełnego sterowania mikroprocesorowego, monitoring prowadzony jest przy pomocy różnych czujników oraz pobieranie prób z uzasadnioną doświadczeniami częstotliwością i określonych w instrukcjach technologicznych. Np. stężenie substancji w cieczy pochłaniającej w absorberach  badane jest z częstotliwością określoną w instrukcjach, co gwarantuje wymianę roztworu przed wyczerpaniem zapobiega przebiciu gazów.</w:t>
            </w:r>
          </w:p>
          <w:p w14:paraId="4429094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Prowadzone są coroczne przeglądy obiektów budowlanych (w tym tac magazynowych) przez zewnętrzną jednostkę posiadającą stosowne uprawnienia budowlane.</w:t>
            </w:r>
          </w:p>
          <w:p w14:paraId="755630EC"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Prowadzone są cykliczne przeglądy stanu technicznego zbiorników substancji niebezpiecznych przez jednostkę UDT.</w:t>
            </w:r>
          </w:p>
          <w:p w14:paraId="069FD429"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eastAsia="pl-PL"/>
              </w:rPr>
            </w:pPr>
          </w:p>
        </w:tc>
      </w:tr>
      <w:tr w:rsidR="00E02F30" w:rsidRPr="00E02F30" w14:paraId="59A86480" w14:textId="77777777" w:rsidTr="00A1631B">
        <w:tc>
          <w:tcPr>
            <w:tcW w:w="4361" w:type="dxa"/>
          </w:tcPr>
          <w:p w14:paraId="1B4182F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Minimalizacja emisji lotnych związków organicznych (VOC). Zamknięcie źródeł</w:t>
            </w:r>
          </w:p>
          <w:p w14:paraId="3B4A95E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Hamowanie i odgraniczanie źródeł oraz zamykanie wszelkich otworów w celu zminimalizowania ilości niezorganizowanych emisji zanieczyszczeń.</w:t>
            </w:r>
          </w:p>
          <w:p w14:paraId="376573A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Umożliwienie suszenia przy zastosowaniu obwodów zamkniętych, łącznie ze skraplaczami do odzysku rozpuszczalników.</w:t>
            </w:r>
          </w:p>
          <w:p w14:paraId="4A133C2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Nadzorowanie szczelnego zamknięcia urządzeń podczas płukania i czyszczenia z wykorzystaniem rozpuszczalników.</w:t>
            </w:r>
          </w:p>
          <w:p w14:paraId="5EF7F750"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z w:val="20"/>
                <w:szCs w:val="20"/>
              </w:rPr>
              <w:t>Wykorzystanie recyrkulacji powietrza po odpowietrzeniu instalacji wtedy, gdy pozwalają na to wymagania dot. czystości.</w:t>
            </w:r>
          </w:p>
        </w:tc>
        <w:tc>
          <w:tcPr>
            <w:tcW w:w="6271" w:type="dxa"/>
          </w:tcPr>
          <w:p w14:paraId="69D7B305" w14:textId="77777777" w:rsidR="00E02F30" w:rsidRPr="00E02F30" w:rsidRDefault="00E02F30" w:rsidP="00E02F30">
            <w:pPr>
              <w:spacing w:after="0" w:line="240" w:lineRule="auto"/>
              <w:jc w:val="both"/>
              <w:rPr>
                <w:rFonts w:eastAsia="Times New Roman" w:cs="Arial"/>
                <w:sz w:val="20"/>
                <w:szCs w:val="20"/>
                <w:u w:val="single"/>
                <w:lang w:eastAsia="pl-PL"/>
              </w:rPr>
            </w:pPr>
            <w:r w:rsidRPr="00E02F30">
              <w:rPr>
                <w:rFonts w:eastAsia="Times New Roman" w:cs="Arial"/>
                <w:sz w:val="20"/>
                <w:szCs w:val="20"/>
                <w:lang w:eastAsia="pl-PL"/>
              </w:rPr>
              <w:t>Wymagania BAT dla Instalacji spełnione poprzez</w:t>
            </w:r>
            <w:r w:rsidRPr="00E02F30">
              <w:rPr>
                <w:rFonts w:eastAsia="Times New Roman" w:cs="Arial"/>
                <w:sz w:val="20"/>
                <w:szCs w:val="20"/>
                <w:u w:val="single"/>
                <w:lang w:eastAsia="pl-PL"/>
              </w:rPr>
              <w:t>:</w:t>
            </w:r>
          </w:p>
          <w:p w14:paraId="12FBA36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hermetyzacja przy rozładunku surowców z cystern kolejowych i autocystern (wahadła gazowe)</w:t>
            </w:r>
          </w:p>
          <w:p w14:paraId="5AB979E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zamknięcia przestrzeni gazowych zbiorników magazynowych surowców zamknięciami cieczowymi wypełnionymi roztworem NaOH</w:t>
            </w:r>
          </w:p>
          <w:p w14:paraId="188706B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hermetyzacja aparatów i urządzeń w węzłach produkcyjnych instalacji z odprowadzeniem strumieni </w:t>
            </w:r>
            <w:proofErr w:type="spellStart"/>
            <w:r w:rsidRPr="00E02F30">
              <w:rPr>
                <w:rFonts w:eastAsia="Times New Roman" w:cs="Arial"/>
                <w:sz w:val="20"/>
                <w:szCs w:val="20"/>
                <w:lang w:eastAsia="pl-PL"/>
              </w:rPr>
              <w:t>odgazów</w:t>
            </w:r>
            <w:proofErr w:type="spellEnd"/>
            <w:r w:rsidRPr="00E02F30">
              <w:rPr>
                <w:rFonts w:eastAsia="Times New Roman" w:cs="Arial"/>
                <w:sz w:val="20"/>
                <w:szCs w:val="20"/>
                <w:lang w:eastAsia="pl-PL"/>
              </w:rPr>
              <w:t xml:space="preserve"> do układów redukujących ilość szkodliwych substancji odprowadzanych do atmosfery (układy absorpcji i adsorpcji)</w:t>
            </w:r>
          </w:p>
          <w:p w14:paraId="0F1A366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zamknięty obieg azotu  w węźle suszenia</w:t>
            </w:r>
          </w:p>
          <w:p w14:paraId="7BA5308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urządzenia odpylające w węzłach, w których występują operacje rozładunku surowców stałych </w:t>
            </w:r>
          </w:p>
          <w:p w14:paraId="0B42BC1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Proces produkcji realizowany jest w instalacji zamkniętej (rurociągi, zbiorniki, reaktor). Jakiekolwiek wycieki ,emisja awaryjna są sygnalizowane przez „czujki” i są natychmiast usuwane.</w:t>
            </w:r>
          </w:p>
          <w:p w14:paraId="1A35FE7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hermetyzacja przy rozładunku surowców z cystern kolejowych i autocystern (wahadła gazowe)</w:t>
            </w:r>
          </w:p>
          <w:p w14:paraId="246F113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hermetyzacja aparatów i urządzeń w węzłach produkcyjnych instalacji z odprowadzeniem strumieni </w:t>
            </w:r>
            <w:proofErr w:type="spellStart"/>
            <w:r w:rsidRPr="00E02F30">
              <w:rPr>
                <w:rFonts w:eastAsia="Times New Roman" w:cs="Arial"/>
                <w:sz w:val="20"/>
                <w:szCs w:val="20"/>
                <w:lang w:eastAsia="pl-PL"/>
              </w:rPr>
              <w:t>odgazów</w:t>
            </w:r>
            <w:proofErr w:type="spellEnd"/>
            <w:r w:rsidRPr="00E02F30">
              <w:rPr>
                <w:rFonts w:eastAsia="Times New Roman" w:cs="Arial"/>
                <w:sz w:val="20"/>
                <w:szCs w:val="20"/>
                <w:lang w:eastAsia="pl-PL"/>
              </w:rPr>
              <w:t xml:space="preserve"> do układów redukujących ilość szkodliwych substancji odprowadzanych do atmosfery (układy adsorpcji)</w:t>
            </w:r>
          </w:p>
          <w:p w14:paraId="53F42E7D"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p>
        </w:tc>
      </w:tr>
      <w:tr w:rsidR="00E02F30" w:rsidRPr="00E02F30" w14:paraId="4ABC014D" w14:textId="77777777" w:rsidTr="00A1631B">
        <w:trPr>
          <w:trHeight w:val="1729"/>
        </w:trPr>
        <w:tc>
          <w:tcPr>
            <w:tcW w:w="4361" w:type="dxa"/>
          </w:tcPr>
          <w:p w14:paraId="2C245C57"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z w:val="20"/>
                <w:szCs w:val="20"/>
              </w:rPr>
              <w:t>Zamykanie wszelkich zbytecznych otworów w celu zapobiegnięcia zassaniu powietrza do układu kolektorowego gazu przez urządzenia technologiczne</w:t>
            </w:r>
          </w:p>
        </w:tc>
        <w:tc>
          <w:tcPr>
            <w:tcW w:w="6271" w:type="dxa"/>
          </w:tcPr>
          <w:p w14:paraId="09F7474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Urządzenia technologicznie są szczelnie zabezpieczone przed zasysaniem powietrza i hermetyzowane do układów redukujących ilość szkodliwych substancji.</w:t>
            </w:r>
          </w:p>
          <w:p w14:paraId="6E76482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Proces produkcji realizowany jest w instalacji zamkniętej (rurociągi, zbiorniki, reaktor). Urządzenia technologicznie są szczelnie zabezpieczone przed zasysaniem powietrza i hermetyzowane do  układów redukujących ilość szkodliwych substancji.</w:t>
            </w:r>
          </w:p>
        </w:tc>
      </w:tr>
      <w:tr w:rsidR="00E02F30" w:rsidRPr="00E02F30" w14:paraId="5399BCBE" w14:textId="77777777" w:rsidTr="00A1631B">
        <w:tc>
          <w:tcPr>
            <w:tcW w:w="4361" w:type="dxa"/>
          </w:tcPr>
          <w:p w14:paraId="298AB2BA"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z w:val="20"/>
                <w:szCs w:val="20"/>
              </w:rPr>
              <w:t>Zapewnienie hermetyczności urządzeń, zwłaszcza zbiorników.</w:t>
            </w:r>
          </w:p>
        </w:tc>
        <w:tc>
          <w:tcPr>
            <w:tcW w:w="6271" w:type="dxa"/>
          </w:tcPr>
          <w:p w14:paraId="48F7558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Prowadzone są  przeglądy urządzeń służących ochronie środowiska w tym układów hermetyzacji zbiorników.</w:t>
            </w:r>
          </w:p>
        </w:tc>
      </w:tr>
      <w:tr w:rsidR="00E02F30" w:rsidRPr="00E02F30" w14:paraId="6AB01327" w14:textId="77777777" w:rsidTr="00A1631B">
        <w:tc>
          <w:tcPr>
            <w:tcW w:w="4361" w:type="dxa"/>
          </w:tcPr>
          <w:p w14:paraId="4BEA998B"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z w:val="20"/>
                <w:szCs w:val="20"/>
              </w:rPr>
              <w:t xml:space="preserve">Zastosowanie </w:t>
            </w:r>
            <w:proofErr w:type="spellStart"/>
            <w:r w:rsidRPr="00E02F30">
              <w:rPr>
                <w:rFonts w:eastAsia="Times New Roman" w:cs="Arial"/>
                <w:sz w:val="20"/>
                <w:szCs w:val="20"/>
              </w:rPr>
              <w:t>inertyzacj</w:t>
            </w:r>
            <w:proofErr w:type="spellEnd"/>
            <w:r w:rsidRPr="00E02F30">
              <w:rPr>
                <w:rFonts w:eastAsia="Times New Roman" w:cs="Arial"/>
                <w:sz w:val="20"/>
                <w:szCs w:val="20"/>
              </w:rPr>
              <w:t xml:space="preserve"> uderzeniowej zamiast ciągłej.</w:t>
            </w:r>
          </w:p>
        </w:tc>
        <w:tc>
          <w:tcPr>
            <w:tcW w:w="6271" w:type="dxa"/>
          </w:tcPr>
          <w:p w14:paraId="02113F2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Stosowanie azotu na poduszkę w zbiornikach z wykorzystaniem zaworów oddechowych.</w:t>
            </w:r>
          </w:p>
        </w:tc>
      </w:tr>
      <w:tr w:rsidR="00E02F30" w:rsidRPr="00E02F30" w14:paraId="001D3022" w14:textId="77777777" w:rsidTr="00A1631B">
        <w:tc>
          <w:tcPr>
            <w:tcW w:w="4361" w:type="dxa"/>
          </w:tcPr>
          <w:p w14:paraId="7FDBBF8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Dodawanie cieczy do zbiorników przez zasilanie od dołu lub za pomocą rury zanurzeniowej, chyba że względy reakcji i/lub bezpieczeństwa sprawiają, iż jest to praktycznie niewykonalne. W takich przypadkach, dodawanie cieczy przez zasilanie od góry za pomocą rury skierowanej na ścianę ogranicza rozpryskiwanie, a przez to zmniejsza ładunek organiczny w wypieranym gazie.</w:t>
            </w:r>
          </w:p>
          <w:p w14:paraId="2C4F47EE" w14:textId="77777777" w:rsidR="00E02F30" w:rsidRPr="00E02F30" w:rsidRDefault="00E02F30" w:rsidP="00E02F30">
            <w:pPr>
              <w:autoSpaceDE w:val="0"/>
              <w:autoSpaceDN w:val="0"/>
              <w:adjustRightInd w:val="0"/>
              <w:spacing w:after="0" w:line="240" w:lineRule="auto"/>
              <w:rPr>
                <w:rFonts w:eastAsia="Calibri" w:cs="Arial"/>
                <w:sz w:val="20"/>
                <w:szCs w:val="20"/>
              </w:rPr>
            </w:pPr>
            <w:r w:rsidRPr="00E02F30">
              <w:rPr>
                <w:rFonts w:eastAsia="Times New Roman" w:cs="Arial"/>
                <w:sz w:val="20"/>
                <w:szCs w:val="20"/>
              </w:rPr>
              <w:t>W przypadku dodawania do zbiornika zarówno substancji stałych, jak i cieczy organicznych, wykorzystanie substancji stałych jako osłony w przypadkach, gdy różnica gęstości sprzyja zmniejszeniu ładunku organicznego w wypieranym gazie, chyba że względy reakcji chemicznej i/lub bezpieczeństwa sprawiają, iż jest to praktycznie niewykonalne</w:t>
            </w:r>
          </w:p>
        </w:tc>
        <w:tc>
          <w:tcPr>
            <w:tcW w:w="6271" w:type="dxa"/>
          </w:tcPr>
          <w:p w14:paraId="78873D9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Zbiorniki zasilane cieczami łatwo-lotnymi za pomocą rury zanurzeniowej lub w przypadku konieczności mieszania rurami zanurzeniowymi z inżektorami.</w:t>
            </w:r>
          </w:p>
          <w:p w14:paraId="7753AD2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Zasyp substancji stałych odbywa się równocześnie z dozowaniem cieczy organicznych</w:t>
            </w:r>
          </w:p>
          <w:p w14:paraId="60270B4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Na instalacji zastosowano rozdzielacz faz z </w:t>
            </w:r>
            <w:proofErr w:type="spellStart"/>
            <w:r w:rsidRPr="00E02F30">
              <w:rPr>
                <w:rFonts w:eastAsia="Times New Roman" w:cs="Arial"/>
                <w:sz w:val="20"/>
                <w:szCs w:val="20"/>
                <w:lang w:eastAsia="pl-PL"/>
              </w:rPr>
              <w:t>zasyfonowaną</w:t>
            </w:r>
            <w:proofErr w:type="spellEnd"/>
            <w:r w:rsidRPr="00E02F30">
              <w:rPr>
                <w:rFonts w:eastAsia="Times New Roman" w:cs="Arial"/>
                <w:sz w:val="20"/>
                <w:szCs w:val="20"/>
                <w:lang w:eastAsia="pl-PL"/>
              </w:rPr>
              <w:t xml:space="preserve"> rurą wprowadzającą skropliny opuszczające skraplacz. Układ destylacyjny z hermetyzacją gazy odlotowe kierowane do adsorbera węglowego zastosowano skraplacz destylacyjny z optymalizowaną konstrukcją.</w:t>
            </w:r>
          </w:p>
          <w:p w14:paraId="54E8C011" w14:textId="77777777" w:rsidR="00E02F30" w:rsidRPr="00E02F30" w:rsidRDefault="00E02F30" w:rsidP="00E02F30">
            <w:pPr>
              <w:tabs>
                <w:tab w:val="center" w:pos="4536"/>
                <w:tab w:val="right" w:pos="9072"/>
              </w:tabs>
              <w:spacing w:after="0" w:line="240" w:lineRule="auto"/>
              <w:jc w:val="both"/>
              <w:rPr>
                <w:rFonts w:eastAsia="Times New Roman" w:cs="Arial"/>
                <w:sz w:val="20"/>
                <w:szCs w:val="20"/>
                <w:lang w:val="x-none" w:eastAsia="pl-PL"/>
              </w:rPr>
            </w:pPr>
          </w:p>
        </w:tc>
      </w:tr>
      <w:tr w:rsidR="00E02F30" w:rsidRPr="00E02F30" w14:paraId="2ED07A6C" w14:textId="77777777" w:rsidTr="00A1631B">
        <w:tc>
          <w:tcPr>
            <w:tcW w:w="4361" w:type="dxa"/>
          </w:tcPr>
          <w:p w14:paraId="7ACC47A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Zminimalizowanie kumulacji szczytowych ładunków i przepływów i związanych z tym emisji zanieczyszczeń, poprzez następujące działania: </w:t>
            </w:r>
          </w:p>
          <w:p w14:paraId="09E63142" w14:textId="77777777" w:rsidR="00E02F30" w:rsidRPr="00E02F30" w:rsidRDefault="00E02F30">
            <w:pPr>
              <w:keepNext/>
              <w:numPr>
                <w:ilvl w:val="0"/>
                <w:numId w:val="80"/>
              </w:numPr>
              <w:spacing w:after="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optymalizacja planu produkcji,</w:t>
            </w:r>
          </w:p>
          <w:p w14:paraId="5EFC7370" w14:textId="77777777" w:rsidR="00E02F30" w:rsidRPr="00E02F30" w:rsidRDefault="00E02F30">
            <w:pPr>
              <w:keepNext/>
              <w:numPr>
                <w:ilvl w:val="0"/>
                <w:numId w:val="80"/>
              </w:numPr>
              <w:spacing w:after="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zastosowanie filtrów wygładzających.</w:t>
            </w:r>
          </w:p>
        </w:tc>
        <w:tc>
          <w:tcPr>
            <w:tcW w:w="6271" w:type="dxa"/>
          </w:tcPr>
          <w:p w14:paraId="15E56DF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Optymalizacja załadunku surowców do produkcji: Normy zużycia surowców, instrukcje ruchowe/ arkusze technologiczne. Plany produkcji uwzględniają zminimalizowanie kumulacji emisji zanieczyszczeń.</w:t>
            </w:r>
          </w:p>
          <w:p w14:paraId="1DB7CA16" w14:textId="77777777" w:rsidR="00E02F30" w:rsidRPr="00E02F30" w:rsidRDefault="00E02F30" w:rsidP="00E02F30">
            <w:pPr>
              <w:spacing w:after="0" w:line="240" w:lineRule="auto"/>
              <w:ind w:firstLine="709"/>
              <w:jc w:val="both"/>
              <w:rPr>
                <w:rFonts w:eastAsia="Times New Roman" w:cs="Arial"/>
                <w:sz w:val="20"/>
                <w:szCs w:val="20"/>
                <w:u w:val="single"/>
                <w:lang w:eastAsia="pl-PL"/>
              </w:rPr>
            </w:pPr>
          </w:p>
        </w:tc>
      </w:tr>
      <w:tr w:rsidR="00E02F30" w:rsidRPr="00E02F30" w14:paraId="207238D1" w14:textId="77777777" w:rsidTr="00A1631B">
        <w:tc>
          <w:tcPr>
            <w:tcW w:w="4361" w:type="dxa"/>
          </w:tcPr>
          <w:p w14:paraId="0EF53F3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Uniknięcie powstawania roztworów macierzystych o wysokim stężeniu soli lub umożliwienie powstawania roztworów macierzystych przez zastosowanie alternatywnych technik rozdziału np.: a) procesy membranowe b) procesy oparte o rozpuszczalniki c) reaktywna ekstrakcja d) lub pominięcie pośredniego oddzielania.</w:t>
            </w:r>
          </w:p>
        </w:tc>
        <w:tc>
          <w:tcPr>
            <w:tcW w:w="6271" w:type="dxa"/>
          </w:tcPr>
          <w:p w14:paraId="718669A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metody ekstrakcji za pomocą ksylenu do odzysku ortokrezolu z mieszaniny poreakcyjnej</w:t>
            </w:r>
          </w:p>
          <w:p w14:paraId="4C913677" w14:textId="77777777" w:rsidR="00E02F30" w:rsidRPr="00E02F30" w:rsidRDefault="00E02F30" w:rsidP="00E02F30">
            <w:pPr>
              <w:spacing w:after="0" w:line="240" w:lineRule="auto"/>
              <w:ind w:firstLine="709"/>
              <w:jc w:val="both"/>
              <w:rPr>
                <w:rFonts w:eastAsia="Times New Roman" w:cs="Arial"/>
                <w:sz w:val="20"/>
                <w:szCs w:val="20"/>
                <w:lang w:eastAsia="pl-PL"/>
              </w:rPr>
            </w:pPr>
          </w:p>
          <w:p w14:paraId="79E34F9D"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538512F0" w14:textId="77777777" w:rsidTr="00A1631B">
        <w:tc>
          <w:tcPr>
            <w:tcW w:w="4361" w:type="dxa"/>
          </w:tcPr>
          <w:p w14:paraId="58FA6A4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Dla procesów okresowych, ustanowienie jasnych procedur ustalania żądanego punktu końcowego reakcji.</w:t>
            </w:r>
          </w:p>
        </w:tc>
        <w:tc>
          <w:tcPr>
            <w:tcW w:w="6271" w:type="dxa"/>
          </w:tcPr>
          <w:p w14:paraId="19CC73D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Przebieg procesów okresowych jest szczegółowo opisany w instrukcjach ruchowych i monitorowany z rejestracją parametrów procesu.</w:t>
            </w:r>
          </w:p>
        </w:tc>
      </w:tr>
      <w:tr w:rsidR="00E02F30" w:rsidRPr="00E02F30" w14:paraId="61730544" w14:textId="77777777" w:rsidTr="00A1631B">
        <w:tc>
          <w:tcPr>
            <w:tcW w:w="4361" w:type="dxa"/>
          </w:tcPr>
          <w:p w14:paraId="3334697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chłodzenia pośredniego</w:t>
            </w:r>
          </w:p>
        </w:tc>
        <w:tc>
          <w:tcPr>
            <w:tcW w:w="6271" w:type="dxa"/>
          </w:tcPr>
          <w:p w14:paraId="7CBFB44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Konieczność odbioru ciepła we wszystkich procesach realizowana jest za pomocą wymienników pośrednich.</w:t>
            </w:r>
          </w:p>
        </w:tc>
      </w:tr>
      <w:tr w:rsidR="00E02F30" w:rsidRPr="00E02F30" w14:paraId="5BB66D76" w14:textId="77777777" w:rsidTr="00A1631B">
        <w:tc>
          <w:tcPr>
            <w:tcW w:w="4361" w:type="dxa"/>
          </w:tcPr>
          <w:p w14:paraId="149DF20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naziemnego zamkniętego systemu rurowego w nowych sytuacjach.</w:t>
            </w:r>
          </w:p>
          <w:p w14:paraId="0A5A8E6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Dla istniejących podziemnych systemów rurowych zastosowanie podejścia opartego na ryzyku i niezawodności.</w:t>
            </w:r>
          </w:p>
          <w:p w14:paraId="4F14A33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Minimalizacja liczby kołnierzy poprzez zastąpienie ich połączeniami spawanymi.</w:t>
            </w:r>
          </w:p>
          <w:p w14:paraId="65C61A2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Dla śrubowych połączeń kołnierzowych:</w:t>
            </w:r>
          </w:p>
          <w:p w14:paraId="7BE5DAE0" w14:textId="77777777" w:rsidR="00E02F30" w:rsidRPr="00E02F30" w:rsidRDefault="00E02F30" w:rsidP="00E02F30">
            <w:pPr>
              <w:spacing w:after="0" w:line="276" w:lineRule="auto"/>
              <w:contextualSpacing/>
              <w:rPr>
                <w:rFonts w:eastAsia="Times New Roman" w:cs="Arial"/>
                <w:sz w:val="20"/>
                <w:szCs w:val="20"/>
                <w:lang w:val="x-none" w:eastAsia="pl-PL"/>
              </w:rPr>
            </w:pPr>
            <w:r w:rsidRPr="00E02F30">
              <w:rPr>
                <w:rFonts w:eastAsia="Times New Roman" w:cs="Arial"/>
                <w:sz w:val="20"/>
                <w:szCs w:val="20"/>
                <w:lang w:eastAsia="pl-PL"/>
              </w:rPr>
              <w:t>-</w:t>
            </w:r>
            <w:r w:rsidRPr="00E02F30">
              <w:rPr>
                <w:rFonts w:eastAsia="Times New Roman" w:cs="Arial"/>
                <w:sz w:val="20"/>
                <w:szCs w:val="20"/>
                <w:lang w:val="x-none" w:eastAsia="pl-PL"/>
              </w:rPr>
              <w:t>montaż ślepych kołnierzy w rzadko używanych elemen</w:t>
            </w:r>
            <w:r w:rsidRPr="00E02F30">
              <w:rPr>
                <w:rFonts w:eastAsia="Times New Roman" w:cs="Arial"/>
                <w:sz w:val="20"/>
                <w:szCs w:val="20"/>
                <w:lang w:eastAsia="pl-PL"/>
              </w:rPr>
              <w:t>t</w:t>
            </w:r>
            <w:r w:rsidRPr="00E02F30">
              <w:rPr>
                <w:rFonts w:eastAsia="Times New Roman" w:cs="Arial"/>
                <w:sz w:val="20"/>
                <w:szCs w:val="20"/>
                <w:lang w:val="x-none" w:eastAsia="pl-PL"/>
              </w:rPr>
              <w:t>ach w celu zapobieżenia przypadkowemu otwarciu</w:t>
            </w:r>
          </w:p>
          <w:p w14:paraId="3C0AB09F" w14:textId="77777777" w:rsidR="00E02F30" w:rsidRPr="00E02F30" w:rsidRDefault="00E02F30" w:rsidP="00E02F30">
            <w:pPr>
              <w:spacing w:after="0" w:line="276" w:lineRule="auto"/>
              <w:contextualSpacing/>
              <w:rPr>
                <w:rFonts w:eastAsia="Times New Roman" w:cs="Arial"/>
                <w:sz w:val="20"/>
                <w:szCs w:val="20"/>
                <w:lang w:val="x-none" w:eastAsia="pl-PL"/>
              </w:rPr>
            </w:pPr>
            <w:r w:rsidRPr="00E02F30">
              <w:rPr>
                <w:rFonts w:eastAsia="Times New Roman" w:cs="Arial"/>
                <w:sz w:val="20"/>
                <w:szCs w:val="20"/>
                <w:lang w:eastAsia="pl-PL"/>
              </w:rPr>
              <w:t>-</w:t>
            </w:r>
            <w:r w:rsidRPr="00E02F30">
              <w:rPr>
                <w:rFonts w:eastAsia="Times New Roman" w:cs="Arial"/>
                <w:sz w:val="20"/>
                <w:szCs w:val="20"/>
                <w:lang w:val="x-none" w:eastAsia="pl-PL"/>
              </w:rPr>
              <w:t>stosowanie zaślepek lub zatyczek na końcach otwartych linii zamiast zaworów</w:t>
            </w:r>
          </w:p>
          <w:p w14:paraId="01269750" w14:textId="77777777" w:rsidR="00E02F30" w:rsidRPr="00E02F30" w:rsidRDefault="00E02F30" w:rsidP="00E02F30">
            <w:pPr>
              <w:spacing w:after="0" w:line="240" w:lineRule="auto"/>
              <w:contextualSpacing/>
              <w:rPr>
                <w:rFonts w:eastAsia="Times New Roman" w:cs="Arial"/>
                <w:sz w:val="20"/>
                <w:szCs w:val="20"/>
                <w:lang w:val="x-none" w:eastAsia="pl-PL"/>
              </w:rPr>
            </w:pPr>
            <w:r w:rsidRPr="00E02F30">
              <w:rPr>
                <w:rFonts w:eastAsia="Times New Roman" w:cs="Arial"/>
                <w:sz w:val="20"/>
                <w:szCs w:val="20"/>
                <w:lang w:eastAsia="pl-PL"/>
              </w:rPr>
              <w:t>-</w:t>
            </w:r>
            <w:r w:rsidRPr="00E02F30">
              <w:rPr>
                <w:rFonts w:eastAsia="Times New Roman" w:cs="Arial"/>
                <w:sz w:val="20"/>
                <w:szCs w:val="20"/>
                <w:lang w:val="x-none" w:eastAsia="pl-PL"/>
              </w:rPr>
              <w:t>zapewnienie wyboru właściwej uszczelki do stosowanego procesu</w:t>
            </w:r>
          </w:p>
          <w:p w14:paraId="4087797B" w14:textId="77777777" w:rsidR="00E02F30" w:rsidRPr="00E02F30" w:rsidRDefault="00E02F30" w:rsidP="00E02F30">
            <w:pPr>
              <w:spacing w:after="0" w:line="240" w:lineRule="auto"/>
              <w:contextualSpacing/>
              <w:rPr>
                <w:rFonts w:eastAsia="Times New Roman" w:cs="Arial"/>
                <w:sz w:val="20"/>
                <w:szCs w:val="20"/>
                <w:lang w:val="x-none" w:eastAsia="pl-PL"/>
              </w:rPr>
            </w:pPr>
            <w:r w:rsidRPr="00E02F30">
              <w:rPr>
                <w:rFonts w:eastAsia="Times New Roman" w:cs="Arial"/>
                <w:sz w:val="20"/>
                <w:szCs w:val="20"/>
                <w:lang w:eastAsia="pl-PL"/>
              </w:rPr>
              <w:t>-</w:t>
            </w:r>
            <w:r w:rsidRPr="00E02F30">
              <w:rPr>
                <w:rFonts w:eastAsia="Times New Roman" w:cs="Arial"/>
                <w:sz w:val="20"/>
                <w:szCs w:val="20"/>
                <w:lang w:val="x-none" w:eastAsia="pl-PL"/>
              </w:rPr>
              <w:t>zapewnienie, że uszczelka jest prawidłowo zainstalowana</w:t>
            </w:r>
          </w:p>
          <w:p w14:paraId="284C3DFA" w14:textId="77777777" w:rsidR="00E02F30" w:rsidRPr="00E02F30" w:rsidRDefault="00E02F30" w:rsidP="00E02F30">
            <w:pPr>
              <w:spacing w:after="0" w:line="240" w:lineRule="auto"/>
              <w:contextualSpacing/>
              <w:rPr>
                <w:rFonts w:eastAsia="Times New Roman" w:cs="Arial"/>
                <w:sz w:val="20"/>
                <w:szCs w:val="20"/>
                <w:lang w:val="x-none" w:eastAsia="pl-PL"/>
              </w:rPr>
            </w:pPr>
            <w:r w:rsidRPr="00E02F30">
              <w:rPr>
                <w:rFonts w:eastAsia="Times New Roman" w:cs="Arial"/>
                <w:sz w:val="20"/>
                <w:szCs w:val="20"/>
                <w:lang w:eastAsia="pl-PL"/>
              </w:rPr>
              <w:t>-</w:t>
            </w:r>
            <w:r w:rsidRPr="00E02F30">
              <w:rPr>
                <w:rFonts w:eastAsia="Times New Roman" w:cs="Arial"/>
                <w:sz w:val="20"/>
                <w:szCs w:val="20"/>
                <w:lang w:val="x-none" w:eastAsia="pl-PL"/>
              </w:rPr>
              <w:t>zapewnienie, że złącze kołnierzowe jest prawidłowo zmontowane i obciążone</w:t>
            </w:r>
          </w:p>
          <w:p w14:paraId="0FF25A0B" w14:textId="77777777" w:rsidR="00E02F30" w:rsidRPr="00E02F30" w:rsidRDefault="00E02F30" w:rsidP="00E02F30">
            <w:pPr>
              <w:spacing w:after="0" w:line="240" w:lineRule="auto"/>
              <w:contextualSpacing/>
              <w:rPr>
                <w:rFonts w:eastAsia="Times New Roman" w:cs="Arial"/>
                <w:sz w:val="20"/>
                <w:szCs w:val="20"/>
                <w:lang w:val="x-none" w:eastAsia="pl-PL"/>
              </w:rPr>
            </w:pPr>
            <w:r w:rsidRPr="00E02F30">
              <w:rPr>
                <w:rFonts w:eastAsia="Times New Roman" w:cs="Arial"/>
                <w:sz w:val="20"/>
                <w:szCs w:val="20"/>
                <w:lang w:eastAsia="pl-PL"/>
              </w:rPr>
              <w:t>-</w:t>
            </w:r>
            <w:r w:rsidRPr="00E02F30">
              <w:rPr>
                <w:rFonts w:eastAsia="Times New Roman" w:cs="Arial"/>
                <w:sz w:val="20"/>
                <w:szCs w:val="20"/>
                <w:lang w:val="x-none" w:eastAsia="pl-PL"/>
              </w:rPr>
              <w:t>gdzie toksyczne, rakotwórcze lub inne substancje niebezpieczne są przenoszone montaż uszczelek o wysokiej wytrzymałości, takich jak złącza spiralnie zwinięte, grzebieniowe lub pierścieniowe.</w:t>
            </w:r>
          </w:p>
          <w:p w14:paraId="5F7510A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systemu jednej, dwóch lub trzech powłok w zależności od warunków specyficznych dla lokalizacji Aby zapobiec zewnętrznej korozji rurociągu.</w:t>
            </w:r>
          </w:p>
        </w:tc>
        <w:tc>
          <w:tcPr>
            <w:tcW w:w="6271" w:type="dxa"/>
          </w:tcPr>
          <w:p w14:paraId="290C49B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przypadku wykonywania instalacji technologicznych ogranicza się stosowanie połączeń kołnierzowych na rurociągach stosując połączenia spawane.</w:t>
            </w:r>
          </w:p>
          <w:p w14:paraId="57746E5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Na zakończeniach rurociągów stosuje się zawory zaporowe, które są zaślepione kołnierzem.</w:t>
            </w:r>
          </w:p>
          <w:p w14:paraId="28B99AF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Montowane uszczelki są dobierane do konkretnego medium, które jest przesyłane rurociągiem.</w:t>
            </w:r>
          </w:p>
          <w:p w14:paraId="737A67F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Jeżeli jest konieczność to rurociąg zabezpieczany jest warstwą zabezpieczającą przed jego korozją na czynnik przesyłany i warunki atmosferyczne.</w:t>
            </w:r>
          </w:p>
          <w:p w14:paraId="39F2789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Po wykonaniu rurociągu przesyłowego jest on poddawany próbie ciśnieniowej celem sprawdzenia szczelności złączy spawanych i kołnierzowych.</w:t>
            </w:r>
          </w:p>
          <w:p w14:paraId="260841C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przypadku wykonywania rurociągów zgodnie z projektem technicznym wszystkie elementy rurociągu i badania wykonuje się zgodnie z wytycznymi zawartymi w dokumentacji technicznej.</w:t>
            </w:r>
          </w:p>
          <w:p w14:paraId="25D0F0E6"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2AC854A4" w14:textId="77777777" w:rsidTr="00A1631B">
        <w:tc>
          <w:tcPr>
            <w:tcW w:w="4361" w:type="dxa"/>
          </w:tcPr>
          <w:p w14:paraId="009233C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równoważenia lub oczyszczania oparów przy znaczących emisjach z załadunku i rozładunku substancji lotnych na (lub z) samochodów ciężarowych, barek i statków.</w:t>
            </w:r>
          </w:p>
        </w:tc>
        <w:tc>
          <w:tcPr>
            <w:tcW w:w="6271" w:type="dxa"/>
          </w:tcPr>
          <w:p w14:paraId="03D8AF4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tzw. wahadła gazowego, podczas rozładunku surowców i załadunku wyrobów na (lub z) samochodów ciężarowych. Zastosowanie wahadła przy załadunku autocystern. Hermetyzacja przy rozładunku surowców z cystern kolejowych i autocystern (wahadła gazowe).</w:t>
            </w:r>
          </w:p>
        </w:tc>
      </w:tr>
      <w:tr w:rsidR="00E02F30" w:rsidRPr="00E02F30" w14:paraId="2BC9AB85" w14:textId="77777777" w:rsidTr="00A1631B">
        <w:tc>
          <w:tcPr>
            <w:tcW w:w="4361" w:type="dxa"/>
          </w:tcPr>
          <w:p w14:paraId="6263D87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Oszacowanie opcji i optymalizacja zużycia energii</w:t>
            </w:r>
          </w:p>
        </w:tc>
        <w:tc>
          <w:tcPr>
            <w:tcW w:w="6271" w:type="dxa"/>
          </w:tcPr>
          <w:p w14:paraId="2B75748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Mając na względzie efektywność energetyczną, Zarząd zakładu wdrożył i utrzymuje system zarządzania energią zgodnie z normą ISO 50001:2011. Udoskonala system zarządzania, w tym zakresie.</w:t>
            </w:r>
          </w:p>
          <w:p w14:paraId="54049F9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System posiada regulacje w formie wdrożonych i funkcjonujących procedur ZSZ, w tym: </w:t>
            </w:r>
          </w:p>
          <w:p w14:paraId="506BF67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procedury systemowe i operacyjne,</w:t>
            </w:r>
          </w:p>
          <w:p w14:paraId="58DB286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monitorowanie i nadzorowanie zużycia ciepła,</w:t>
            </w:r>
          </w:p>
          <w:p w14:paraId="6AAA6E01"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identyfikacja, monitorowanie i nadzorowanie zużycia gazu,</w:t>
            </w:r>
          </w:p>
          <w:p w14:paraId="274B141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identyfikacja, monitorowanie i nadzorowanie sieci, instalacji i urządzeń elektro-energetycznych oraz zużycia energii elektrycznej,</w:t>
            </w:r>
          </w:p>
          <w:p w14:paraId="064EE6F7"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przegląd i nadzorowanie umów z firmami.</w:t>
            </w:r>
          </w:p>
          <w:p w14:paraId="1BFF4A14" w14:textId="77777777" w:rsidR="00E02F30" w:rsidRPr="00E02F30" w:rsidRDefault="00E02F30" w:rsidP="00E02F30">
            <w:pPr>
              <w:spacing w:after="0" w:line="240" w:lineRule="auto"/>
              <w:jc w:val="both"/>
              <w:rPr>
                <w:rFonts w:eastAsia="Times New Roman" w:cs="Arial"/>
                <w:b/>
                <w:bCs/>
                <w:sz w:val="20"/>
                <w:szCs w:val="20"/>
                <w:lang w:eastAsia="pl-PL"/>
              </w:rPr>
            </w:pPr>
          </w:p>
        </w:tc>
      </w:tr>
      <w:tr w:rsidR="00E02F30" w:rsidRPr="00E02F30" w14:paraId="2D4A5AD1" w14:textId="77777777" w:rsidTr="00A1631B">
        <w:tc>
          <w:tcPr>
            <w:tcW w:w="10632" w:type="dxa"/>
            <w:gridSpan w:val="2"/>
          </w:tcPr>
          <w:p w14:paraId="72C5E761" w14:textId="77777777" w:rsidR="00E02F30" w:rsidRPr="00E02F30" w:rsidRDefault="00E02F30" w:rsidP="00E02F30">
            <w:pPr>
              <w:tabs>
                <w:tab w:val="center" w:pos="4536"/>
                <w:tab w:val="right" w:pos="9072"/>
              </w:tabs>
              <w:spacing w:after="0" w:line="240" w:lineRule="auto"/>
              <w:jc w:val="center"/>
              <w:rPr>
                <w:rFonts w:eastAsia="Times New Roman" w:cs="Arial"/>
                <w:sz w:val="20"/>
                <w:szCs w:val="20"/>
                <w:lang w:val="x-none" w:eastAsia="pl-PL"/>
              </w:rPr>
            </w:pPr>
            <w:r w:rsidRPr="00E02F30">
              <w:rPr>
                <w:rFonts w:eastAsia="Times New Roman" w:cs="Arial"/>
                <w:b/>
                <w:sz w:val="20"/>
                <w:szCs w:val="20"/>
                <w:lang w:val="x-none" w:eastAsia="pl-PL"/>
              </w:rPr>
              <w:t>Zarządzanie strumieniami odpadów i ich obróbka</w:t>
            </w:r>
          </w:p>
        </w:tc>
      </w:tr>
      <w:tr w:rsidR="00E02F30" w:rsidRPr="00E02F30" w14:paraId="1C9E32FD" w14:textId="77777777" w:rsidTr="00A1631B">
        <w:tc>
          <w:tcPr>
            <w:tcW w:w="4361" w:type="dxa"/>
          </w:tcPr>
          <w:p w14:paraId="188AD108"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sz w:val="20"/>
                <w:szCs w:val="20"/>
                <w:lang w:eastAsia="pl-PL"/>
              </w:rPr>
              <w:t>Coroczne sporządzenie bilansów masowych dla lotnych związków organicznych (VOC) (w tym CHC), całkowitego węgla organicznego (CWO) lub chemicznego zapotrzebowania tlenu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 xml:space="preserve">), </w:t>
            </w:r>
            <w:proofErr w:type="spellStart"/>
            <w:r w:rsidRPr="00E02F30">
              <w:rPr>
                <w:rFonts w:eastAsia="Times New Roman" w:cs="Arial"/>
                <w:sz w:val="20"/>
                <w:szCs w:val="20"/>
                <w:lang w:eastAsia="pl-PL"/>
              </w:rPr>
              <w:t>adsorbowalnych</w:t>
            </w:r>
            <w:proofErr w:type="spellEnd"/>
            <w:r w:rsidRPr="00E02F30">
              <w:rPr>
                <w:rFonts w:eastAsia="Times New Roman" w:cs="Arial"/>
                <w:sz w:val="20"/>
                <w:szCs w:val="20"/>
                <w:lang w:eastAsia="pl-PL"/>
              </w:rPr>
              <w:t xml:space="preserve"> związków </w:t>
            </w:r>
            <w:proofErr w:type="spellStart"/>
            <w:r w:rsidRPr="00E02F30">
              <w:rPr>
                <w:rFonts w:eastAsia="Times New Roman" w:cs="Arial"/>
                <w:sz w:val="20"/>
                <w:szCs w:val="20"/>
                <w:lang w:eastAsia="pl-PL"/>
              </w:rPr>
              <w:t>halogenoorganicznych</w:t>
            </w:r>
            <w:proofErr w:type="spellEnd"/>
            <w:r w:rsidRPr="00E02F30">
              <w:rPr>
                <w:rFonts w:eastAsia="Times New Roman" w:cs="Arial"/>
                <w:sz w:val="20"/>
                <w:szCs w:val="20"/>
                <w:lang w:eastAsia="pl-PL"/>
              </w:rPr>
              <w:t xml:space="preserve"> (AOX) lub </w:t>
            </w:r>
            <w:proofErr w:type="spellStart"/>
            <w:r w:rsidRPr="00E02F30">
              <w:rPr>
                <w:rFonts w:eastAsia="Times New Roman" w:cs="Arial"/>
                <w:sz w:val="20"/>
                <w:szCs w:val="20"/>
                <w:lang w:eastAsia="pl-PL"/>
              </w:rPr>
              <w:t>ekstrahowalnych</w:t>
            </w:r>
            <w:proofErr w:type="spellEnd"/>
            <w:r w:rsidRPr="00E02F30">
              <w:rPr>
                <w:rFonts w:eastAsia="Times New Roman" w:cs="Arial"/>
                <w:sz w:val="20"/>
                <w:szCs w:val="20"/>
                <w:lang w:eastAsia="pl-PL"/>
              </w:rPr>
              <w:t xml:space="preserve"> halogenów organicznych (EOX) oraz metali ciężkich.</w:t>
            </w:r>
          </w:p>
        </w:tc>
        <w:tc>
          <w:tcPr>
            <w:tcW w:w="6271" w:type="dxa"/>
          </w:tcPr>
          <w:p w14:paraId="2081CFD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 ściekach solankowych oznaczane i bilansowane jest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 xml:space="preserve">. Jest robiony bilans zanieczyszczeń zgodnie z pozwoleniem. </w:t>
            </w:r>
          </w:p>
          <w:p w14:paraId="2F100E5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Zestawienia roczne/kwartalne emisji przekazywane do działu ochrony środowiska.  W ściekach analizuje się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w:t>
            </w:r>
          </w:p>
          <w:p w14:paraId="16036DF6"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3A559E73" w14:textId="77777777" w:rsidTr="00A1631B">
        <w:tc>
          <w:tcPr>
            <w:tcW w:w="4361" w:type="dxa"/>
          </w:tcPr>
          <w:p w14:paraId="7C16C55C"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sz w:val="20"/>
                <w:szCs w:val="20"/>
                <w:lang w:eastAsia="pl-PL"/>
              </w:rPr>
              <w:t>Przeprowadzenie szczegółowej analizy strumieni odpadów w celu ustalenia pochodzenia strumienia odpadów i opracowanie zbioru podstawowych danych dla umożliwienia zarządzania i odpowiedniej obróbki gazów odpadowych, strumieni ścieków i pozostałości stałych.</w:t>
            </w:r>
          </w:p>
        </w:tc>
        <w:tc>
          <w:tcPr>
            <w:tcW w:w="6271" w:type="dxa"/>
          </w:tcPr>
          <w:p w14:paraId="109E562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Jest robiona szczegółowa analiza ilości i rodzajów odpadów zgodnie z pozwoleniem.</w:t>
            </w:r>
          </w:p>
          <w:p w14:paraId="255B05A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Instrukcja gospodarowania odpadami/ rejestry wytwarzanych odpadów/ </w:t>
            </w:r>
            <w:proofErr w:type="spellStart"/>
            <w:r w:rsidRPr="00E02F30">
              <w:rPr>
                <w:rFonts w:eastAsia="Times New Roman" w:cs="Arial"/>
                <w:sz w:val="20"/>
                <w:szCs w:val="20"/>
                <w:lang w:eastAsia="pl-PL"/>
              </w:rPr>
              <w:t>zetawienia</w:t>
            </w:r>
            <w:proofErr w:type="spellEnd"/>
            <w:r w:rsidRPr="00E02F30">
              <w:rPr>
                <w:rFonts w:eastAsia="Times New Roman" w:cs="Arial"/>
                <w:sz w:val="20"/>
                <w:szCs w:val="20"/>
                <w:lang w:eastAsia="pl-PL"/>
              </w:rPr>
              <w:t xml:space="preserve"> kwartalne, roczne przekazywane do działu ochrony środowiska.</w:t>
            </w:r>
          </w:p>
          <w:p w14:paraId="2FF3E2EE"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684D4C4D" w14:textId="77777777" w:rsidTr="00A1631B">
        <w:tc>
          <w:tcPr>
            <w:tcW w:w="4361" w:type="dxa"/>
          </w:tcPr>
          <w:p w14:paraId="01AC8164"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sz w:val="20"/>
                <w:szCs w:val="20"/>
                <w:lang w:eastAsia="pl-PL"/>
              </w:rPr>
              <w:t>Ocena odpowiednich parametrów strumieni ścieków.</w:t>
            </w:r>
          </w:p>
        </w:tc>
        <w:tc>
          <w:tcPr>
            <w:tcW w:w="6271" w:type="dxa"/>
          </w:tcPr>
          <w:p w14:paraId="51EC841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Powstające ścieki są analizowane i monitorowane.</w:t>
            </w:r>
            <w:r w:rsidRPr="00E02F30" w:rsidDel="00E62CA7">
              <w:rPr>
                <w:rFonts w:eastAsia="Times New Roman" w:cs="Arial"/>
                <w:sz w:val="20"/>
                <w:szCs w:val="20"/>
                <w:lang w:eastAsia="pl-PL"/>
              </w:rPr>
              <w:t xml:space="preserve"> </w:t>
            </w:r>
          </w:p>
          <w:p w14:paraId="79951B82"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7908CC3E" w14:textId="77777777" w:rsidTr="00A1631B">
        <w:tc>
          <w:tcPr>
            <w:tcW w:w="4361" w:type="dxa"/>
          </w:tcPr>
          <w:p w14:paraId="78750C6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Monitorowanie profilu emisji, który odzwierciedla tryb roboczy procesu produkcyjnego. W przypadku nieutleniającego systemu unieszkodliwiania /odzysku to zastosowanie systemu ciągłego monitorowania (np. detektora płomieniowo-jonizacyjnego, FID). Gdzie gazy odlotowe z różnorodnych procesów są obrabiane w centralnym układzie odzysku/unieszkodliwiania.</w:t>
            </w:r>
          </w:p>
          <w:p w14:paraId="3D698A8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Indywidualne monitorowanie substancji o możliwym toksycznym oddziaływaniu na środowisku w przypadku, gdy substancje takie są uwalniane.</w:t>
            </w:r>
          </w:p>
        </w:tc>
        <w:tc>
          <w:tcPr>
            <w:tcW w:w="6271" w:type="dxa"/>
          </w:tcPr>
          <w:p w14:paraId="14F374F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Emisja jest monitorowana. Zainstalowane są liczniki pracy emitorów odzwierciedlające tryb roboczy procesu produkcyjnego.</w:t>
            </w:r>
          </w:p>
          <w:p w14:paraId="5ADB1C7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Gazy odlotowe z procesu oczyszczani na adsorberach są w sposób ciągły monitorowane za pomocą analizatora zawartości ksylenu. </w:t>
            </w:r>
          </w:p>
          <w:p w14:paraId="22E0014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Emisja jest monitorowana. Zainstalowane są liczniki pracy emitorów odzwierciedlające tryb roboczy procesu produkcyjnego.</w:t>
            </w:r>
          </w:p>
          <w:p w14:paraId="069E1142"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3F7606B2" w14:textId="77777777" w:rsidTr="00A1631B">
        <w:tc>
          <w:tcPr>
            <w:tcW w:w="4361" w:type="dxa"/>
          </w:tcPr>
          <w:p w14:paraId="61905A5C"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sz w:val="20"/>
                <w:szCs w:val="20"/>
                <w:lang w:eastAsia="pl-PL"/>
              </w:rPr>
              <w:t>Ocena indywidualnych przepływów objętościowych gazów odlotowych z urządzeń technologicznych do układów odzysku/unieszkodliwiania.</w:t>
            </w:r>
          </w:p>
        </w:tc>
        <w:tc>
          <w:tcPr>
            <w:tcW w:w="6271" w:type="dxa"/>
          </w:tcPr>
          <w:p w14:paraId="79E774B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Ocena indywidualnych przepływów gazów odlotowych z urządzeń realizowana jest pośrednio za pomocą wskazań nadciśnienia/podciśnienia na danych układach hermetyzacji. Przeprowadza się analizę emisji zanieczyszczeń do powietrza.</w:t>
            </w:r>
          </w:p>
        </w:tc>
      </w:tr>
      <w:tr w:rsidR="00E02F30" w:rsidRPr="00E02F30" w14:paraId="7833AE7D" w14:textId="77777777" w:rsidTr="00A1631B">
        <w:tc>
          <w:tcPr>
            <w:tcW w:w="4361" w:type="dxa"/>
          </w:tcPr>
          <w:p w14:paraId="2DEBAFB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Wtórne wykorzystanie rozpuszczalników, o ile pozwalają na to wymogi czystości (np. wymogi Dobrej Praktyki Produkcyjnej), poprzez:</w:t>
            </w:r>
          </w:p>
          <w:p w14:paraId="45C092D0"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wykorzystanie rozpuszczalnika z poprzednich partii kampanii produkcyjnej do przyszłych partii, o ile pozwalają na to wymogi czystości,</w:t>
            </w:r>
          </w:p>
          <w:p w14:paraId="07CD0A29"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gromadzenie zużytych rozpuszczalników w celu ich oczyszczenia na miejscu lub poza zakładem i ponownego ich użycia,</w:t>
            </w:r>
          </w:p>
          <w:p w14:paraId="600B7D24" w14:textId="77777777" w:rsidR="00E02F30" w:rsidRPr="00E02F30" w:rsidRDefault="00E02F30">
            <w:pPr>
              <w:keepNext/>
              <w:numPr>
                <w:ilvl w:val="0"/>
                <w:numId w:val="80"/>
              </w:numPr>
              <w:spacing w:before="60" w:after="60" w:line="240" w:lineRule="auto"/>
              <w:ind w:left="386" w:hanging="284"/>
              <w:jc w:val="both"/>
              <w:rPr>
                <w:rFonts w:eastAsia="Times New Roman" w:cs="Arial"/>
                <w:sz w:val="20"/>
                <w:szCs w:val="20"/>
                <w:lang w:eastAsia="pl-PL"/>
              </w:rPr>
            </w:pPr>
            <w:r w:rsidRPr="00E02F30">
              <w:rPr>
                <w:rFonts w:eastAsia="Times New Roman" w:cs="Arial"/>
                <w:sz w:val="20"/>
                <w:szCs w:val="20"/>
                <w:lang w:eastAsia="pl-PL"/>
              </w:rPr>
              <w:t>gromadzenie zużytych rozpuszczalników w celu wykorzystania ich wartości opałowej na miejscu lub poza zakładem.</w:t>
            </w:r>
          </w:p>
        </w:tc>
        <w:tc>
          <w:tcPr>
            <w:tcW w:w="6271" w:type="dxa"/>
          </w:tcPr>
          <w:p w14:paraId="33CCBB6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Rozpuszczalniki  po myciu  instalacji czy danych układów urządzeń wrabiane są do bieżącej lub następnej produkcji.</w:t>
            </w:r>
          </w:p>
          <w:p w14:paraId="503E126B" w14:textId="77777777" w:rsidR="00E02F30" w:rsidRPr="00E02F30" w:rsidRDefault="00E02F30" w:rsidP="00E02F30">
            <w:pPr>
              <w:spacing w:after="0" w:line="240" w:lineRule="auto"/>
              <w:ind w:firstLine="709"/>
              <w:jc w:val="both"/>
              <w:rPr>
                <w:rFonts w:eastAsia="Times New Roman" w:cs="Arial"/>
                <w:sz w:val="20"/>
                <w:szCs w:val="20"/>
                <w:lang w:eastAsia="pl-PL"/>
              </w:rPr>
            </w:pPr>
          </w:p>
          <w:p w14:paraId="78556EF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Odzysk ksylenu z procesu destylacji  i ponowne wykorzystanie w procesie produkcyjnym.</w:t>
            </w:r>
          </w:p>
          <w:p w14:paraId="008E8FEA"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5FB47FD9" w14:textId="77777777" w:rsidTr="00A1631B">
        <w:tc>
          <w:tcPr>
            <w:tcW w:w="4361" w:type="dxa"/>
          </w:tcPr>
          <w:p w14:paraId="71B9F13C" w14:textId="77777777" w:rsidR="00E02F30" w:rsidRPr="00E02F30" w:rsidRDefault="00E02F30" w:rsidP="00E02F30">
            <w:pPr>
              <w:spacing w:after="0" w:line="240" w:lineRule="auto"/>
              <w:jc w:val="both"/>
              <w:rPr>
                <w:rFonts w:eastAsia="Times New Roman" w:cs="Arial"/>
                <w:sz w:val="20"/>
                <w:szCs w:val="20"/>
                <w:highlight w:val="yellow"/>
                <w:lang w:eastAsia="pl-PL"/>
              </w:rPr>
            </w:pPr>
            <w:r w:rsidRPr="00E02F30">
              <w:rPr>
                <w:rFonts w:eastAsia="Times New Roman" w:cs="Arial"/>
                <w:sz w:val="20"/>
                <w:szCs w:val="20"/>
                <w:lang w:eastAsia="pl-PL"/>
              </w:rPr>
              <w:t>Zarządzanie gazami odlotowymi Dobór technik obróbki lotnych związków organicznych (VOC) i osiągalne poziomy emisji. Dobór technik odzysku/ unieszkodliwiania lotnych związków organicznych (VOC)</w:t>
            </w:r>
          </w:p>
          <w:p w14:paraId="056891E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Dobór odpowiednich technik odzysku i unieszkodliwiania VOC</w:t>
            </w:r>
          </w:p>
        </w:tc>
        <w:tc>
          <w:tcPr>
            <w:tcW w:w="6271" w:type="dxa"/>
          </w:tcPr>
          <w:p w14:paraId="17B1C4D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Układy potencjalnej emisji lotnych związków organicznych zabezpieczone są adsorberami węglowymi.</w:t>
            </w:r>
          </w:p>
          <w:p w14:paraId="19D99DB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Układ hermetyzacji adsorber węglowy, analiza przez Laboratorium akredytowane, zestawienia przekazywane do działu ochrony środowiska.</w:t>
            </w:r>
          </w:p>
          <w:p w14:paraId="4C832F25"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317DF4D8" w14:textId="77777777" w:rsidTr="00A1631B">
        <w:tc>
          <w:tcPr>
            <w:tcW w:w="4361" w:type="dxa"/>
          </w:tcPr>
          <w:p w14:paraId="2A9986C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Dobór technik obróbki lotnych związków organicznych (VOC) i osiągalne poziomy emisji. Nieutleniające techniki odzysku lub unieszkodliwiania VOC</w:t>
            </w:r>
          </w:p>
          <w:p w14:paraId="5ED3EC5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Zmniejszenie emisji całkowitego węgla organicznego do poziomu 0,1 kg/h lub </w:t>
            </w:r>
            <w:r w:rsidRPr="00E02F30">
              <w:rPr>
                <w:rFonts w:eastAsia="Times New Roman" w:cs="Arial"/>
                <w:sz w:val="20"/>
                <w:szCs w:val="20"/>
                <w:lang w:eastAsia="pl-PL"/>
              </w:rPr>
              <w:br/>
              <w:t>20 mg/m</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w przypadku zastosowania nieutleniających technik odzysku lub unieszkodliwienia VOC.</w:t>
            </w:r>
          </w:p>
        </w:tc>
        <w:tc>
          <w:tcPr>
            <w:tcW w:w="6271" w:type="dxa"/>
          </w:tcPr>
          <w:p w14:paraId="031F797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Układy potencjalnej emisji lotnych związków organicznych zabezpieczone są adsorberami węglowymi.</w:t>
            </w:r>
          </w:p>
          <w:p w14:paraId="698471B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Gazy odlotowe z procesu oczyszczania na adsorberach są w sposób ciągły monitorowane za pomocą analizatora zawartości ksylenu.</w:t>
            </w:r>
          </w:p>
          <w:p w14:paraId="190C9537" w14:textId="77777777" w:rsidR="00E02F30" w:rsidRPr="00E02F30" w:rsidRDefault="00E02F30" w:rsidP="00E02F30">
            <w:pPr>
              <w:spacing w:after="0" w:line="240" w:lineRule="auto"/>
              <w:ind w:firstLine="709"/>
              <w:jc w:val="both"/>
              <w:rPr>
                <w:rFonts w:eastAsia="Times New Roman" w:cs="Arial"/>
                <w:sz w:val="20"/>
                <w:szCs w:val="20"/>
                <w:lang w:eastAsia="pl-PL"/>
              </w:rPr>
            </w:pPr>
          </w:p>
          <w:p w14:paraId="12C52DE2"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2B96E925" w14:textId="77777777" w:rsidTr="00A1631B">
        <w:tc>
          <w:tcPr>
            <w:tcW w:w="4361" w:type="dxa"/>
          </w:tcPr>
          <w:p w14:paraId="4826CFB8" w14:textId="77777777" w:rsidR="00E02F30" w:rsidRPr="00E02F30" w:rsidRDefault="00E02F30" w:rsidP="00E02F30">
            <w:pPr>
              <w:spacing w:after="0" w:line="240" w:lineRule="auto"/>
              <w:jc w:val="both"/>
              <w:rPr>
                <w:rFonts w:eastAsia="Times New Roman" w:cs="Arial"/>
                <w:sz w:val="20"/>
                <w:szCs w:val="20"/>
                <w:vertAlign w:val="subscript"/>
                <w:lang w:eastAsia="pl-PL"/>
              </w:rPr>
            </w:pPr>
            <w:r w:rsidRPr="00E02F30">
              <w:rPr>
                <w:rFonts w:eastAsia="Times New Roman" w:cs="Arial"/>
                <w:sz w:val="20"/>
                <w:szCs w:val="20"/>
                <w:lang w:eastAsia="pl-PL"/>
              </w:rPr>
              <w:t>Odzysk/unieszkodliwianie HCl, Cl</w:t>
            </w:r>
            <w:r w:rsidRPr="00E02F30">
              <w:rPr>
                <w:rFonts w:eastAsia="Times New Roman" w:cs="Arial"/>
                <w:sz w:val="20"/>
                <w:szCs w:val="20"/>
                <w:vertAlign w:val="subscript"/>
                <w:lang w:eastAsia="pl-PL"/>
              </w:rPr>
              <w:t>2</w:t>
            </w:r>
            <w:r w:rsidRPr="00E02F30">
              <w:rPr>
                <w:rFonts w:eastAsia="Times New Roman" w:cs="Arial"/>
                <w:sz w:val="20"/>
                <w:szCs w:val="20"/>
                <w:lang w:eastAsia="pl-PL"/>
              </w:rPr>
              <w:t xml:space="preserve"> i </w:t>
            </w:r>
            <w:proofErr w:type="spellStart"/>
            <w:r w:rsidRPr="00E02F30">
              <w:rPr>
                <w:rFonts w:eastAsia="Times New Roman" w:cs="Arial"/>
                <w:sz w:val="20"/>
                <w:szCs w:val="20"/>
                <w:lang w:eastAsia="pl-PL"/>
              </w:rPr>
              <w:t>HBr</w:t>
            </w:r>
            <w:proofErr w:type="spellEnd"/>
            <w:r w:rsidRPr="00E02F30">
              <w:rPr>
                <w:rFonts w:eastAsia="Times New Roman" w:cs="Arial"/>
                <w:sz w:val="20"/>
                <w:szCs w:val="20"/>
                <w:lang w:eastAsia="pl-PL"/>
              </w:rPr>
              <w:t>/Br</w:t>
            </w:r>
            <w:r w:rsidRPr="00E02F30">
              <w:rPr>
                <w:rFonts w:eastAsia="Times New Roman" w:cs="Arial"/>
                <w:sz w:val="20"/>
                <w:szCs w:val="20"/>
                <w:vertAlign w:val="subscript"/>
                <w:lang w:eastAsia="pl-PL"/>
              </w:rPr>
              <w:t>2</w:t>
            </w:r>
          </w:p>
          <w:p w14:paraId="13FBAA1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Osiągnięcie poziomów emisji HCl 0,2 - 7,5 mg/m3 lub 0,001 - 0,08 kg/h i, gdy to konieczne, zastosowanie jednej lub więcej płuczek wieżowych z użyciem odpowiedniego medium płuczącego jak np. H2O lub NaOH w celu osiągnięcia tych poziomów.</w:t>
            </w:r>
          </w:p>
          <w:p w14:paraId="38B95C4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Osiągnięcie poziomów emisji Cl</w:t>
            </w:r>
            <w:r w:rsidRPr="00E02F30">
              <w:rPr>
                <w:rFonts w:eastAsia="Times New Roman" w:cs="Arial"/>
                <w:sz w:val="20"/>
                <w:szCs w:val="20"/>
                <w:vertAlign w:val="subscript"/>
                <w:lang w:eastAsia="pl-PL"/>
              </w:rPr>
              <w:t>2</w:t>
            </w:r>
            <w:r w:rsidRPr="00E02F30">
              <w:rPr>
                <w:rFonts w:eastAsia="Times New Roman" w:cs="Arial"/>
                <w:sz w:val="20"/>
                <w:szCs w:val="20"/>
                <w:lang w:eastAsia="pl-PL"/>
              </w:rPr>
              <w:t xml:space="preserve"> 0,1 - 1 mg/m i, gdy to konieczne, zastosowanie technik takich jak absorpcja nadmiaru chlorków i/lub płuczek z użyciem medium płuczącego takiego jak NaHSO</w:t>
            </w:r>
            <w:r w:rsidRPr="00E02F30">
              <w:rPr>
                <w:rFonts w:eastAsia="Times New Roman" w:cs="Arial"/>
                <w:sz w:val="20"/>
                <w:szCs w:val="20"/>
                <w:vertAlign w:val="subscript"/>
                <w:lang w:eastAsia="pl-PL"/>
              </w:rPr>
              <w:t>3</w:t>
            </w:r>
            <w:r w:rsidRPr="00E02F30">
              <w:rPr>
                <w:rFonts w:eastAsia="Times New Roman" w:cs="Arial"/>
                <w:sz w:val="20"/>
                <w:szCs w:val="20"/>
                <w:lang w:eastAsia="pl-PL"/>
              </w:rPr>
              <w:t xml:space="preserve"> w celu osiągnięcia tych poziomów.</w:t>
            </w:r>
          </w:p>
          <w:p w14:paraId="3A159F1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Osiągnięcie poziomów emisji </w:t>
            </w:r>
            <w:proofErr w:type="spellStart"/>
            <w:r w:rsidRPr="00E02F30">
              <w:rPr>
                <w:rFonts w:eastAsia="Times New Roman" w:cs="Arial"/>
                <w:sz w:val="20"/>
                <w:szCs w:val="20"/>
                <w:lang w:eastAsia="pl-PL"/>
              </w:rPr>
              <w:t>HBr</w:t>
            </w:r>
            <w:proofErr w:type="spellEnd"/>
            <w:r w:rsidRPr="00E02F30">
              <w:rPr>
                <w:rFonts w:eastAsia="Times New Roman" w:cs="Arial"/>
                <w:sz w:val="20"/>
                <w:szCs w:val="20"/>
                <w:lang w:eastAsia="pl-PL"/>
              </w:rPr>
              <w:t xml:space="preserve"> &lt;1 mg/m i, gdy to konieczne, zastosowanie płuczek z użyciem medium płuczącego takiego jak H</w:t>
            </w:r>
            <w:r w:rsidRPr="00E02F30">
              <w:rPr>
                <w:rFonts w:eastAsia="Times New Roman" w:cs="Arial"/>
                <w:sz w:val="20"/>
                <w:szCs w:val="20"/>
                <w:vertAlign w:val="subscript"/>
                <w:lang w:eastAsia="pl-PL"/>
              </w:rPr>
              <w:t>2</w:t>
            </w:r>
            <w:r w:rsidRPr="00E02F30">
              <w:rPr>
                <w:rFonts w:eastAsia="Times New Roman" w:cs="Arial"/>
                <w:sz w:val="20"/>
                <w:szCs w:val="20"/>
                <w:lang w:eastAsia="pl-PL"/>
              </w:rPr>
              <w:t>O lub NaOH w celu osiągnięcia tych poziomów.</w:t>
            </w:r>
          </w:p>
        </w:tc>
        <w:tc>
          <w:tcPr>
            <w:tcW w:w="6271" w:type="dxa"/>
          </w:tcPr>
          <w:p w14:paraId="6A849E3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zamknięcia przestrzeni gazowych zbiorników magazynowych surowców zamknięciami cieczowymi wypełnionymi roztworem NaOH</w:t>
            </w:r>
          </w:p>
          <w:p w14:paraId="7CB605D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hermetyzacja aparatów i urządzeń w węzłach produkcyjnych instalacji z odprowadzeniem strumieni </w:t>
            </w:r>
            <w:proofErr w:type="spellStart"/>
            <w:r w:rsidRPr="00E02F30">
              <w:rPr>
                <w:rFonts w:eastAsia="Times New Roman" w:cs="Arial"/>
                <w:sz w:val="20"/>
                <w:szCs w:val="20"/>
                <w:lang w:eastAsia="pl-PL"/>
              </w:rPr>
              <w:t>odgazów</w:t>
            </w:r>
            <w:proofErr w:type="spellEnd"/>
            <w:r w:rsidRPr="00E02F30">
              <w:rPr>
                <w:rFonts w:eastAsia="Times New Roman" w:cs="Arial"/>
                <w:sz w:val="20"/>
                <w:szCs w:val="20"/>
                <w:lang w:eastAsia="pl-PL"/>
              </w:rPr>
              <w:t xml:space="preserve"> do kolumny absorpcyjnej zraszanej roztworem ługu sodowego.</w:t>
            </w:r>
          </w:p>
          <w:p w14:paraId="6E0BA202" w14:textId="77777777" w:rsidR="00E02F30" w:rsidRPr="00E02F30" w:rsidRDefault="00E02F30" w:rsidP="00E02F30">
            <w:pPr>
              <w:spacing w:after="0" w:line="240" w:lineRule="auto"/>
              <w:ind w:firstLine="709"/>
              <w:jc w:val="both"/>
              <w:rPr>
                <w:rFonts w:eastAsia="Times New Roman" w:cs="Arial"/>
                <w:sz w:val="20"/>
                <w:szCs w:val="20"/>
                <w:lang w:eastAsia="pl-PL"/>
              </w:rPr>
            </w:pPr>
          </w:p>
          <w:p w14:paraId="4F5325E1" w14:textId="77777777" w:rsidR="00E02F30" w:rsidRPr="00E02F30" w:rsidRDefault="00E02F30" w:rsidP="00E02F30">
            <w:pPr>
              <w:spacing w:after="0" w:line="240" w:lineRule="auto"/>
              <w:ind w:firstLine="709"/>
              <w:jc w:val="both"/>
              <w:rPr>
                <w:rFonts w:eastAsia="Times New Roman" w:cs="Arial"/>
                <w:sz w:val="20"/>
                <w:szCs w:val="20"/>
                <w:lang w:eastAsia="pl-PL"/>
              </w:rPr>
            </w:pPr>
            <w:r w:rsidRPr="00E02F30">
              <w:rPr>
                <w:rFonts w:eastAsia="Times New Roman" w:cs="Arial"/>
                <w:sz w:val="20"/>
                <w:szCs w:val="20"/>
                <w:lang w:eastAsia="pl-PL"/>
              </w:rPr>
              <w:t>.</w:t>
            </w:r>
          </w:p>
          <w:p w14:paraId="43E10C05"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4AE82BDB" w14:textId="77777777" w:rsidTr="00A1631B">
        <w:tc>
          <w:tcPr>
            <w:tcW w:w="4361" w:type="dxa"/>
          </w:tcPr>
          <w:p w14:paraId="577AF54D"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sz w:val="20"/>
                <w:szCs w:val="20"/>
                <w:lang w:eastAsia="pl-PL"/>
              </w:rPr>
              <w:t>Osiągnięcie poziomów emisji cząstek substancji stałych w granicach 0,05 - 0,5 mg/m</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lub 0,001 - 0,1 kg/h i, gdy to konieczne, zastosowanie technik, takich jak filtry workowe, filtry tkaninowe, cyklony, płukanie w płuczkach wieżowych lub odpylanie elektrostatyczne na mokro (WESP), w celu osiągnięcia tych poziomów.</w:t>
            </w:r>
          </w:p>
        </w:tc>
        <w:tc>
          <w:tcPr>
            <w:tcW w:w="6271" w:type="dxa"/>
          </w:tcPr>
          <w:p w14:paraId="2321620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układy odpylające w węźle granulacji i pakowania produktu,</w:t>
            </w:r>
          </w:p>
          <w:p w14:paraId="52BAF60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urządzenia odpylające w węzłach, w których występują operacje rozładunku surowców stałych, </w:t>
            </w:r>
          </w:p>
          <w:p w14:paraId="697CF63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zastosowanie filtra odpylającego „Donaldson” - przy układ załadunku surowców sypkich.</w:t>
            </w:r>
          </w:p>
          <w:p w14:paraId="79FF1C28" w14:textId="77777777" w:rsidR="00E02F30" w:rsidRPr="00E02F30" w:rsidRDefault="00E02F30" w:rsidP="00E02F30">
            <w:pPr>
              <w:spacing w:after="0" w:line="240" w:lineRule="auto"/>
              <w:ind w:firstLine="709"/>
              <w:jc w:val="both"/>
              <w:rPr>
                <w:rFonts w:eastAsia="Times New Roman" w:cs="Arial"/>
                <w:sz w:val="20"/>
                <w:szCs w:val="20"/>
                <w:lang w:eastAsia="pl-PL"/>
              </w:rPr>
            </w:pPr>
          </w:p>
        </w:tc>
      </w:tr>
      <w:tr w:rsidR="00E02F30" w:rsidRPr="00E02F30" w14:paraId="45127818" w14:textId="77777777" w:rsidTr="00A1631B">
        <w:tc>
          <w:tcPr>
            <w:tcW w:w="4361" w:type="dxa"/>
          </w:tcPr>
          <w:p w14:paraId="47E75E2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Odzysk rozpuszczalników ze strumieni ściekowych do wtórnego wykorzystania na miejscu bądź poza zakładem, przez zastosowanie technik, takich jak odpędzanie, destylacja/rektyfikacja, ekstrakcja lub połączenie tych technik i wówczas gdy koszty obróbki biologicznej i zakupu świeżych rozpuszczalników są wyższe od kosztów odzysku i oczyszczania.</w:t>
            </w:r>
          </w:p>
        </w:tc>
        <w:tc>
          <w:tcPr>
            <w:tcW w:w="6271" w:type="dxa"/>
          </w:tcPr>
          <w:p w14:paraId="1214DA96" w14:textId="77777777" w:rsidR="00E02F30" w:rsidRPr="00E02F30" w:rsidRDefault="00E02F30" w:rsidP="00E02F30">
            <w:pPr>
              <w:spacing w:after="0" w:line="240" w:lineRule="auto"/>
              <w:jc w:val="both"/>
              <w:rPr>
                <w:rFonts w:eastAsia="Times New Roman" w:cs="Arial"/>
                <w:b/>
                <w:sz w:val="20"/>
                <w:szCs w:val="20"/>
                <w:u w:val="single"/>
                <w:lang w:eastAsia="pl-PL"/>
              </w:rPr>
            </w:pPr>
            <w:r w:rsidRPr="00E02F30">
              <w:rPr>
                <w:rFonts w:eastAsia="Times New Roman" w:cs="Arial"/>
                <w:sz w:val="20"/>
                <w:szCs w:val="20"/>
                <w:lang w:eastAsia="pl-PL"/>
              </w:rPr>
              <w:t>Zastosowanie rozdzielacza (rozdział ksylenu od ścieku wodnego).</w:t>
            </w:r>
          </w:p>
        </w:tc>
      </w:tr>
      <w:tr w:rsidR="00E02F30" w:rsidRPr="00E02F30" w14:paraId="0917D808" w14:textId="77777777" w:rsidTr="00A1631B">
        <w:tc>
          <w:tcPr>
            <w:tcW w:w="4361" w:type="dxa"/>
          </w:tcPr>
          <w:p w14:paraId="7096151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Wymagania dla zaworów obejmują:</w:t>
            </w:r>
          </w:p>
          <w:p w14:paraId="48B52F63" w14:textId="77777777" w:rsidR="00E02F30" w:rsidRPr="00E02F30" w:rsidRDefault="00E02F30" w:rsidP="00E02F30">
            <w:pPr>
              <w:spacing w:after="0" w:line="240" w:lineRule="auto"/>
              <w:contextualSpacing/>
              <w:rPr>
                <w:rFonts w:eastAsia="Times New Roman" w:cs="Arial"/>
                <w:sz w:val="20"/>
                <w:szCs w:val="20"/>
                <w:lang w:val="x-none" w:eastAsia="pl-PL"/>
              </w:rPr>
            </w:pPr>
            <w:r w:rsidRPr="00E02F30">
              <w:rPr>
                <w:rFonts w:eastAsia="Times New Roman" w:cs="Arial"/>
                <w:sz w:val="20"/>
                <w:szCs w:val="20"/>
                <w:lang w:eastAsia="pl-PL"/>
              </w:rPr>
              <w:t xml:space="preserve">- </w:t>
            </w:r>
            <w:r w:rsidRPr="00E02F30">
              <w:rPr>
                <w:rFonts w:eastAsia="Times New Roman" w:cs="Arial"/>
                <w:sz w:val="20"/>
                <w:szCs w:val="20"/>
                <w:lang w:val="x-none" w:eastAsia="pl-PL"/>
              </w:rPr>
              <w:t xml:space="preserve">prawidłowy dobór materiału opakowaniowego i konstrukcyjnego dla procesu aplikacyjnego </w:t>
            </w:r>
          </w:p>
          <w:p w14:paraId="69E7BCCF" w14:textId="77777777" w:rsidR="00E02F30" w:rsidRPr="00E02F30" w:rsidRDefault="00E02F30" w:rsidP="00E02F30">
            <w:pPr>
              <w:spacing w:after="0" w:line="240" w:lineRule="auto"/>
              <w:contextualSpacing/>
              <w:rPr>
                <w:rFonts w:eastAsia="Times New Roman" w:cs="Arial"/>
                <w:sz w:val="20"/>
                <w:szCs w:val="20"/>
                <w:lang w:val="x-none" w:eastAsia="pl-PL"/>
              </w:rPr>
            </w:pPr>
            <w:r w:rsidRPr="00E02F30">
              <w:rPr>
                <w:rFonts w:eastAsia="Times New Roman" w:cs="Arial"/>
                <w:sz w:val="20"/>
                <w:szCs w:val="20"/>
                <w:lang w:eastAsia="pl-PL"/>
              </w:rPr>
              <w:t>-</w:t>
            </w:r>
            <w:r w:rsidRPr="00E02F30">
              <w:rPr>
                <w:rFonts w:eastAsia="Times New Roman" w:cs="Arial"/>
                <w:sz w:val="20"/>
                <w:szCs w:val="20"/>
                <w:lang w:val="x-none" w:eastAsia="pl-PL"/>
              </w:rPr>
              <w:t>przy monitorowaniu, koncentrowanie się na zaworach najbardziej zagrożonych (takich, jak zawory kontrolne z podnoszonym trzpieniem przy ciągłej pracy)</w:t>
            </w:r>
          </w:p>
          <w:p w14:paraId="7A4334DA" w14:textId="77777777" w:rsidR="00E02F30" w:rsidRPr="00E02F30" w:rsidRDefault="00E02F30" w:rsidP="00E02F30">
            <w:pPr>
              <w:spacing w:after="0" w:line="240" w:lineRule="auto"/>
              <w:contextualSpacing/>
              <w:rPr>
                <w:rFonts w:eastAsia="Times New Roman" w:cs="Arial"/>
                <w:sz w:val="20"/>
                <w:szCs w:val="20"/>
                <w:lang w:val="x-none" w:eastAsia="pl-PL"/>
              </w:rPr>
            </w:pPr>
            <w:r w:rsidRPr="00E02F30">
              <w:rPr>
                <w:rFonts w:eastAsia="Times New Roman" w:cs="Arial"/>
                <w:sz w:val="20"/>
                <w:szCs w:val="20"/>
                <w:lang w:eastAsia="pl-PL"/>
              </w:rPr>
              <w:t>-</w:t>
            </w:r>
            <w:r w:rsidRPr="00E02F30">
              <w:rPr>
                <w:rFonts w:eastAsia="Times New Roman" w:cs="Arial"/>
                <w:sz w:val="20"/>
                <w:szCs w:val="20"/>
                <w:lang w:val="x-none" w:eastAsia="pl-PL"/>
              </w:rPr>
              <w:t>zastosowanie obrotowych zaworów regulacyjnych lub pomp o zmiennej prędkości zamiast zaworów kontrolnych z podnoszonym trzpieniem</w:t>
            </w:r>
          </w:p>
          <w:p w14:paraId="7F4F7F5C" w14:textId="77777777" w:rsidR="00E02F30" w:rsidRPr="00E02F30" w:rsidRDefault="00E02F30" w:rsidP="00E02F30">
            <w:pPr>
              <w:spacing w:after="0" w:line="240" w:lineRule="auto"/>
              <w:contextualSpacing/>
              <w:rPr>
                <w:rFonts w:eastAsia="Times New Roman" w:cs="Arial"/>
                <w:sz w:val="20"/>
                <w:szCs w:val="20"/>
                <w:lang w:val="x-none" w:eastAsia="pl-PL"/>
              </w:rPr>
            </w:pPr>
            <w:r w:rsidRPr="00E02F30">
              <w:rPr>
                <w:rFonts w:eastAsia="Times New Roman" w:cs="Arial"/>
                <w:sz w:val="20"/>
                <w:szCs w:val="20"/>
                <w:lang w:eastAsia="pl-PL"/>
              </w:rPr>
              <w:t>-</w:t>
            </w:r>
            <w:r w:rsidRPr="00E02F30">
              <w:rPr>
                <w:rFonts w:eastAsia="Times New Roman" w:cs="Arial"/>
                <w:sz w:val="20"/>
                <w:szCs w:val="20"/>
                <w:lang w:val="x-none" w:eastAsia="pl-PL"/>
              </w:rPr>
              <w:t>gdzie toksyczne, rakotwórcze lub inne niebezpieczne substancje są obecne, montowanie zaworów membranowych, miechowych, lub zaworów o podwójnych ściankach</w:t>
            </w:r>
          </w:p>
          <w:p w14:paraId="27D5E97B" w14:textId="77777777" w:rsidR="00E02F30" w:rsidRPr="00E02F30" w:rsidRDefault="00E02F30" w:rsidP="00E02F30">
            <w:pPr>
              <w:spacing w:after="0" w:line="240" w:lineRule="auto"/>
              <w:contextualSpacing/>
              <w:rPr>
                <w:rFonts w:eastAsia="Times New Roman" w:cs="Arial"/>
                <w:sz w:val="20"/>
                <w:szCs w:val="20"/>
                <w:lang w:val="x-none" w:eastAsia="pl-PL"/>
              </w:rPr>
            </w:pPr>
            <w:r w:rsidRPr="00E02F30">
              <w:rPr>
                <w:rFonts w:eastAsia="Times New Roman" w:cs="Arial"/>
                <w:sz w:val="20"/>
                <w:szCs w:val="20"/>
                <w:lang w:eastAsia="pl-PL"/>
              </w:rPr>
              <w:t>-</w:t>
            </w:r>
            <w:r w:rsidRPr="00E02F30">
              <w:rPr>
                <w:rFonts w:eastAsia="Times New Roman" w:cs="Arial"/>
                <w:sz w:val="20"/>
                <w:szCs w:val="20"/>
                <w:lang w:val="x-none" w:eastAsia="pl-PL"/>
              </w:rPr>
              <w:t xml:space="preserve">zawory trasy z powrotem do systemu </w:t>
            </w:r>
            <w:proofErr w:type="spellStart"/>
            <w:r w:rsidRPr="00E02F30">
              <w:rPr>
                <w:rFonts w:eastAsia="Times New Roman" w:cs="Arial"/>
                <w:sz w:val="20"/>
                <w:szCs w:val="20"/>
                <w:lang w:val="x-none" w:eastAsia="pl-PL"/>
              </w:rPr>
              <w:t>przesyłu</w:t>
            </w:r>
            <w:proofErr w:type="spellEnd"/>
            <w:r w:rsidRPr="00E02F30">
              <w:rPr>
                <w:rFonts w:eastAsia="Times New Roman" w:cs="Arial"/>
                <w:sz w:val="20"/>
                <w:szCs w:val="20"/>
                <w:lang w:val="x-none" w:eastAsia="pl-PL"/>
              </w:rPr>
              <w:t>, przechowywania lub do systemu oczyszczania oparów.</w:t>
            </w:r>
          </w:p>
        </w:tc>
        <w:tc>
          <w:tcPr>
            <w:tcW w:w="6271" w:type="dxa"/>
          </w:tcPr>
          <w:p w14:paraId="546ACD4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Stanowiska załadunku i rozładunku zbiorników transportowych z substancjami niebezpiecznymi są zaprojektowane i wykonane zgodnie z wytycznymi Transportowego Dozoru technicznego.</w:t>
            </w:r>
          </w:p>
          <w:p w14:paraId="2052F6F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Stanowiska rozładunkowo załadunkowe posiadają linie oparowe (jeżeli są wymagane) pomiędzy zbiornikiem magazynowym a zbiornikiem transportowym.</w:t>
            </w:r>
          </w:p>
          <w:p w14:paraId="29D91C1A" w14:textId="77777777" w:rsidR="00E02F30" w:rsidRPr="00E02F30" w:rsidRDefault="00E02F30" w:rsidP="00E02F30">
            <w:pPr>
              <w:spacing w:after="0" w:line="240" w:lineRule="auto"/>
              <w:ind w:firstLine="709"/>
              <w:jc w:val="both"/>
              <w:rPr>
                <w:rFonts w:eastAsia="Times New Roman" w:cs="Arial"/>
                <w:b/>
                <w:sz w:val="20"/>
                <w:szCs w:val="20"/>
                <w:u w:val="single"/>
                <w:lang w:eastAsia="pl-PL"/>
              </w:rPr>
            </w:pPr>
          </w:p>
        </w:tc>
      </w:tr>
      <w:tr w:rsidR="00E02F30" w:rsidRPr="00E02F30" w14:paraId="6617E04A" w14:textId="77777777" w:rsidTr="00A1631B">
        <w:tc>
          <w:tcPr>
            <w:tcW w:w="10632" w:type="dxa"/>
            <w:gridSpan w:val="2"/>
          </w:tcPr>
          <w:p w14:paraId="72C7626D" w14:textId="77777777" w:rsidR="00E02F30" w:rsidRPr="00E02F30" w:rsidRDefault="00E02F30" w:rsidP="00E02F30">
            <w:pPr>
              <w:tabs>
                <w:tab w:val="center" w:pos="4536"/>
                <w:tab w:val="right" w:pos="9072"/>
              </w:tabs>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MAGAZYNOWANIE</w:t>
            </w:r>
          </w:p>
        </w:tc>
      </w:tr>
      <w:tr w:rsidR="00E02F30" w:rsidRPr="00E02F30" w14:paraId="75456827" w14:textId="77777777" w:rsidTr="00A1631B">
        <w:tc>
          <w:tcPr>
            <w:tcW w:w="4361" w:type="dxa"/>
          </w:tcPr>
          <w:p w14:paraId="3D0457EA" w14:textId="77777777" w:rsidR="00E02F30" w:rsidRPr="00E02F30" w:rsidRDefault="00E02F30" w:rsidP="00E02F30">
            <w:pPr>
              <w:spacing w:after="0" w:line="240" w:lineRule="auto"/>
              <w:jc w:val="both"/>
              <w:rPr>
                <w:rFonts w:eastAsia="Times New Roman" w:cs="Arial"/>
                <w:sz w:val="20"/>
                <w:szCs w:val="20"/>
                <w:highlight w:val="yellow"/>
                <w:lang w:eastAsia="pl-PL"/>
              </w:rPr>
            </w:pPr>
            <w:r w:rsidRPr="00E02F30">
              <w:rPr>
                <w:rFonts w:eastAsia="Times New Roman" w:cs="Arial"/>
                <w:sz w:val="20"/>
                <w:szCs w:val="20"/>
                <w:lang w:eastAsia="pl-PL"/>
              </w:rPr>
              <w:t xml:space="preserve">Zastosowanie zamkniętych pomieszczeń magazynowych, na przykład silosów, bunkrów, lejów i pojemników w celu wyeliminowania wpływu wiatru i zapobieżenia powstawania pyłu powodowanego przez wiatr w miarę możliwości poprzez zastosowanie pierwotnych środków. </w:t>
            </w:r>
          </w:p>
        </w:tc>
        <w:tc>
          <w:tcPr>
            <w:tcW w:w="6271" w:type="dxa"/>
          </w:tcPr>
          <w:p w14:paraId="6AAD8E7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Substancje stałe magazynowane są w pojemnikach oraz w zamkniętych lub zadaszonych  pomieszczeniach.</w:t>
            </w:r>
          </w:p>
          <w:p w14:paraId="1F3F38A2" w14:textId="77777777" w:rsidR="00E02F30" w:rsidRPr="00E02F30" w:rsidRDefault="00E02F30" w:rsidP="00E02F30">
            <w:pPr>
              <w:spacing w:after="0" w:line="240" w:lineRule="auto"/>
              <w:jc w:val="both"/>
              <w:rPr>
                <w:rFonts w:ascii="Times New Roman" w:eastAsia="Times New Roman" w:hAnsi="Times New Roman" w:cs="Times New Roman"/>
                <w:sz w:val="20"/>
                <w:szCs w:val="20"/>
                <w:lang w:eastAsia="pl-PL"/>
              </w:rPr>
            </w:pPr>
            <w:r w:rsidRPr="00E02F30">
              <w:rPr>
                <w:rFonts w:eastAsia="Times New Roman" w:cs="Arial"/>
                <w:sz w:val="20"/>
                <w:szCs w:val="20"/>
                <w:lang w:eastAsia="pl-PL"/>
              </w:rPr>
              <w:t>Na instalacji surowce stałe są</w:t>
            </w:r>
            <w:r w:rsidRPr="00E02F30">
              <w:rPr>
                <w:rFonts w:eastAsia="Times New Roman" w:cs="Arial"/>
                <w:b/>
                <w:sz w:val="20"/>
                <w:szCs w:val="20"/>
                <w:lang w:eastAsia="pl-PL"/>
              </w:rPr>
              <w:t xml:space="preserve"> </w:t>
            </w:r>
            <w:r w:rsidRPr="00E02F30">
              <w:rPr>
                <w:rFonts w:eastAsia="Times New Roman" w:cs="Arial"/>
                <w:sz w:val="20"/>
                <w:szCs w:val="20"/>
                <w:lang w:eastAsia="pl-PL"/>
              </w:rPr>
              <w:t>przechowywane w pomieszczeniu zamkniętym lub pod wiatą w opakowaniach szczelnych (opakowania foliowe).</w:t>
            </w:r>
          </w:p>
          <w:p w14:paraId="576C6AAE" w14:textId="77777777" w:rsidR="00E02F30" w:rsidRPr="00E02F30" w:rsidRDefault="00E02F30" w:rsidP="00E02F30">
            <w:pPr>
              <w:spacing w:after="0" w:line="240" w:lineRule="auto"/>
              <w:jc w:val="both"/>
              <w:rPr>
                <w:rFonts w:ascii="Times New Roman" w:eastAsia="Times New Roman" w:hAnsi="Times New Roman" w:cs="Times New Roman"/>
                <w:sz w:val="22"/>
                <w:lang w:eastAsia="pl-PL"/>
              </w:rPr>
            </w:pPr>
          </w:p>
        </w:tc>
      </w:tr>
      <w:tr w:rsidR="00E02F30" w:rsidRPr="00E02F30" w14:paraId="6891B825" w14:textId="77777777" w:rsidTr="00A1631B">
        <w:tc>
          <w:tcPr>
            <w:tcW w:w="4361" w:type="dxa"/>
          </w:tcPr>
          <w:p w14:paraId="02B9A34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Przeprowadzanie regularnych lub ciągłych inspekcji wizualnych lub w celu sprawdzenia, czy występują emisje pyłu i sprawdzenia, czy środki zapobiegawcze są w dobrym stanie technicznym. </w:t>
            </w:r>
          </w:p>
        </w:tc>
        <w:tc>
          <w:tcPr>
            <w:tcW w:w="6271" w:type="dxa"/>
          </w:tcPr>
          <w:p w14:paraId="26BA494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Wizualne inspekcje przeprowadzane są regularnie w każdy dzień roboczy poprzez pracowników odpowiedzialnych za  magazynowanie lub użytkowanie substancji.</w:t>
            </w:r>
          </w:p>
          <w:p w14:paraId="539A7BF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Ciągły nadzór nad instalacją (aparatowy, mistrz technolog, kierownik).</w:t>
            </w:r>
          </w:p>
        </w:tc>
      </w:tr>
      <w:tr w:rsidR="00E02F30" w:rsidRPr="00E02F30" w14:paraId="25086069" w14:textId="77777777" w:rsidTr="00A1631B">
        <w:tc>
          <w:tcPr>
            <w:tcW w:w="4361" w:type="dxa"/>
          </w:tcPr>
          <w:p w14:paraId="39525D5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ograniczanie emisji pyłów.</w:t>
            </w:r>
          </w:p>
          <w:p w14:paraId="27D40D7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Poziom emisji związany z BAT 1 -10 mg/m</w:t>
            </w:r>
            <w:r w:rsidRPr="00E02F30">
              <w:rPr>
                <w:rFonts w:eastAsia="Times New Roman" w:cs="Arial"/>
                <w:sz w:val="20"/>
                <w:szCs w:val="20"/>
                <w:vertAlign w:val="superscript"/>
                <w:lang w:eastAsia="pl-PL"/>
              </w:rPr>
              <w:t>3</w:t>
            </w:r>
            <w:r w:rsidRPr="00E02F30">
              <w:rPr>
                <w:rFonts w:eastAsia="Times New Roman" w:cs="Arial"/>
                <w:sz w:val="20"/>
                <w:szCs w:val="20"/>
                <w:lang w:eastAsia="pl-PL"/>
              </w:rPr>
              <w:t>, w zależności od charakteru / rodzaju przechowywanych substancji.</w:t>
            </w:r>
          </w:p>
        </w:tc>
        <w:tc>
          <w:tcPr>
            <w:tcW w:w="6271" w:type="dxa"/>
          </w:tcPr>
          <w:p w14:paraId="0D15DB9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stosowanie układów odpylających w węźle granulacji i pakowania produktu,</w:t>
            </w:r>
          </w:p>
          <w:p w14:paraId="1A96C4C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stosowanie urządzeń odpylających w węzłach, w których występują operacje rozładunku surowców stałych. </w:t>
            </w:r>
          </w:p>
        </w:tc>
      </w:tr>
      <w:tr w:rsidR="00E02F30" w:rsidRPr="00E02F30" w14:paraId="13BEC663" w14:textId="77777777" w:rsidTr="00A1631B">
        <w:tc>
          <w:tcPr>
            <w:tcW w:w="10632" w:type="dxa"/>
            <w:gridSpan w:val="2"/>
          </w:tcPr>
          <w:p w14:paraId="4D676C9E" w14:textId="77777777" w:rsidR="00E02F30" w:rsidRPr="00E02F30" w:rsidRDefault="00E02F30" w:rsidP="00E02F30">
            <w:pPr>
              <w:tabs>
                <w:tab w:val="center" w:pos="4536"/>
                <w:tab w:val="right" w:pos="9072"/>
              </w:tabs>
              <w:spacing w:after="0" w:line="240" w:lineRule="auto"/>
              <w:jc w:val="center"/>
              <w:rPr>
                <w:rFonts w:eastAsia="Times New Roman" w:cs="Arial"/>
                <w:sz w:val="20"/>
                <w:szCs w:val="20"/>
                <w:lang w:val="x-none" w:eastAsia="pl-PL"/>
              </w:rPr>
            </w:pPr>
            <w:r w:rsidRPr="00E02F30">
              <w:rPr>
                <w:rFonts w:eastAsia="Times New Roman" w:cs="Arial"/>
                <w:b/>
                <w:sz w:val="20"/>
                <w:szCs w:val="20"/>
                <w:lang w:val="x-none" w:eastAsia="pl-PL"/>
              </w:rPr>
              <w:t>Transport i przeładunek substancji stałych</w:t>
            </w:r>
          </w:p>
        </w:tc>
      </w:tr>
      <w:tr w:rsidR="00E02F30" w:rsidRPr="00E02F30" w14:paraId="4D947A8C" w14:textId="77777777" w:rsidTr="00A1631B">
        <w:trPr>
          <w:trHeight w:val="1584"/>
        </w:trPr>
        <w:tc>
          <w:tcPr>
            <w:tcW w:w="4361" w:type="dxa"/>
          </w:tcPr>
          <w:p w14:paraId="18CD876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Zapobieganie dyspersji pyłu z powodu załadunku i rozładunku na otwartym powietrzu, poprzez harmonogramowanie przeniesienia jak największej ilości materiału, gdy prędkość wiatru jest niewielka. </w:t>
            </w:r>
          </w:p>
        </w:tc>
        <w:tc>
          <w:tcPr>
            <w:tcW w:w="6271" w:type="dxa"/>
          </w:tcPr>
          <w:p w14:paraId="1FD0402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Na terenie poniższych instalacji nie odbywa się załadunek i rozładunek na otwartym powietrzu substancji stałych.</w:t>
            </w:r>
          </w:p>
          <w:p w14:paraId="133ADC5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Rozładunek substancji pylistych na otwartej przestrzeni, realizuje się za pomocą szczelnego leja zasypowego, który minimalizuje emisję pyłu do środowiska.</w:t>
            </w:r>
          </w:p>
          <w:p w14:paraId="542293F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instalacji „M” substancje stałe do transportu i przeładunku są zabezpieczone w szczelnych opakowaniach.</w:t>
            </w:r>
          </w:p>
        </w:tc>
      </w:tr>
    </w:tbl>
    <w:p w14:paraId="542E2FB0" w14:textId="77777777" w:rsidR="00E02F30" w:rsidRPr="00E02F30" w:rsidRDefault="00E02F30" w:rsidP="00E02F30">
      <w:pPr>
        <w:spacing w:after="0" w:line="240" w:lineRule="auto"/>
        <w:ind w:hanging="567"/>
        <w:jc w:val="both"/>
        <w:rPr>
          <w:rFonts w:eastAsia="Times New Roman" w:cs="Times New Roman"/>
          <w:szCs w:val="24"/>
          <w:lang w:eastAsia="pl-PL"/>
        </w:rPr>
      </w:pPr>
    </w:p>
    <w:p w14:paraId="0AE8632F" w14:textId="77777777" w:rsidR="00E02F30" w:rsidRPr="00E02F30" w:rsidRDefault="00E02F30" w:rsidP="00E02F30">
      <w:pPr>
        <w:keepNext/>
        <w:widowControl w:val="0"/>
        <w:adjustRightInd w:val="0"/>
        <w:spacing w:after="0" w:line="240" w:lineRule="auto"/>
        <w:ind w:left="-567"/>
        <w:jc w:val="both"/>
        <w:textAlignment w:val="baseline"/>
        <w:outlineLvl w:val="3"/>
        <w:rPr>
          <w:rFonts w:eastAsia="Times New Roman" w:cs="Times New Roman"/>
          <w:b/>
          <w:szCs w:val="20"/>
          <w:lang w:eastAsia="pl-PL"/>
        </w:rPr>
      </w:pPr>
      <w:r w:rsidRPr="00E02F30">
        <w:rPr>
          <w:rFonts w:eastAsia="Times New Roman" w:cs="Times New Roman"/>
          <w:b/>
          <w:szCs w:val="20"/>
          <w:lang w:eastAsia="pl-PL"/>
        </w:rPr>
        <w:t>Analizę spełnienia wymogów najlepszej dostępnej techniki (BAT) zawiera poniższa tabela (konkluzje CWW):</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Zawiera komórki scalone oraz zagnieżdżone. Przedstawia analizę spełnienia wymogów najlepszej dostępnej techniki (BAT) określonych w konkluzjach CWW."/>
      </w:tblPr>
      <w:tblGrid>
        <w:gridCol w:w="1985"/>
        <w:gridCol w:w="426"/>
        <w:gridCol w:w="141"/>
        <w:gridCol w:w="142"/>
        <w:gridCol w:w="7938"/>
      </w:tblGrid>
      <w:tr w:rsidR="00E02F30" w:rsidRPr="00E02F30" w14:paraId="5E9E6D6D" w14:textId="77777777" w:rsidTr="00A1631B">
        <w:trPr>
          <w:trHeight w:val="284"/>
        </w:trPr>
        <w:tc>
          <w:tcPr>
            <w:tcW w:w="10632" w:type="dxa"/>
            <w:gridSpan w:val="5"/>
            <w:shd w:val="clear" w:color="auto" w:fill="auto"/>
            <w:vAlign w:val="center"/>
          </w:tcPr>
          <w:p w14:paraId="1031B94D"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 xml:space="preserve">KONKLUZJE BAT W ODNIESIENIU DO WSPÓLNYCH SYSTEMÓW OCZYSZCZANIA SCIEKÓW/GAZÓW ODLOTOWYCH I ZARZĄDZANIA NIMI W SEKTORZE CHEMICZNYM (CWW) - WYMAGANIA I OCENA STANU ZGODNOŚCI W INSTALACJACH </w:t>
            </w:r>
            <w:r w:rsidRPr="00E02F30">
              <w:rPr>
                <w:rFonts w:eastAsia="Times New Roman" w:cs="Arial"/>
                <w:b/>
                <w:bCs/>
                <w:sz w:val="20"/>
                <w:szCs w:val="20"/>
                <w:lang w:eastAsia="pl-PL"/>
              </w:rPr>
              <w:t>SARZYNA CHEMICAL SP. Z O.O.</w:t>
            </w:r>
          </w:p>
        </w:tc>
      </w:tr>
      <w:tr w:rsidR="00E02F30" w:rsidRPr="00E02F30" w14:paraId="611A997E" w14:textId="77777777" w:rsidTr="00A1631B">
        <w:trPr>
          <w:trHeight w:val="284"/>
        </w:trPr>
        <w:tc>
          <w:tcPr>
            <w:tcW w:w="10632" w:type="dxa"/>
            <w:gridSpan w:val="5"/>
            <w:shd w:val="clear" w:color="auto" w:fill="auto"/>
            <w:vAlign w:val="center"/>
          </w:tcPr>
          <w:p w14:paraId="7ED8E01C"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OGÓLNE KONKLUZJE BAT</w:t>
            </w:r>
          </w:p>
        </w:tc>
      </w:tr>
      <w:tr w:rsidR="00E02F30" w:rsidRPr="00E02F30" w14:paraId="3389659B" w14:textId="77777777" w:rsidTr="00A1631B">
        <w:trPr>
          <w:trHeight w:val="284"/>
        </w:trPr>
        <w:tc>
          <w:tcPr>
            <w:tcW w:w="10632" w:type="dxa"/>
            <w:gridSpan w:val="5"/>
            <w:shd w:val="clear" w:color="auto" w:fill="auto"/>
          </w:tcPr>
          <w:p w14:paraId="547F5269"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Systemy zarządzania środowiskowego</w:t>
            </w:r>
          </w:p>
        </w:tc>
      </w:tr>
      <w:tr w:rsidR="00E02F30" w:rsidRPr="00E02F30" w14:paraId="624F13F9" w14:textId="77777777" w:rsidTr="00A1631B">
        <w:trPr>
          <w:trHeight w:val="284"/>
        </w:trPr>
        <w:tc>
          <w:tcPr>
            <w:tcW w:w="10632" w:type="dxa"/>
            <w:gridSpan w:val="5"/>
            <w:shd w:val="clear" w:color="auto" w:fill="auto"/>
          </w:tcPr>
          <w:p w14:paraId="390BAE85"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BAT 1</w:t>
            </w:r>
          </w:p>
          <w:p w14:paraId="1032FB8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celu poprawy ogólnej efektywności środowiskowej, w ramach BAT należy zapewniać wdrażanie i przestrzeganie systemu zarządzania środowiskowego zawierającego w sobie wszystkie następujące cechy:</w:t>
            </w:r>
          </w:p>
          <w:p w14:paraId="0EE87AB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 zaangażowanie ścisłego kierownictwa, w tym kadry kierowniczej wyższego szczebla;</w:t>
            </w:r>
          </w:p>
          <w:p w14:paraId="07B9281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(ii) polityka ochrony środowiska, która obejmuje ciągłe doskonalenie instalacji przez kierownictwo;</w:t>
            </w:r>
          </w:p>
          <w:p w14:paraId="65447B4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(iii) planowanie i ustalenie niezbędnych procedur, celów i zadań w powiązaniu z planami finansowymi i inwestycjami;</w:t>
            </w:r>
          </w:p>
          <w:p w14:paraId="0F3A737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(iv) wdrożenie procedur ze szczególnym uwzględnieniem:</w:t>
            </w:r>
          </w:p>
          <w:p w14:paraId="506B7A4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a) struktury i odpowiedzialności;</w:t>
            </w:r>
          </w:p>
          <w:p w14:paraId="464014B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b) rekrutacji, szkoleń, świadomości i kompetencji;</w:t>
            </w:r>
          </w:p>
          <w:p w14:paraId="2368BA6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c) komunikacji;</w:t>
            </w:r>
          </w:p>
          <w:p w14:paraId="03C2F0A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 zaangażowania pracowników;</w:t>
            </w:r>
          </w:p>
          <w:p w14:paraId="6897399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 dokumentacji;</w:t>
            </w:r>
          </w:p>
          <w:p w14:paraId="0C88560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f) wydajnej kontroli procesu;</w:t>
            </w:r>
          </w:p>
          <w:p w14:paraId="6559290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g) programów obsługi technicznej;</w:t>
            </w:r>
          </w:p>
          <w:p w14:paraId="2887CD4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h) gotowości na sytuacje awaryjne i reagowania na nie;</w:t>
            </w:r>
          </w:p>
          <w:p w14:paraId="7CDA1D0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 zapewnienia zgodności z przepisami dotyczącymi środowiska;</w:t>
            </w:r>
          </w:p>
          <w:p w14:paraId="5698EE1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(v) sprawdzanie efektywności i podejmowanie działań korygujących, ze szczególnym uwzględnieniem:</w:t>
            </w:r>
          </w:p>
          <w:p w14:paraId="43F299B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a) monitorowania i pomiarów (zob. też sprawozdanie referencyjne dotyczące monitorowania emisji do powietrza i wody przez instalacje IED - ROM);</w:t>
            </w:r>
          </w:p>
          <w:p w14:paraId="4D008FA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b) działań naprawczych i zapobiegawczych;</w:t>
            </w:r>
          </w:p>
          <w:p w14:paraId="2994932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c) prowadzenia zapisów;</w:t>
            </w:r>
          </w:p>
          <w:p w14:paraId="43DEE91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 niezależnego (jeżeli jest to możliwe) audytu wewnętrznego i zewnętrznego w celu określenia, czy system zarządzania środowiskowego jest zgodny z zaplanowanymi ustaleniami oraz czy jest właściwie wdrożony i trzymywany;</w:t>
            </w:r>
          </w:p>
          <w:p w14:paraId="59A0AC4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(vi) przegląd systemu zarządzania środowiskowego przeprowadzony przez kadrę kierowniczą wyższego szczebla pod kątem stałej przydatności systemu, jego odpowiedniości i skuteczności;</w:t>
            </w:r>
          </w:p>
          <w:p w14:paraId="03FD53D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(vii) podążanie za rozwojem czystszych technologii;</w:t>
            </w:r>
          </w:p>
          <w:p w14:paraId="28854BB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(viii) uwzględnienie - na etapie projektowania nowego zespołu urządzeń i przez cały okres jego eksploatacji - skutków dla środowiska wynikających z ostatecznego wycofania zespołu urządzeń z eksploatacji;</w:t>
            </w:r>
          </w:p>
          <w:p w14:paraId="1CB6C70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(ix) regularne stosowanie sektorowej analizy porównawczej;</w:t>
            </w:r>
          </w:p>
          <w:p w14:paraId="2AFE5B0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 plan gospodarowania odpadami (zob. BAT 13).</w:t>
            </w:r>
          </w:p>
          <w:p w14:paraId="7AF7865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szczególności w przypadku działalności w sektorze chemicznym, w ramach BAT należy uwzględnić następujące cechy systemu zarządzania środowiskowego:</w:t>
            </w:r>
          </w:p>
          <w:p w14:paraId="04EAA80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(xi) w odniesieniu do instalacji/obiektów, w których działają różni operatorzy - ustanowienie przepisów określających role, obowiązki i koordynację procedur operacyjnych dla każdego operatora zespołu urządzeń w celu zacieśnienia współpracy między różnymi operatorami;</w:t>
            </w:r>
          </w:p>
          <w:p w14:paraId="393CF35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(xii) utworzenie wykazów strumieni ścieków i gazów odlotowych (zob. BAT 2).</w:t>
            </w:r>
          </w:p>
          <w:p w14:paraId="724FAEB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niektórych przypadkach poniższe elementy stanowią część systemu zarządzania środowiskowego:</w:t>
            </w:r>
          </w:p>
          <w:p w14:paraId="75EF5E9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(xiii) plan zarządzania odorami (zob. BAT 20);</w:t>
            </w:r>
          </w:p>
          <w:p w14:paraId="7B0D20F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(xiv) plan zarządzania hałasem (zob. BAT 22).</w:t>
            </w:r>
          </w:p>
          <w:p w14:paraId="41B6C10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w:t>
            </w:r>
          </w:p>
          <w:p w14:paraId="1B17276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Zakres (np. poziom szczegółowości) i rodzaj systemu zarządzania środowiskowego (np. system oparty o normy czy nie) będą zasadniczo odnosić się do charakteru, skali i złożoności instalacji oraz do zasięgu oddziaływania takiej instalacji na środowisko.</w:t>
            </w:r>
          </w:p>
        </w:tc>
      </w:tr>
      <w:tr w:rsidR="00E02F30" w:rsidRPr="00E02F30" w14:paraId="30571AE4" w14:textId="77777777" w:rsidTr="00A1631B">
        <w:trPr>
          <w:trHeight w:val="2961"/>
        </w:trPr>
        <w:tc>
          <w:tcPr>
            <w:tcW w:w="2694" w:type="dxa"/>
            <w:gridSpan w:val="4"/>
            <w:shd w:val="clear" w:color="auto" w:fill="auto"/>
          </w:tcPr>
          <w:p w14:paraId="0EBE1FD6"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2ED8093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7938" w:type="dxa"/>
            <w:shd w:val="clear" w:color="auto" w:fill="auto"/>
          </w:tcPr>
          <w:p w14:paraId="30E57C56" w14:textId="77777777" w:rsidR="00E02F30" w:rsidRPr="00E02F30" w:rsidRDefault="00E02F30" w:rsidP="00E02F30">
            <w:pPr>
              <w:tabs>
                <w:tab w:val="left" w:pos="4700"/>
              </w:tabs>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6EDFB96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 zakładzie 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o.o.  jest wdrożony:</w:t>
            </w:r>
          </w:p>
          <w:p w14:paraId="17D9375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System Zarządzania Jakością ISO 9001:2015, </w:t>
            </w:r>
          </w:p>
          <w:p w14:paraId="032C7C4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System Zarządzania Środowiskowego oparty na wymaganiach normy PN – EN ISO 14001:2015 </w:t>
            </w:r>
          </w:p>
          <w:p w14:paraId="5CA8F68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System Zarządzania Bezpieczeństwem oparty na wymaganiach normy PN ISO 45001:2018.</w:t>
            </w:r>
          </w:p>
          <w:p w14:paraId="5905819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w:t>
            </w:r>
          </w:p>
          <w:p w14:paraId="434A513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System Zarządzania Środowiskowego zawiera wszystkie wymagane w BAT 1 elementy:</w:t>
            </w:r>
          </w:p>
          <w:p w14:paraId="151A2AA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(i) zaangażowanie kierownictwa, w tym kadry kierowniczej wyższego szczebla,</w:t>
            </w:r>
          </w:p>
          <w:p w14:paraId="27E4398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(ii) politykę </w:t>
            </w:r>
            <w:proofErr w:type="spellStart"/>
            <w:r w:rsidRPr="00E02F30">
              <w:rPr>
                <w:rFonts w:eastAsia="Times New Roman" w:cs="Arial"/>
                <w:sz w:val="20"/>
                <w:szCs w:val="20"/>
                <w:lang w:eastAsia="pl-PL"/>
              </w:rPr>
              <w:t>ochromy</w:t>
            </w:r>
            <w:proofErr w:type="spellEnd"/>
            <w:r w:rsidRPr="00E02F30">
              <w:rPr>
                <w:rFonts w:eastAsia="Times New Roman" w:cs="Arial"/>
                <w:sz w:val="20"/>
                <w:szCs w:val="20"/>
                <w:lang w:eastAsia="pl-PL"/>
              </w:rPr>
              <w:t xml:space="preserve"> środowiska, w tym ciągłe doskonalenie instalacji przez kierownictwo</w:t>
            </w:r>
          </w:p>
          <w:p w14:paraId="7980454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(iii) utrzymywanie ustalonych procedur, celów i zadań z uwzględnieniem planów </w:t>
            </w:r>
            <w:proofErr w:type="spellStart"/>
            <w:r w:rsidRPr="00E02F30">
              <w:rPr>
                <w:rFonts w:eastAsia="Times New Roman" w:cs="Arial"/>
                <w:sz w:val="20"/>
                <w:szCs w:val="20"/>
                <w:lang w:eastAsia="pl-PL"/>
              </w:rPr>
              <w:t>funansowych</w:t>
            </w:r>
            <w:proofErr w:type="spellEnd"/>
            <w:r w:rsidRPr="00E02F30">
              <w:rPr>
                <w:rFonts w:eastAsia="Times New Roman" w:cs="Arial"/>
                <w:sz w:val="20"/>
                <w:szCs w:val="20"/>
                <w:lang w:eastAsia="pl-PL"/>
              </w:rPr>
              <w:t xml:space="preserve"> i inwestycji</w:t>
            </w:r>
          </w:p>
          <w:p w14:paraId="48EEFFC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(iv) wdrażanie procedur z uwzględnieniem struktury i odpowiedzialności, rekrutacji, komunikacji i zaangażowania pracowników, dokumentacji, kontroli procesu, obsługi technicznej, sytuacji awaryjnych, zgodności z przepisami,</w:t>
            </w:r>
          </w:p>
          <w:p w14:paraId="13D72B5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(v) sprawdzanie efektywności (w tym w razie potrzeby działania naprawcze i zapobiegawcze), z uwzględnieniem monitorowania i pomiarów, zapisów, audytów wewnętrznych i zewnętrznych</w:t>
            </w:r>
          </w:p>
          <w:p w14:paraId="40A59AD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(vi) dokonywanie przeglądów systemu zarządzania środowiskowego</w:t>
            </w:r>
          </w:p>
          <w:p w14:paraId="2C3210D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(vii) uwzględnienie rozwoju czystszych technologii</w:t>
            </w:r>
          </w:p>
          <w:p w14:paraId="17BC965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(viii) uwzględnienie przy zakupie bądź wymianie urządzeń aspektów środowiskowych, także w przypadku wycofania urządzeń z eksploatacji</w:t>
            </w:r>
          </w:p>
          <w:p w14:paraId="38E0751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(ix) stosowanie analizy porównawczej</w:t>
            </w:r>
          </w:p>
          <w:p w14:paraId="15F8423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 plan gospodarowania odpadami</w:t>
            </w:r>
          </w:p>
          <w:p w14:paraId="701098B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(xi) w przypadku instalacji/obiektów w których działają różni operatorzy, ustanowienie i wdrożenie procedur w celu zacieśnienia współpracy między różnymi operatorami</w:t>
            </w:r>
          </w:p>
          <w:p w14:paraId="47C047F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(xii) wykaz strumieni ścieków i gazów odlotowych (przedstawiony w dokumentacji do wniosku do wydania pozwolenia zintegrowanego)</w:t>
            </w:r>
          </w:p>
          <w:p w14:paraId="36952599" w14:textId="77777777" w:rsidR="00E02F30" w:rsidRPr="00E02F30" w:rsidRDefault="00E02F30" w:rsidP="00E02F30">
            <w:pPr>
              <w:spacing w:after="0" w:line="240" w:lineRule="auto"/>
              <w:jc w:val="both"/>
              <w:rPr>
                <w:rFonts w:eastAsia="Times New Roman" w:cs="Arial"/>
                <w:sz w:val="20"/>
                <w:szCs w:val="20"/>
                <w:lang w:eastAsia="pl-PL"/>
              </w:rPr>
            </w:pPr>
          </w:p>
          <w:p w14:paraId="12D01CC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Dodatkowe wymagania:</w:t>
            </w:r>
          </w:p>
          <w:p w14:paraId="54ECA8A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Zgodnie z BAT 22 plan zarządzania hałasem ma zastosowanie jedynie w przypadkach, w których oczekuje się, że obiekty wrażliwe odczują dokuczliwość hałasu lub gdy jego występowanie zostało udowodnione. Wymaganie nie dotyczy analizowanych instalacji – w wyniku eksploatacji instalacji nie występuje uciążliwość hałasu na obszarach podlegających ochronie akustycznej (brak przekroczeń dopuszczalnych poziomów hałasu, co stwierdzono na podstawie okresowych pomiarów  hałasu w środowisku), nie odnotowuje się skarg mieszkańców.</w:t>
            </w:r>
          </w:p>
          <w:p w14:paraId="160DF40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BAT 20 ma zastosowanie tylko w przypadkach, w których oczekuje się, że obiekty wrażliwe odczują dokuczliwość odoru lub gdy jego występowanie zostało stwierdzone. Wymaganie nie dotyczy analizowanych instalacji, gdyż instalacje nie są źródłem uciążliwości </w:t>
            </w:r>
            <w:proofErr w:type="spellStart"/>
            <w:r w:rsidRPr="00E02F30">
              <w:rPr>
                <w:rFonts w:eastAsia="Times New Roman" w:cs="Arial"/>
                <w:sz w:val="20"/>
                <w:szCs w:val="20"/>
                <w:lang w:eastAsia="pl-PL"/>
              </w:rPr>
              <w:t>odorowych</w:t>
            </w:r>
            <w:proofErr w:type="spellEnd"/>
            <w:r w:rsidRPr="00E02F30">
              <w:rPr>
                <w:rFonts w:eastAsia="Times New Roman" w:cs="Arial"/>
                <w:sz w:val="20"/>
                <w:szCs w:val="20"/>
                <w:lang w:eastAsia="pl-PL"/>
              </w:rPr>
              <w:t>.</w:t>
            </w:r>
          </w:p>
        </w:tc>
      </w:tr>
      <w:tr w:rsidR="00E02F30" w:rsidRPr="00E02F30" w14:paraId="5E0534F2" w14:textId="77777777" w:rsidTr="00A1631B">
        <w:trPr>
          <w:trHeight w:val="284"/>
        </w:trPr>
        <w:tc>
          <w:tcPr>
            <w:tcW w:w="10632" w:type="dxa"/>
            <w:gridSpan w:val="5"/>
            <w:shd w:val="clear" w:color="auto" w:fill="auto"/>
          </w:tcPr>
          <w:p w14:paraId="18AF63B7"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BAT 2</w:t>
            </w:r>
          </w:p>
          <w:p w14:paraId="1B91108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celu ułatwienia zmniejszenia emisji do wody i powietrza oraz zmniejszenia zużycia wody, w ramach BAT należy ustanowić i prowadzić wykaz strumieni ścieków i gazów odpadowych, jako część systemu zarządzania środowiskowego (zob. BAT 1) zawierającego w sobie wszystkie następujące cechy:</w:t>
            </w:r>
          </w:p>
          <w:p w14:paraId="273351C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(i) informacje na temat chemicznych procesów produkcyjnych, w tym:</w:t>
            </w:r>
          </w:p>
          <w:p w14:paraId="76D5E1A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 wzory reakcji chemicznych, pokazujące również produkty uboczne;</w:t>
            </w:r>
          </w:p>
          <w:p w14:paraId="063E24F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 uproszczone schematy sekwencji procesów, pokazujące pochodzenie emisji;</w:t>
            </w:r>
          </w:p>
          <w:p w14:paraId="191C462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c) opisy technik zintegrowanych z procesem, oraz operacji oczyszczania ścieków/gazów odlotowych u źródła, w tym ich skuteczność;</w:t>
            </w:r>
          </w:p>
          <w:p w14:paraId="6CBB679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(ii) informacje na tyle wyczerpujące, na ile jest to racjonalnie możliwe, o cechach strumieni ścieków, takie jak:</w:t>
            </w:r>
          </w:p>
          <w:p w14:paraId="6C829CA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a) wartości średnie i zmienność przepływu, </w:t>
            </w:r>
            <w:proofErr w:type="spellStart"/>
            <w:r w:rsidRPr="00E02F30">
              <w:rPr>
                <w:rFonts w:eastAsia="Times New Roman" w:cs="Arial"/>
                <w:bCs/>
                <w:sz w:val="20"/>
                <w:szCs w:val="20"/>
                <w:lang w:eastAsia="pl-PL"/>
              </w:rPr>
              <w:t>pH</w:t>
            </w:r>
            <w:proofErr w:type="spellEnd"/>
            <w:r w:rsidRPr="00E02F30">
              <w:rPr>
                <w:rFonts w:eastAsia="Times New Roman" w:cs="Arial"/>
                <w:bCs/>
                <w:sz w:val="20"/>
                <w:szCs w:val="20"/>
                <w:lang w:eastAsia="pl-PL"/>
              </w:rPr>
              <w:t>, temperatury i konduktywności;</w:t>
            </w:r>
          </w:p>
          <w:p w14:paraId="69C1339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b) średnie stężenie i wartości ładunków danych zanieczyszczeń/parametrów i ich zmienność (np. </w:t>
            </w:r>
            <w:proofErr w:type="spellStart"/>
            <w:r w:rsidRPr="00E02F30">
              <w:rPr>
                <w:rFonts w:eastAsia="Times New Roman" w:cs="Arial"/>
                <w:bCs/>
                <w:sz w:val="20"/>
                <w:szCs w:val="20"/>
                <w:lang w:eastAsia="pl-PL"/>
              </w:rPr>
              <w:t>ChZT</w:t>
            </w:r>
            <w:proofErr w:type="spellEnd"/>
            <w:r w:rsidRPr="00E02F30">
              <w:rPr>
                <w:rFonts w:eastAsia="Times New Roman" w:cs="Arial"/>
                <w:bCs/>
                <w:sz w:val="20"/>
                <w:szCs w:val="20"/>
                <w:lang w:eastAsia="pl-PL"/>
              </w:rPr>
              <w:t>/OWO, formy azotu, fosfor, metale, sole, określone związki organiczne);</w:t>
            </w:r>
          </w:p>
          <w:p w14:paraId="33E5489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c) dane dotyczące </w:t>
            </w:r>
            <w:proofErr w:type="spellStart"/>
            <w:r w:rsidRPr="00E02F30">
              <w:rPr>
                <w:rFonts w:eastAsia="Times New Roman" w:cs="Arial"/>
                <w:bCs/>
                <w:sz w:val="20"/>
                <w:szCs w:val="20"/>
                <w:lang w:eastAsia="pl-PL"/>
              </w:rPr>
              <w:t>rozkladalności</w:t>
            </w:r>
            <w:proofErr w:type="spellEnd"/>
            <w:r w:rsidRPr="00E02F30">
              <w:rPr>
                <w:rFonts w:eastAsia="Times New Roman" w:cs="Arial"/>
                <w:bCs/>
                <w:sz w:val="20"/>
                <w:szCs w:val="20"/>
                <w:lang w:eastAsia="pl-PL"/>
              </w:rPr>
              <w:t xml:space="preserve"> biologicznej (np. BZT, stosunek BZT/</w:t>
            </w:r>
            <w:proofErr w:type="spellStart"/>
            <w:r w:rsidRPr="00E02F30">
              <w:rPr>
                <w:rFonts w:eastAsia="Times New Roman" w:cs="Arial"/>
                <w:bCs/>
                <w:sz w:val="20"/>
                <w:szCs w:val="20"/>
                <w:lang w:eastAsia="pl-PL"/>
              </w:rPr>
              <w:t>ChZT</w:t>
            </w:r>
            <w:proofErr w:type="spellEnd"/>
            <w:r w:rsidRPr="00E02F30">
              <w:rPr>
                <w:rFonts w:eastAsia="Times New Roman" w:cs="Arial"/>
                <w:bCs/>
                <w:sz w:val="20"/>
                <w:szCs w:val="20"/>
                <w:lang w:eastAsia="pl-PL"/>
              </w:rPr>
              <w:t>, test Zahn-</w:t>
            </w:r>
            <w:proofErr w:type="spellStart"/>
            <w:r w:rsidRPr="00E02F30">
              <w:rPr>
                <w:rFonts w:eastAsia="Times New Roman" w:cs="Arial"/>
                <w:bCs/>
                <w:sz w:val="20"/>
                <w:szCs w:val="20"/>
                <w:lang w:eastAsia="pl-PL"/>
              </w:rPr>
              <w:t>Wellensa</w:t>
            </w:r>
            <w:proofErr w:type="spellEnd"/>
            <w:r w:rsidRPr="00E02F30">
              <w:rPr>
                <w:rFonts w:eastAsia="Times New Roman" w:cs="Arial"/>
                <w:bCs/>
                <w:sz w:val="20"/>
                <w:szCs w:val="20"/>
                <w:lang w:eastAsia="pl-PL"/>
              </w:rPr>
              <w:t>, biologiczny potencjał inhibicyjny (np. nitryfikacja)),</w:t>
            </w:r>
          </w:p>
          <w:p w14:paraId="7E1E20F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(iii) informacje na tyle wyczerpujące, na ile jest to racjonalnie możliwe, o cechach strumieni gazów odlotowych, takie jak:</w:t>
            </w:r>
          </w:p>
          <w:p w14:paraId="64E49832"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 wartości średnie i zmienność przepływu oraz temperatury,</w:t>
            </w:r>
          </w:p>
          <w:p w14:paraId="30AFB3F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b) średnie stężenie i wartości ładunków danych zanieczyszczeń/parametrów i ich zmienność (np. LZO, CO, </w:t>
            </w:r>
            <w:proofErr w:type="spellStart"/>
            <w:r w:rsidRPr="00E02F30">
              <w:rPr>
                <w:rFonts w:eastAsia="Times New Roman" w:cs="Arial"/>
                <w:bCs/>
                <w:sz w:val="20"/>
                <w:szCs w:val="20"/>
                <w:lang w:eastAsia="pl-PL"/>
              </w:rPr>
              <w:t>NOx</w:t>
            </w:r>
            <w:proofErr w:type="spellEnd"/>
            <w:r w:rsidRPr="00E02F30">
              <w:rPr>
                <w:rFonts w:eastAsia="Times New Roman" w:cs="Arial"/>
                <w:bCs/>
                <w:sz w:val="20"/>
                <w:szCs w:val="20"/>
                <w:lang w:eastAsia="pl-PL"/>
              </w:rPr>
              <w:t xml:space="preserve">, </w:t>
            </w:r>
            <w:proofErr w:type="spellStart"/>
            <w:r w:rsidRPr="00E02F30">
              <w:rPr>
                <w:rFonts w:eastAsia="Times New Roman" w:cs="Arial"/>
                <w:bCs/>
                <w:sz w:val="20"/>
                <w:szCs w:val="20"/>
                <w:lang w:eastAsia="pl-PL"/>
              </w:rPr>
              <w:t>SOx</w:t>
            </w:r>
            <w:proofErr w:type="spellEnd"/>
            <w:r w:rsidRPr="00E02F30">
              <w:rPr>
                <w:rFonts w:eastAsia="Times New Roman" w:cs="Arial"/>
                <w:bCs/>
                <w:sz w:val="20"/>
                <w:szCs w:val="20"/>
                <w:lang w:eastAsia="pl-PL"/>
              </w:rPr>
              <w:t>, chlor, chlorowodór),</w:t>
            </w:r>
          </w:p>
          <w:p w14:paraId="5F9809F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c) palność, górna/dolna granica wybuchowości, reaktywność,</w:t>
            </w:r>
          </w:p>
          <w:p w14:paraId="66C2E62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d) obecność innych substancji mogących wpływać na układ oczyszczania gazu odlotowego lub bezpieczeństwo zespołu urządzeń (np. tlenu, azotu, pary wodnej, pyłu).</w:t>
            </w:r>
          </w:p>
        </w:tc>
      </w:tr>
      <w:tr w:rsidR="00E02F30" w:rsidRPr="00E02F30" w14:paraId="7DA3DA19" w14:textId="77777777" w:rsidTr="00A1631B">
        <w:trPr>
          <w:trHeight w:val="3448"/>
        </w:trPr>
        <w:tc>
          <w:tcPr>
            <w:tcW w:w="2694" w:type="dxa"/>
            <w:gridSpan w:val="4"/>
            <w:shd w:val="clear" w:color="auto" w:fill="auto"/>
          </w:tcPr>
          <w:p w14:paraId="08CD17A3"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3F107506"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7938" w:type="dxa"/>
            <w:shd w:val="clear" w:color="auto" w:fill="auto"/>
          </w:tcPr>
          <w:p w14:paraId="7566327B" w14:textId="77777777" w:rsidR="00E02F30" w:rsidRPr="00E02F30" w:rsidRDefault="00E02F30" w:rsidP="00E02F30">
            <w:pPr>
              <w:tabs>
                <w:tab w:val="left" w:pos="4700"/>
              </w:tabs>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6CAB879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System zarządzania środowiskowego obejmuje wykaz </w:t>
            </w:r>
            <w:proofErr w:type="spellStart"/>
            <w:r w:rsidRPr="00E02F30">
              <w:rPr>
                <w:rFonts w:eastAsia="Times New Roman" w:cs="Arial"/>
                <w:bCs/>
                <w:sz w:val="20"/>
                <w:szCs w:val="20"/>
                <w:lang w:eastAsia="pl-PL"/>
              </w:rPr>
              <w:t>wykaz</w:t>
            </w:r>
            <w:proofErr w:type="spellEnd"/>
            <w:r w:rsidRPr="00E02F30">
              <w:rPr>
                <w:rFonts w:eastAsia="Times New Roman" w:cs="Arial"/>
                <w:bCs/>
                <w:sz w:val="20"/>
                <w:szCs w:val="20"/>
                <w:lang w:eastAsia="pl-PL"/>
              </w:rPr>
              <w:t xml:space="preserve"> strumieni ścieków i gazów odpadowych, który zawiera m.in.:</w:t>
            </w:r>
          </w:p>
          <w:p w14:paraId="0B7D0C0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(i) informacje o procesach chemicznych, w tym równania reakcji chemicznych oraz schematy procesów z uwzględnieniem pochodzenia emisji – informacje te są zawarte w Instrukcjach Ruchowych IR i Arkuszach Technologicznych AT oraz w Opisach Procesów Technologicznych OPT,</w:t>
            </w:r>
          </w:p>
          <w:p w14:paraId="5742A16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(ii) informacje o emisjach ścieków, w tym o składzie ścieków oraz stężenia i wartości ładunków parametrów określonych do monitorowania w obowiązującym pozwoleniu zintegrowanym, </w:t>
            </w:r>
          </w:p>
          <w:p w14:paraId="32381111"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(iii) informacje o emisjach gazów odlotowych, w tym m.in.: przepływ, temperaturę, średnie stężenie i wartości ładunków danych zanieczyszczeń/parametrów i ich zmienność </w:t>
            </w:r>
          </w:p>
          <w:p w14:paraId="2BF388AD" w14:textId="77777777" w:rsidR="00E02F30" w:rsidRPr="00E02F30" w:rsidRDefault="00E02F30" w:rsidP="00E02F30">
            <w:pPr>
              <w:spacing w:after="0" w:line="240" w:lineRule="auto"/>
              <w:jc w:val="both"/>
              <w:rPr>
                <w:rFonts w:eastAsia="Times New Roman" w:cs="Arial"/>
                <w:bCs/>
                <w:sz w:val="20"/>
                <w:szCs w:val="20"/>
                <w:lang w:eastAsia="pl-PL"/>
              </w:rPr>
            </w:pPr>
          </w:p>
          <w:p w14:paraId="38CF23F9"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Ścieki przemysłowe z instalacji IPPC nie są i nie będą bezpośrednio z zakładu wprowadzane do wód lub do ziemi. Odprowadza się je do sieci kanalizacyjnych wewnątrz wydziałowych, a następnie wspólnym kolektorem kanalizacyjnym ścieków przemysłowych kierowane są do urządzeń kanalizacyjnych CIECH Sarzyna S.A. Następnie ścieki przemysłowe, jako mieszanina z 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o.o., CIECH Sarzyna S.A. i od innych podmiotów odprowadzane są do urządzeń kanalizacyjnych Komunalnej Biologicznej Oczyszczalni Ścieków Sp. z o.o. (KBOŚ).</w:t>
            </w:r>
          </w:p>
        </w:tc>
      </w:tr>
      <w:tr w:rsidR="00E02F30" w:rsidRPr="00E02F30" w14:paraId="3221D831" w14:textId="77777777" w:rsidTr="00A1631B">
        <w:trPr>
          <w:trHeight w:val="284"/>
        </w:trPr>
        <w:tc>
          <w:tcPr>
            <w:tcW w:w="10632" w:type="dxa"/>
            <w:gridSpan w:val="5"/>
            <w:shd w:val="clear" w:color="auto" w:fill="auto"/>
          </w:tcPr>
          <w:p w14:paraId="11F2FEB3"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Monitorowanie</w:t>
            </w:r>
          </w:p>
        </w:tc>
      </w:tr>
      <w:tr w:rsidR="00E02F30" w:rsidRPr="00E02F30" w14:paraId="7280E21A" w14:textId="77777777" w:rsidTr="00A1631B">
        <w:trPr>
          <w:trHeight w:val="284"/>
        </w:trPr>
        <w:tc>
          <w:tcPr>
            <w:tcW w:w="10632" w:type="dxa"/>
            <w:gridSpan w:val="5"/>
            <w:shd w:val="clear" w:color="auto" w:fill="auto"/>
          </w:tcPr>
          <w:p w14:paraId="576FAE5C" w14:textId="77777777" w:rsidR="00E02F30" w:rsidRPr="00E02F30" w:rsidRDefault="00E02F30" w:rsidP="00E02F30">
            <w:pPr>
              <w:spacing w:after="0" w:line="240" w:lineRule="auto"/>
              <w:jc w:val="both"/>
              <w:rPr>
                <w:rFonts w:eastAsia="Calibri" w:cs="Arial"/>
                <w:color w:val="000000"/>
                <w:sz w:val="20"/>
                <w:szCs w:val="20"/>
                <w:lang w:eastAsia="pl-PL"/>
              </w:rPr>
            </w:pPr>
            <w:r w:rsidRPr="00E02F30">
              <w:rPr>
                <w:rFonts w:eastAsia="Times New Roman" w:cs="Arial"/>
                <w:b/>
                <w:bCs/>
                <w:sz w:val="20"/>
                <w:szCs w:val="20"/>
                <w:lang w:eastAsia="pl-PL"/>
              </w:rPr>
              <w:t>BAT 3.</w:t>
            </w:r>
            <w:r w:rsidRPr="00E02F30">
              <w:rPr>
                <w:rFonts w:eastAsia="Times New Roman" w:cs="Arial"/>
                <w:sz w:val="20"/>
                <w:szCs w:val="20"/>
                <w:lang w:eastAsia="pl-PL"/>
              </w:rPr>
              <w:t xml:space="preserve"> W przypadku istotnych emisji do wody określonych w wykazie strumieni ścieków (zob. BAT 2), w ramach BAT należy monitorować kluczowe parametry procesu (w tym stale monitorować przepływ ścieków, </w:t>
            </w:r>
            <w:proofErr w:type="spellStart"/>
            <w:r w:rsidRPr="00E02F30">
              <w:rPr>
                <w:rFonts w:eastAsia="Times New Roman" w:cs="Arial"/>
                <w:sz w:val="20"/>
                <w:szCs w:val="20"/>
                <w:lang w:eastAsia="pl-PL"/>
              </w:rPr>
              <w:t>pH</w:t>
            </w:r>
            <w:proofErr w:type="spellEnd"/>
            <w:r w:rsidRPr="00E02F30">
              <w:rPr>
                <w:rFonts w:eastAsia="Times New Roman" w:cs="Arial"/>
                <w:sz w:val="20"/>
                <w:szCs w:val="20"/>
                <w:lang w:eastAsia="pl-PL"/>
              </w:rPr>
              <w:t xml:space="preserve"> i temperaturę) w kluczowych lokalizacjach (np. dopływ ścieku - podczyszczanie, dopływ ścieku - obróbka końcowa).</w:t>
            </w:r>
          </w:p>
        </w:tc>
      </w:tr>
      <w:tr w:rsidR="00E02F30" w:rsidRPr="00E02F30" w14:paraId="20DC96E1" w14:textId="77777777" w:rsidTr="00A1631B">
        <w:trPr>
          <w:trHeight w:val="284"/>
        </w:trPr>
        <w:tc>
          <w:tcPr>
            <w:tcW w:w="2694" w:type="dxa"/>
            <w:gridSpan w:val="4"/>
            <w:shd w:val="clear" w:color="auto" w:fill="auto"/>
          </w:tcPr>
          <w:p w14:paraId="556EE1C0"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19D76895"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7938" w:type="dxa"/>
            <w:shd w:val="clear" w:color="auto" w:fill="auto"/>
          </w:tcPr>
          <w:p w14:paraId="77D3C9D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Ścieki technologiczne (przemysłowe) zbierane są systemem kanalizacji przemysłowej i razem z wodami opadowymi i roztopowymi na podstawie pisemnej zgody są odprowadzane zbiorczym kolektorem do sieci CIECH Sarzyna S.A. </w:t>
            </w:r>
          </w:p>
          <w:p w14:paraId="12F2E8F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Strumienie ścieków technologicznych z poszczególnych instalacji produkcyjnych i obiektów pomocniczych, po ich mechanicznym, fizykochemicznym i chemicznym podczyszczeniu, odprowadza się do sieci kanalizacyjnych wewnątrz wydziałowych, a następnie wspólnym kolektorem kanalizacyjnym ścieków przemysłowych kierowane są do urządzeń kanalizacyjnych CIECH Sarzyna S.A. Następnie ścieki przemysłowe, jako mieszanina z 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o.o., CIECH Sarzyna S.A. i od innych podmiotów odprowadzane są do urządzeń kanalizacyjnych Komunalnej Biologicznej Oczyszczalni Ścieków Sp. z o.o. (KBOŚ).</w:t>
            </w:r>
          </w:p>
          <w:p w14:paraId="0BDF231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o.o. na wprowadzanie ścieków przemysłowych zawierających substancje szczególnie szkodliwe dla środowiska wodnego do urządzeń kanalizacyjnych do urządzeń kanalizacyjnych, będących własnością CIECH Sarzyna S.A., posiada pozwolenie wodnoprawne udzielone decyzją Dyrektora Regionalnego Zarządu Gospodarki Wodnej w Rzeszowie PGW WP znak RZ.RUZ.421.131.2019.JM z dnia 19 grudnia 2019 r. </w:t>
            </w:r>
          </w:p>
          <w:p w14:paraId="0A5121E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Monitoring ilości i jakości odprowadzanych ścieków jest realizowany przez Spółkę zgodnie z obowiązującym pozwoleniem wodnoprawnym.</w:t>
            </w:r>
          </w:p>
          <w:p w14:paraId="658DCBB8" w14:textId="77777777" w:rsidR="00E02F30" w:rsidRPr="00E02F30" w:rsidRDefault="00E02F30" w:rsidP="00E02F30">
            <w:pPr>
              <w:spacing w:after="0" w:line="240" w:lineRule="auto"/>
              <w:jc w:val="both"/>
              <w:rPr>
                <w:rFonts w:eastAsia="Times New Roman" w:cs="Arial"/>
                <w:b/>
                <w:bCs/>
                <w:sz w:val="20"/>
                <w:szCs w:val="20"/>
                <w:lang w:eastAsia="pl-PL"/>
              </w:rPr>
            </w:pPr>
            <w:r w:rsidRPr="00E02F30">
              <w:rPr>
                <w:rFonts w:eastAsia="Times New Roman" w:cs="Arial"/>
                <w:b/>
                <w:bCs/>
                <w:sz w:val="20"/>
                <w:szCs w:val="20"/>
                <w:lang w:eastAsia="pl-PL"/>
              </w:rPr>
              <w:t>Ścieki przemysłowe z instalacji IPPC nie są i nie będą bezpośrednio z zakładu wprowadzane do wód lub do ziemi.</w:t>
            </w:r>
          </w:p>
          <w:p w14:paraId="0BCD2BE9" w14:textId="77777777" w:rsidR="00E02F30" w:rsidRPr="00E02F30" w:rsidRDefault="00E02F30" w:rsidP="00E02F30">
            <w:pPr>
              <w:spacing w:after="0" w:line="240" w:lineRule="auto"/>
              <w:jc w:val="both"/>
              <w:rPr>
                <w:rFonts w:eastAsia="Times New Roman" w:cs="Arial"/>
                <w:sz w:val="20"/>
                <w:szCs w:val="20"/>
                <w:lang w:eastAsia="pl-PL"/>
              </w:rPr>
            </w:pPr>
          </w:p>
          <w:p w14:paraId="591A49DB" w14:textId="77777777" w:rsidR="00E02F30" w:rsidRPr="00E02F30" w:rsidRDefault="00E02F30" w:rsidP="00E02F30">
            <w:pPr>
              <w:spacing w:after="0" w:line="240" w:lineRule="auto"/>
              <w:ind w:left="24"/>
              <w:rPr>
                <w:rFonts w:eastAsia="Times New Roman" w:cs="Arial"/>
                <w:b/>
                <w:sz w:val="20"/>
                <w:szCs w:val="20"/>
                <w:lang w:eastAsia="pl-PL"/>
              </w:rPr>
            </w:pPr>
            <w:r w:rsidRPr="00E02F30">
              <w:rPr>
                <w:rFonts w:eastAsia="Times New Roman" w:cs="Arial"/>
                <w:b/>
                <w:sz w:val="20"/>
                <w:szCs w:val="20"/>
                <w:lang w:eastAsia="pl-PL"/>
              </w:rPr>
              <w:t>Rodzaje strumieni ścieków z przedmiotowej instalacji:</w:t>
            </w:r>
          </w:p>
          <w:p w14:paraId="609049F2" w14:textId="77777777" w:rsidR="00E02F30" w:rsidRPr="00E02F30" w:rsidRDefault="00E02F30" w:rsidP="00E02F30">
            <w:pPr>
              <w:spacing w:after="0" w:line="240" w:lineRule="auto"/>
              <w:ind w:left="24"/>
              <w:rPr>
                <w:rFonts w:eastAsia="Times New Roman" w:cs="Arial"/>
                <w:bCs/>
                <w:sz w:val="20"/>
                <w:szCs w:val="20"/>
                <w:lang w:eastAsia="pl-PL"/>
              </w:rPr>
            </w:pPr>
            <w:r w:rsidRPr="00E02F30">
              <w:rPr>
                <w:rFonts w:eastAsia="Times New Roman" w:cs="Arial"/>
                <w:bCs/>
                <w:sz w:val="20"/>
                <w:szCs w:val="20"/>
                <w:lang w:eastAsia="pl-PL"/>
              </w:rPr>
              <w:t>- ścieki z łapacza komorowego szlamów, ścieki z pomp próżniowych i hermetyzacji kwaśnej,</w:t>
            </w:r>
          </w:p>
          <w:p w14:paraId="1A71BEA1" w14:textId="77777777" w:rsidR="00E02F30" w:rsidRPr="00E02F30" w:rsidRDefault="00E02F30" w:rsidP="00E02F30">
            <w:pPr>
              <w:spacing w:after="0" w:line="240" w:lineRule="auto"/>
              <w:ind w:left="24"/>
              <w:rPr>
                <w:rFonts w:eastAsia="Times New Roman" w:cs="Arial"/>
                <w:bCs/>
                <w:sz w:val="20"/>
                <w:szCs w:val="20"/>
                <w:lang w:eastAsia="pl-PL"/>
              </w:rPr>
            </w:pPr>
            <w:r w:rsidRPr="00E02F30">
              <w:rPr>
                <w:rFonts w:eastAsia="Times New Roman" w:cs="Arial"/>
                <w:bCs/>
                <w:sz w:val="20"/>
                <w:szCs w:val="20"/>
                <w:lang w:eastAsia="pl-PL"/>
              </w:rPr>
              <w:t>- ścieki z odstojnika komorowego</w:t>
            </w:r>
          </w:p>
          <w:p w14:paraId="18AAE7AE" w14:textId="77777777" w:rsidR="00E02F30" w:rsidRPr="00E02F30" w:rsidRDefault="00E02F30" w:rsidP="00E02F30">
            <w:pPr>
              <w:spacing w:after="0" w:line="240" w:lineRule="auto"/>
              <w:ind w:left="24"/>
              <w:rPr>
                <w:rFonts w:eastAsia="Times New Roman" w:cs="Arial"/>
                <w:bCs/>
                <w:sz w:val="20"/>
                <w:szCs w:val="20"/>
                <w:lang w:eastAsia="pl-PL"/>
              </w:rPr>
            </w:pPr>
            <w:r w:rsidRPr="00E02F30">
              <w:rPr>
                <w:rFonts w:eastAsia="Times New Roman" w:cs="Arial"/>
                <w:bCs/>
                <w:sz w:val="20"/>
                <w:szCs w:val="20"/>
                <w:lang w:eastAsia="pl-PL"/>
              </w:rPr>
              <w:t>- ścieki z mis zbiorników magazynowych i pomp</w:t>
            </w:r>
          </w:p>
          <w:p w14:paraId="6F86B2BC" w14:textId="77777777" w:rsidR="00E02F30" w:rsidRPr="00E02F30" w:rsidRDefault="00E02F30" w:rsidP="00E02F30">
            <w:pPr>
              <w:spacing w:after="0" w:line="240" w:lineRule="auto"/>
              <w:ind w:left="24"/>
              <w:rPr>
                <w:rFonts w:eastAsia="Times New Roman" w:cs="Arial"/>
                <w:bCs/>
                <w:sz w:val="20"/>
                <w:szCs w:val="20"/>
                <w:lang w:eastAsia="pl-PL"/>
              </w:rPr>
            </w:pPr>
            <w:r w:rsidRPr="00E02F30">
              <w:rPr>
                <w:rFonts w:eastAsia="Times New Roman" w:cs="Arial"/>
                <w:bCs/>
                <w:sz w:val="20"/>
                <w:szCs w:val="20"/>
                <w:lang w:eastAsia="pl-PL"/>
              </w:rPr>
              <w:t>- ścieki woda poreakcyjna  z etapu kondensacji żywic (</w:t>
            </w:r>
            <w:proofErr w:type="spellStart"/>
            <w:r w:rsidRPr="00E02F30">
              <w:rPr>
                <w:rFonts w:eastAsia="Times New Roman" w:cs="Arial"/>
                <w:bCs/>
                <w:sz w:val="20"/>
                <w:szCs w:val="20"/>
                <w:lang w:eastAsia="pl-PL"/>
              </w:rPr>
              <w:t>alkidów</w:t>
            </w:r>
            <w:proofErr w:type="spellEnd"/>
            <w:r w:rsidRPr="00E02F30">
              <w:rPr>
                <w:rFonts w:eastAsia="Times New Roman" w:cs="Arial"/>
                <w:bCs/>
                <w:sz w:val="20"/>
                <w:szCs w:val="20"/>
                <w:lang w:eastAsia="pl-PL"/>
              </w:rPr>
              <w:t>), z produkcji poliestru nasyconego</w:t>
            </w:r>
          </w:p>
          <w:p w14:paraId="1D83BCCD" w14:textId="77777777" w:rsidR="00E02F30" w:rsidRPr="00E02F30" w:rsidRDefault="00E02F30" w:rsidP="00E02F30">
            <w:pPr>
              <w:spacing w:after="0" w:line="240" w:lineRule="auto"/>
              <w:ind w:left="24"/>
              <w:rPr>
                <w:rFonts w:eastAsia="Times New Roman" w:cs="Arial"/>
                <w:bCs/>
                <w:sz w:val="20"/>
                <w:szCs w:val="20"/>
                <w:lang w:eastAsia="pl-PL"/>
              </w:rPr>
            </w:pPr>
            <w:r w:rsidRPr="00E02F30">
              <w:rPr>
                <w:rFonts w:eastAsia="Times New Roman" w:cs="Arial"/>
                <w:bCs/>
                <w:sz w:val="20"/>
                <w:szCs w:val="20"/>
                <w:lang w:eastAsia="pl-PL"/>
              </w:rPr>
              <w:t>- ścieki (woda poreakcyjna) z produkcji żywic na bazie DCPD,</w:t>
            </w:r>
          </w:p>
          <w:p w14:paraId="61EECA87" w14:textId="77777777" w:rsidR="00E02F30" w:rsidRPr="00E02F30" w:rsidRDefault="00E02F30" w:rsidP="00E02F30">
            <w:pPr>
              <w:spacing w:after="0" w:line="240" w:lineRule="auto"/>
              <w:ind w:left="24"/>
              <w:rPr>
                <w:rFonts w:eastAsia="Times New Roman" w:cs="Arial"/>
                <w:bCs/>
                <w:sz w:val="20"/>
                <w:szCs w:val="20"/>
                <w:lang w:eastAsia="pl-PL"/>
              </w:rPr>
            </w:pPr>
            <w:r w:rsidRPr="00E02F30">
              <w:rPr>
                <w:rFonts w:eastAsia="Times New Roman" w:cs="Arial"/>
                <w:bCs/>
                <w:sz w:val="20"/>
                <w:szCs w:val="20"/>
                <w:lang w:eastAsia="pl-PL"/>
              </w:rPr>
              <w:t xml:space="preserve">Charakterystyczne parametry to: </w:t>
            </w:r>
            <w:proofErr w:type="spellStart"/>
            <w:r w:rsidRPr="00E02F30">
              <w:rPr>
                <w:rFonts w:eastAsia="Times New Roman" w:cs="Arial"/>
                <w:bCs/>
                <w:sz w:val="20"/>
                <w:szCs w:val="20"/>
                <w:lang w:eastAsia="pl-PL"/>
              </w:rPr>
              <w:t>ChZT</w:t>
            </w:r>
            <w:proofErr w:type="spellEnd"/>
            <w:r w:rsidRPr="00E02F30">
              <w:rPr>
                <w:rFonts w:eastAsia="Times New Roman" w:cs="Arial"/>
                <w:bCs/>
                <w:sz w:val="20"/>
                <w:szCs w:val="20"/>
                <w:lang w:eastAsia="pl-PL"/>
              </w:rPr>
              <w:t xml:space="preserve">, </w:t>
            </w:r>
            <w:proofErr w:type="spellStart"/>
            <w:r w:rsidRPr="00E02F30">
              <w:rPr>
                <w:rFonts w:eastAsia="Times New Roman" w:cs="Arial"/>
                <w:bCs/>
                <w:sz w:val="20"/>
                <w:szCs w:val="20"/>
                <w:lang w:eastAsia="pl-PL"/>
              </w:rPr>
              <w:t>pH</w:t>
            </w:r>
            <w:proofErr w:type="spellEnd"/>
            <w:r w:rsidRPr="00E02F30">
              <w:rPr>
                <w:rFonts w:eastAsia="Times New Roman" w:cs="Arial"/>
                <w:bCs/>
                <w:sz w:val="20"/>
                <w:szCs w:val="20"/>
                <w:lang w:eastAsia="pl-PL"/>
              </w:rPr>
              <w:t>, azot amonowy.</w:t>
            </w:r>
          </w:p>
        </w:tc>
      </w:tr>
      <w:tr w:rsidR="00E02F30" w:rsidRPr="00E02F30" w14:paraId="4DC9B22E" w14:textId="77777777" w:rsidTr="00A1631B">
        <w:trPr>
          <w:trHeight w:val="284"/>
        </w:trPr>
        <w:tc>
          <w:tcPr>
            <w:tcW w:w="10632" w:type="dxa"/>
            <w:gridSpan w:val="5"/>
            <w:shd w:val="clear" w:color="auto" w:fill="auto"/>
          </w:tcPr>
          <w:p w14:paraId="4994F68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b/>
                <w:sz w:val="20"/>
                <w:szCs w:val="20"/>
                <w:lang w:eastAsia="pl-PL"/>
              </w:rPr>
              <w:t xml:space="preserve">BAT 4. </w:t>
            </w:r>
            <w:r w:rsidRPr="00E02F30">
              <w:rPr>
                <w:rFonts w:eastAsia="Times New Roman" w:cs="Arial"/>
                <w:sz w:val="20"/>
                <w:szCs w:val="20"/>
                <w:lang w:eastAsia="pl-PL"/>
              </w:rPr>
              <w:t>W ramach BAT należy monitorować emisje do wody zgodnie z normami EN co najmniej z minimalną częstotliwością podaną poniżej. Jeżeli normy EN nie są dostępne, w ramach BAT należy stosować normy ISO, normy krajowe lub inne międzynarodowe normy zapewniające uzyskiwanie danych o równorzędnej jakości naukowej.</w:t>
            </w:r>
          </w:p>
          <w:tbl>
            <w:tblPr>
              <w:tblW w:w="0" w:type="auto"/>
              <w:tblCellSpacing w:w="0" w:type="auto"/>
              <w:tblBorders>
                <w:top w:val="single" w:sz="8" w:space="0" w:color="000000"/>
                <w:bottom w:val="single" w:sz="8" w:space="0" w:color="000000"/>
              </w:tblBorders>
              <w:tblLayout w:type="fixed"/>
              <w:tblLook w:val="04A0" w:firstRow="1" w:lastRow="0" w:firstColumn="1" w:lastColumn="0" w:noHBand="0" w:noVBand="1"/>
            </w:tblPr>
            <w:tblGrid>
              <w:gridCol w:w="1942"/>
              <w:gridCol w:w="3375"/>
              <w:gridCol w:w="1942"/>
              <w:gridCol w:w="2865"/>
            </w:tblGrid>
            <w:tr w:rsidR="00E02F30" w:rsidRPr="00E02F30" w14:paraId="22F47527" w14:textId="77777777" w:rsidTr="00A1631B">
              <w:trPr>
                <w:trHeight w:val="44"/>
                <w:tblCellSpacing w:w="0" w:type="auto"/>
              </w:trPr>
              <w:tc>
                <w:tcPr>
                  <w:tcW w:w="5317" w:type="dxa"/>
                  <w:gridSpan w:val="2"/>
                  <w:tcBorders>
                    <w:bottom w:val="single" w:sz="8" w:space="0" w:color="000000"/>
                    <w:right w:val="single" w:sz="8" w:space="0" w:color="000000"/>
                  </w:tcBorders>
                  <w:tcMar>
                    <w:top w:w="15" w:type="dxa"/>
                    <w:left w:w="15" w:type="dxa"/>
                    <w:bottom w:w="15" w:type="dxa"/>
                    <w:right w:w="15" w:type="dxa"/>
                  </w:tcMar>
                  <w:vAlign w:val="center"/>
                </w:tcPr>
                <w:p w14:paraId="72C35DA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Substancja/parametr</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4BEBE49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Norma(-y)</w:t>
                  </w:r>
                </w:p>
              </w:tc>
              <w:tc>
                <w:tcPr>
                  <w:tcW w:w="2864" w:type="dxa"/>
                  <w:tcBorders>
                    <w:bottom w:val="single" w:sz="8" w:space="0" w:color="000000"/>
                  </w:tcBorders>
                  <w:tcMar>
                    <w:top w:w="15" w:type="dxa"/>
                    <w:left w:w="15" w:type="dxa"/>
                    <w:bottom w:w="15" w:type="dxa"/>
                    <w:right w:w="15" w:type="dxa"/>
                  </w:tcMar>
                  <w:vAlign w:val="center"/>
                </w:tcPr>
                <w:p w14:paraId="33AD85D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Minimalna częstotliwość monitorowania </w:t>
                  </w:r>
                  <w:r w:rsidRPr="00E02F30">
                    <w:rPr>
                      <w:rFonts w:eastAsia="Times New Roman" w:cs="Arial"/>
                      <w:sz w:val="20"/>
                      <w:szCs w:val="20"/>
                      <w:vertAlign w:val="superscript"/>
                      <w:lang w:eastAsia="pl-PL"/>
                    </w:rPr>
                    <w:t>(1)</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(2)</w:t>
                  </w:r>
                </w:p>
              </w:tc>
            </w:tr>
            <w:tr w:rsidR="00E02F30" w:rsidRPr="00E02F30" w14:paraId="4F94E302" w14:textId="77777777" w:rsidTr="00A1631B">
              <w:trPr>
                <w:trHeight w:val="44"/>
                <w:tblCellSpacing w:w="0" w:type="auto"/>
              </w:trPr>
              <w:tc>
                <w:tcPr>
                  <w:tcW w:w="5317" w:type="dxa"/>
                  <w:gridSpan w:val="2"/>
                  <w:tcBorders>
                    <w:bottom w:val="single" w:sz="8" w:space="0" w:color="000000"/>
                    <w:right w:val="single" w:sz="8" w:space="0" w:color="000000"/>
                  </w:tcBorders>
                  <w:tcMar>
                    <w:top w:w="15" w:type="dxa"/>
                    <w:left w:w="15" w:type="dxa"/>
                    <w:bottom w:w="15" w:type="dxa"/>
                    <w:right w:w="15" w:type="dxa"/>
                  </w:tcMar>
                  <w:vAlign w:val="center"/>
                </w:tcPr>
                <w:p w14:paraId="173F302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Ogólny węgiel organiczny (OWO) </w:t>
                  </w:r>
                  <w:r w:rsidRPr="00E02F30">
                    <w:rPr>
                      <w:rFonts w:eastAsia="Times New Roman" w:cs="Arial"/>
                      <w:sz w:val="20"/>
                      <w:szCs w:val="20"/>
                      <w:vertAlign w:val="superscript"/>
                      <w:lang w:eastAsia="pl-PL"/>
                    </w:rPr>
                    <w:t>(3)</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6E276A4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EN 1484</w:t>
                  </w:r>
                </w:p>
              </w:tc>
              <w:tc>
                <w:tcPr>
                  <w:tcW w:w="2864" w:type="dxa"/>
                  <w:vMerge w:val="restart"/>
                  <w:tcBorders>
                    <w:bottom w:val="single" w:sz="8" w:space="0" w:color="000000"/>
                  </w:tcBorders>
                  <w:tcMar>
                    <w:top w:w="15" w:type="dxa"/>
                    <w:left w:w="15" w:type="dxa"/>
                    <w:bottom w:w="15" w:type="dxa"/>
                    <w:right w:w="15" w:type="dxa"/>
                  </w:tcMar>
                  <w:vAlign w:val="center"/>
                </w:tcPr>
                <w:p w14:paraId="79265B9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Codziennie</w:t>
                  </w:r>
                </w:p>
              </w:tc>
            </w:tr>
            <w:tr w:rsidR="00E02F30" w:rsidRPr="00E02F30" w14:paraId="7B76770F" w14:textId="77777777" w:rsidTr="00A1631B">
              <w:trPr>
                <w:trHeight w:val="44"/>
                <w:tblCellSpacing w:w="0" w:type="auto"/>
              </w:trPr>
              <w:tc>
                <w:tcPr>
                  <w:tcW w:w="5317" w:type="dxa"/>
                  <w:gridSpan w:val="2"/>
                  <w:tcBorders>
                    <w:bottom w:val="single" w:sz="8" w:space="0" w:color="000000"/>
                    <w:right w:val="single" w:sz="8" w:space="0" w:color="000000"/>
                  </w:tcBorders>
                  <w:tcMar>
                    <w:top w:w="15" w:type="dxa"/>
                    <w:left w:w="15" w:type="dxa"/>
                    <w:bottom w:w="15" w:type="dxa"/>
                    <w:right w:w="15" w:type="dxa"/>
                  </w:tcMar>
                  <w:vAlign w:val="center"/>
                </w:tcPr>
                <w:p w14:paraId="1DD5A94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Chemiczne zapotrzebowanie tlenu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(3)</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28CB012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Brak dostępnej normy EN</w:t>
                  </w:r>
                </w:p>
              </w:tc>
              <w:tc>
                <w:tcPr>
                  <w:tcW w:w="2864" w:type="dxa"/>
                  <w:vMerge/>
                  <w:tcBorders>
                    <w:top w:val="nil"/>
                    <w:bottom w:val="single" w:sz="8" w:space="0" w:color="000000"/>
                  </w:tcBorders>
                </w:tcPr>
                <w:p w14:paraId="0EF8D7AB"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6569A331" w14:textId="77777777" w:rsidTr="00A1631B">
              <w:trPr>
                <w:trHeight w:val="44"/>
                <w:tblCellSpacing w:w="0" w:type="auto"/>
              </w:trPr>
              <w:tc>
                <w:tcPr>
                  <w:tcW w:w="5317" w:type="dxa"/>
                  <w:gridSpan w:val="2"/>
                  <w:tcBorders>
                    <w:bottom w:val="single" w:sz="8" w:space="0" w:color="000000"/>
                    <w:right w:val="single" w:sz="8" w:space="0" w:color="000000"/>
                  </w:tcBorders>
                  <w:tcMar>
                    <w:top w:w="15" w:type="dxa"/>
                    <w:left w:w="15" w:type="dxa"/>
                    <w:bottom w:w="15" w:type="dxa"/>
                    <w:right w:w="15" w:type="dxa"/>
                  </w:tcMar>
                  <w:vAlign w:val="center"/>
                </w:tcPr>
                <w:p w14:paraId="0AC286A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Zawiesina ogólna (TSS)</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63B415B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EN 872</w:t>
                  </w:r>
                </w:p>
              </w:tc>
              <w:tc>
                <w:tcPr>
                  <w:tcW w:w="2864" w:type="dxa"/>
                  <w:vMerge/>
                  <w:tcBorders>
                    <w:top w:val="nil"/>
                    <w:bottom w:val="single" w:sz="8" w:space="0" w:color="000000"/>
                  </w:tcBorders>
                </w:tcPr>
                <w:p w14:paraId="0EB23360"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371E99F5" w14:textId="77777777" w:rsidTr="00A1631B">
              <w:trPr>
                <w:trHeight w:val="44"/>
                <w:tblCellSpacing w:w="0" w:type="auto"/>
              </w:trPr>
              <w:tc>
                <w:tcPr>
                  <w:tcW w:w="5317" w:type="dxa"/>
                  <w:gridSpan w:val="2"/>
                  <w:tcBorders>
                    <w:bottom w:val="single" w:sz="8" w:space="0" w:color="000000"/>
                    <w:right w:val="single" w:sz="8" w:space="0" w:color="000000"/>
                  </w:tcBorders>
                  <w:tcMar>
                    <w:top w:w="15" w:type="dxa"/>
                    <w:left w:w="15" w:type="dxa"/>
                    <w:bottom w:w="15" w:type="dxa"/>
                    <w:right w:w="15" w:type="dxa"/>
                  </w:tcMar>
                  <w:vAlign w:val="center"/>
                </w:tcPr>
                <w:p w14:paraId="20A68D4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Azot ogólny (TN) </w:t>
                  </w:r>
                  <w:r w:rsidRPr="00E02F30">
                    <w:rPr>
                      <w:rFonts w:eastAsia="Times New Roman" w:cs="Arial"/>
                      <w:sz w:val="20"/>
                      <w:szCs w:val="20"/>
                      <w:vertAlign w:val="superscript"/>
                      <w:lang w:eastAsia="pl-PL"/>
                    </w:rPr>
                    <w:t>(4)</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3086CE0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EN 12260</w:t>
                  </w:r>
                </w:p>
              </w:tc>
              <w:tc>
                <w:tcPr>
                  <w:tcW w:w="2864" w:type="dxa"/>
                  <w:vMerge/>
                  <w:tcBorders>
                    <w:top w:val="nil"/>
                    <w:bottom w:val="single" w:sz="8" w:space="0" w:color="000000"/>
                  </w:tcBorders>
                </w:tcPr>
                <w:p w14:paraId="3E9A0E2D"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58D2AE41" w14:textId="77777777" w:rsidTr="00A1631B">
              <w:trPr>
                <w:trHeight w:val="44"/>
                <w:tblCellSpacing w:w="0" w:type="auto"/>
              </w:trPr>
              <w:tc>
                <w:tcPr>
                  <w:tcW w:w="5317" w:type="dxa"/>
                  <w:gridSpan w:val="2"/>
                  <w:tcBorders>
                    <w:bottom w:val="single" w:sz="8" w:space="0" w:color="000000"/>
                    <w:right w:val="single" w:sz="8" w:space="0" w:color="000000"/>
                  </w:tcBorders>
                  <w:tcMar>
                    <w:top w:w="15" w:type="dxa"/>
                    <w:left w:w="15" w:type="dxa"/>
                    <w:bottom w:w="15" w:type="dxa"/>
                    <w:right w:w="15" w:type="dxa"/>
                  </w:tcMar>
                  <w:vAlign w:val="center"/>
                </w:tcPr>
                <w:p w14:paraId="2C051C0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Azot ogólny nieorganiczny (</w:t>
                  </w:r>
                  <w:proofErr w:type="spellStart"/>
                  <w:r w:rsidRPr="00E02F30">
                    <w:rPr>
                      <w:rFonts w:eastAsia="Times New Roman" w:cs="Arial"/>
                      <w:sz w:val="20"/>
                      <w:szCs w:val="20"/>
                      <w:lang w:eastAsia="pl-PL"/>
                    </w:rPr>
                    <w:t>N</w:t>
                  </w:r>
                  <w:r w:rsidRPr="00E02F30">
                    <w:rPr>
                      <w:rFonts w:eastAsia="Times New Roman" w:cs="Arial"/>
                      <w:sz w:val="20"/>
                      <w:szCs w:val="20"/>
                      <w:vertAlign w:val="subscript"/>
                      <w:lang w:eastAsia="pl-PL"/>
                    </w:rPr>
                    <w:t>inorg</w:t>
                  </w:r>
                  <w:proofErr w:type="spellEnd"/>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(4)</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5B11121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Dostępne różne normy EN</w:t>
                  </w:r>
                </w:p>
              </w:tc>
              <w:tc>
                <w:tcPr>
                  <w:tcW w:w="2864" w:type="dxa"/>
                  <w:vMerge/>
                  <w:tcBorders>
                    <w:top w:val="nil"/>
                    <w:bottom w:val="single" w:sz="8" w:space="0" w:color="000000"/>
                  </w:tcBorders>
                </w:tcPr>
                <w:p w14:paraId="38EF8BCB"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28047333" w14:textId="77777777" w:rsidTr="00A1631B">
              <w:trPr>
                <w:trHeight w:val="44"/>
                <w:tblCellSpacing w:w="0" w:type="auto"/>
              </w:trPr>
              <w:tc>
                <w:tcPr>
                  <w:tcW w:w="5317" w:type="dxa"/>
                  <w:gridSpan w:val="2"/>
                  <w:tcBorders>
                    <w:bottom w:val="single" w:sz="8" w:space="0" w:color="000000"/>
                    <w:right w:val="single" w:sz="8" w:space="0" w:color="000000"/>
                  </w:tcBorders>
                  <w:tcMar>
                    <w:top w:w="15" w:type="dxa"/>
                    <w:left w:w="15" w:type="dxa"/>
                    <w:bottom w:w="15" w:type="dxa"/>
                    <w:right w:w="15" w:type="dxa"/>
                  </w:tcMar>
                  <w:vAlign w:val="center"/>
                </w:tcPr>
                <w:p w14:paraId="2573E6B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Fosfor ogólny (TP)</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6A66613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Dostępne różne normy EN</w:t>
                  </w:r>
                </w:p>
              </w:tc>
              <w:tc>
                <w:tcPr>
                  <w:tcW w:w="2864" w:type="dxa"/>
                  <w:vMerge/>
                  <w:tcBorders>
                    <w:top w:val="nil"/>
                    <w:bottom w:val="single" w:sz="8" w:space="0" w:color="000000"/>
                  </w:tcBorders>
                </w:tcPr>
                <w:p w14:paraId="74ACE61A"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49C5C749" w14:textId="77777777" w:rsidTr="00A1631B">
              <w:trPr>
                <w:trHeight w:val="44"/>
                <w:tblCellSpacing w:w="0" w:type="auto"/>
              </w:trPr>
              <w:tc>
                <w:tcPr>
                  <w:tcW w:w="5317" w:type="dxa"/>
                  <w:gridSpan w:val="2"/>
                  <w:tcBorders>
                    <w:bottom w:val="single" w:sz="8" w:space="0" w:color="000000"/>
                    <w:right w:val="single" w:sz="8" w:space="0" w:color="000000"/>
                  </w:tcBorders>
                  <w:tcMar>
                    <w:top w:w="15" w:type="dxa"/>
                    <w:left w:w="15" w:type="dxa"/>
                    <w:bottom w:w="15" w:type="dxa"/>
                    <w:right w:w="15" w:type="dxa"/>
                  </w:tcMar>
                  <w:vAlign w:val="center"/>
                </w:tcPr>
                <w:p w14:paraId="4DC439D4" w14:textId="77777777" w:rsidR="00E02F30" w:rsidRPr="00E02F30" w:rsidRDefault="00E02F30" w:rsidP="00E02F30">
                  <w:pPr>
                    <w:spacing w:after="0" w:line="240" w:lineRule="auto"/>
                    <w:jc w:val="both"/>
                    <w:rPr>
                      <w:rFonts w:eastAsia="Times New Roman" w:cs="Arial"/>
                      <w:sz w:val="20"/>
                      <w:szCs w:val="20"/>
                      <w:lang w:eastAsia="pl-PL"/>
                    </w:rPr>
                  </w:pPr>
                  <w:proofErr w:type="spellStart"/>
                  <w:r w:rsidRPr="00E02F30">
                    <w:rPr>
                      <w:rFonts w:eastAsia="Times New Roman" w:cs="Arial"/>
                      <w:sz w:val="20"/>
                      <w:szCs w:val="20"/>
                      <w:lang w:eastAsia="pl-PL"/>
                    </w:rPr>
                    <w:t>Adsorbowalne</w:t>
                  </w:r>
                  <w:proofErr w:type="spellEnd"/>
                  <w:r w:rsidRPr="00E02F30">
                    <w:rPr>
                      <w:rFonts w:eastAsia="Times New Roman" w:cs="Arial"/>
                      <w:sz w:val="20"/>
                      <w:szCs w:val="20"/>
                      <w:lang w:eastAsia="pl-PL"/>
                    </w:rPr>
                    <w:t xml:space="preserve"> związki </w:t>
                  </w:r>
                  <w:proofErr w:type="spellStart"/>
                  <w:r w:rsidRPr="00E02F30">
                    <w:rPr>
                      <w:rFonts w:eastAsia="Times New Roman" w:cs="Arial"/>
                      <w:sz w:val="20"/>
                      <w:szCs w:val="20"/>
                      <w:lang w:eastAsia="pl-PL"/>
                    </w:rPr>
                    <w:t>chloroorganiczne</w:t>
                  </w:r>
                  <w:proofErr w:type="spellEnd"/>
                  <w:r w:rsidRPr="00E02F30">
                    <w:rPr>
                      <w:rFonts w:eastAsia="Times New Roman" w:cs="Arial"/>
                      <w:sz w:val="20"/>
                      <w:szCs w:val="20"/>
                      <w:lang w:eastAsia="pl-PL"/>
                    </w:rPr>
                    <w:t xml:space="preserve"> (AOX)</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7BEB4CB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EN ISO 9562</w:t>
                  </w:r>
                </w:p>
              </w:tc>
              <w:tc>
                <w:tcPr>
                  <w:tcW w:w="2864" w:type="dxa"/>
                  <w:vMerge w:val="restart"/>
                  <w:tcBorders>
                    <w:bottom w:val="single" w:sz="8" w:space="0" w:color="000000"/>
                  </w:tcBorders>
                  <w:tcMar>
                    <w:top w:w="15" w:type="dxa"/>
                    <w:left w:w="15" w:type="dxa"/>
                    <w:bottom w:w="15" w:type="dxa"/>
                    <w:right w:w="15" w:type="dxa"/>
                  </w:tcMar>
                  <w:vAlign w:val="center"/>
                </w:tcPr>
                <w:p w14:paraId="0CEBB68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Co miesiąc</w:t>
                  </w:r>
                </w:p>
              </w:tc>
            </w:tr>
            <w:tr w:rsidR="00E02F30" w:rsidRPr="00E02F30" w14:paraId="1133BA96" w14:textId="77777777" w:rsidTr="00A1631B">
              <w:trPr>
                <w:trHeight w:val="44"/>
                <w:tblCellSpacing w:w="0" w:type="auto"/>
              </w:trPr>
              <w:tc>
                <w:tcPr>
                  <w:tcW w:w="1942" w:type="dxa"/>
                  <w:vMerge w:val="restart"/>
                  <w:tcBorders>
                    <w:bottom w:val="single" w:sz="8" w:space="0" w:color="000000"/>
                    <w:right w:val="single" w:sz="8" w:space="0" w:color="000000"/>
                  </w:tcBorders>
                  <w:tcMar>
                    <w:top w:w="15" w:type="dxa"/>
                    <w:left w:w="15" w:type="dxa"/>
                    <w:bottom w:w="15" w:type="dxa"/>
                    <w:right w:w="15" w:type="dxa"/>
                  </w:tcMar>
                  <w:vAlign w:val="center"/>
                </w:tcPr>
                <w:p w14:paraId="437B137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Metale</w:t>
                  </w: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63A75F5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Cr</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2700E6D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Dostępne różne normy EN</w:t>
                  </w:r>
                </w:p>
              </w:tc>
              <w:tc>
                <w:tcPr>
                  <w:tcW w:w="2864" w:type="dxa"/>
                  <w:vMerge/>
                  <w:tcBorders>
                    <w:top w:val="nil"/>
                    <w:bottom w:val="single" w:sz="8" w:space="0" w:color="000000"/>
                  </w:tcBorders>
                </w:tcPr>
                <w:p w14:paraId="68A4B153"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21636ADD" w14:textId="77777777" w:rsidTr="00A1631B">
              <w:trPr>
                <w:trHeight w:val="44"/>
                <w:tblCellSpacing w:w="0" w:type="auto"/>
              </w:trPr>
              <w:tc>
                <w:tcPr>
                  <w:tcW w:w="1942" w:type="dxa"/>
                  <w:vMerge/>
                  <w:tcBorders>
                    <w:top w:val="nil"/>
                    <w:bottom w:val="single" w:sz="8" w:space="0" w:color="000000"/>
                    <w:right w:val="single" w:sz="8" w:space="0" w:color="000000"/>
                  </w:tcBorders>
                </w:tcPr>
                <w:p w14:paraId="0889C285" w14:textId="77777777" w:rsidR="00E02F30" w:rsidRPr="00E02F30" w:rsidRDefault="00E02F30" w:rsidP="00E02F30">
                  <w:pPr>
                    <w:spacing w:after="0" w:line="240" w:lineRule="auto"/>
                    <w:jc w:val="both"/>
                    <w:rPr>
                      <w:rFonts w:eastAsia="Times New Roman" w:cs="Arial"/>
                      <w:sz w:val="20"/>
                      <w:szCs w:val="20"/>
                      <w:lang w:eastAsia="pl-PL"/>
                    </w:rPr>
                  </w:pP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27F81A5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Cu</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74186EDF" w14:textId="77777777" w:rsidR="00E02F30" w:rsidRPr="00E02F30" w:rsidRDefault="00E02F30" w:rsidP="00E02F30">
                  <w:pPr>
                    <w:spacing w:after="0" w:line="240" w:lineRule="auto"/>
                    <w:jc w:val="both"/>
                    <w:rPr>
                      <w:rFonts w:eastAsia="Times New Roman" w:cs="Arial"/>
                      <w:sz w:val="20"/>
                      <w:szCs w:val="20"/>
                      <w:lang w:eastAsia="pl-PL"/>
                    </w:rPr>
                  </w:pPr>
                </w:p>
              </w:tc>
              <w:tc>
                <w:tcPr>
                  <w:tcW w:w="2864" w:type="dxa"/>
                  <w:vMerge/>
                  <w:tcBorders>
                    <w:top w:val="nil"/>
                    <w:bottom w:val="single" w:sz="8" w:space="0" w:color="000000"/>
                  </w:tcBorders>
                </w:tcPr>
                <w:p w14:paraId="68626256"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574B4882" w14:textId="77777777" w:rsidTr="00A1631B">
              <w:trPr>
                <w:trHeight w:val="44"/>
                <w:tblCellSpacing w:w="0" w:type="auto"/>
              </w:trPr>
              <w:tc>
                <w:tcPr>
                  <w:tcW w:w="1942" w:type="dxa"/>
                  <w:vMerge/>
                  <w:tcBorders>
                    <w:top w:val="nil"/>
                    <w:bottom w:val="single" w:sz="8" w:space="0" w:color="000000"/>
                    <w:right w:val="single" w:sz="8" w:space="0" w:color="000000"/>
                  </w:tcBorders>
                </w:tcPr>
                <w:p w14:paraId="7E077028" w14:textId="77777777" w:rsidR="00E02F30" w:rsidRPr="00E02F30" w:rsidRDefault="00E02F30" w:rsidP="00E02F30">
                  <w:pPr>
                    <w:spacing w:after="0" w:line="240" w:lineRule="auto"/>
                    <w:jc w:val="both"/>
                    <w:rPr>
                      <w:rFonts w:eastAsia="Times New Roman" w:cs="Arial"/>
                      <w:sz w:val="20"/>
                      <w:szCs w:val="20"/>
                      <w:lang w:eastAsia="pl-PL"/>
                    </w:rPr>
                  </w:pP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7E66A07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Ni</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42280C9E" w14:textId="77777777" w:rsidR="00E02F30" w:rsidRPr="00E02F30" w:rsidRDefault="00E02F30" w:rsidP="00E02F30">
                  <w:pPr>
                    <w:spacing w:after="0" w:line="240" w:lineRule="auto"/>
                    <w:jc w:val="both"/>
                    <w:rPr>
                      <w:rFonts w:eastAsia="Times New Roman" w:cs="Arial"/>
                      <w:sz w:val="20"/>
                      <w:szCs w:val="20"/>
                      <w:lang w:eastAsia="pl-PL"/>
                    </w:rPr>
                  </w:pPr>
                </w:p>
              </w:tc>
              <w:tc>
                <w:tcPr>
                  <w:tcW w:w="2864" w:type="dxa"/>
                  <w:vMerge/>
                  <w:tcBorders>
                    <w:top w:val="nil"/>
                    <w:bottom w:val="single" w:sz="8" w:space="0" w:color="000000"/>
                  </w:tcBorders>
                </w:tcPr>
                <w:p w14:paraId="1578D335"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2127FC15" w14:textId="77777777" w:rsidTr="00A1631B">
              <w:trPr>
                <w:trHeight w:val="44"/>
                <w:tblCellSpacing w:w="0" w:type="auto"/>
              </w:trPr>
              <w:tc>
                <w:tcPr>
                  <w:tcW w:w="1942" w:type="dxa"/>
                  <w:vMerge/>
                  <w:tcBorders>
                    <w:top w:val="nil"/>
                    <w:bottom w:val="single" w:sz="8" w:space="0" w:color="000000"/>
                    <w:right w:val="single" w:sz="8" w:space="0" w:color="000000"/>
                  </w:tcBorders>
                </w:tcPr>
                <w:p w14:paraId="7E297C2A" w14:textId="77777777" w:rsidR="00E02F30" w:rsidRPr="00E02F30" w:rsidRDefault="00E02F30" w:rsidP="00E02F30">
                  <w:pPr>
                    <w:spacing w:after="0" w:line="240" w:lineRule="auto"/>
                    <w:jc w:val="both"/>
                    <w:rPr>
                      <w:rFonts w:eastAsia="Times New Roman" w:cs="Arial"/>
                      <w:sz w:val="20"/>
                      <w:szCs w:val="20"/>
                      <w:lang w:eastAsia="pl-PL"/>
                    </w:rPr>
                  </w:pP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188D486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Pb</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7F1F55AE" w14:textId="77777777" w:rsidR="00E02F30" w:rsidRPr="00E02F30" w:rsidRDefault="00E02F30" w:rsidP="00E02F30">
                  <w:pPr>
                    <w:spacing w:after="0" w:line="240" w:lineRule="auto"/>
                    <w:jc w:val="both"/>
                    <w:rPr>
                      <w:rFonts w:eastAsia="Times New Roman" w:cs="Arial"/>
                      <w:sz w:val="20"/>
                      <w:szCs w:val="20"/>
                      <w:lang w:eastAsia="pl-PL"/>
                    </w:rPr>
                  </w:pPr>
                </w:p>
              </w:tc>
              <w:tc>
                <w:tcPr>
                  <w:tcW w:w="2864" w:type="dxa"/>
                  <w:vMerge/>
                  <w:tcBorders>
                    <w:top w:val="nil"/>
                    <w:bottom w:val="single" w:sz="8" w:space="0" w:color="000000"/>
                  </w:tcBorders>
                </w:tcPr>
                <w:p w14:paraId="7026F23D"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5F5C9F4C" w14:textId="77777777" w:rsidTr="00A1631B">
              <w:trPr>
                <w:trHeight w:val="44"/>
                <w:tblCellSpacing w:w="0" w:type="auto"/>
              </w:trPr>
              <w:tc>
                <w:tcPr>
                  <w:tcW w:w="1942" w:type="dxa"/>
                  <w:vMerge/>
                  <w:tcBorders>
                    <w:top w:val="nil"/>
                    <w:bottom w:val="single" w:sz="8" w:space="0" w:color="000000"/>
                    <w:right w:val="single" w:sz="8" w:space="0" w:color="000000"/>
                  </w:tcBorders>
                </w:tcPr>
                <w:p w14:paraId="15FE7717" w14:textId="77777777" w:rsidR="00E02F30" w:rsidRPr="00E02F30" w:rsidRDefault="00E02F30" w:rsidP="00E02F30">
                  <w:pPr>
                    <w:spacing w:after="0" w:line="240" w:lineRule="auto"/>
                    <w:jc w:val="both"/>
                    <w:rPr>
                      <w:rFonts w:eastAsia="Times New Roman" w:cs="Arial"/>
                      <w:sz w:val="20"/>
                      <w:szCs w:val="20"/>
                      <w:lang w:eastAsia="pl-PL"/>
                    </w:rPr>
                  </w:pP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5E2B6F7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Zn</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435F23D5" w14:textId="77777777" w:rsidR="00E02F30" w:rsidRPr="00E02F30" w:rsidRDefault="00E02F30" w:rsidP="00E02F30">
                  <w:pPr>
                    <w:spacing w:after="0" w:line="240" w:lineRule="auto"/>
                    <w:jc w:val="both"/>
                    <w:rPr>
                      <w:rFonts w:eastAsia="Times New Roman" w:cs="Arial"/>
                      <w:sz w:val="20"/>
                      <w:szCs w:val="20"/>
                      <w:lang w:eastAsia="pl-PL"/>
                    </w:rPr>
                  </w:pPr>
                </w:p>
              </w:tc>
              <w:tc>
                <w:tcPr>
                  <w:tcW w:w="2864" w:type="dxa"/>
                  <w:vMerge/>
                  <w:tcBorders>
                    <w:top w:val="nil"/>
                    <w:bottom w:val="single" w:sz="8" w:space="0" w:color="000000"/>
                  </w:tcBorders>
                </w:tcPr>
                <w:p w14:paraId="33EE7DCB"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331FB6B8" w14:textId="77777777" w:rsidTr="00A1631B">
              <w:trPr>
                <w:trHeight w:val="44"/>
                <w:tblCellSpacing w:w="0" w:type="auto"/>
              </w:trPr>
              <w:tc>
                <w:tcPr>
                  <w:tcW w:w="1942" w:type="dxa"/>
                  <w:vMerge/>
                  <w:tcBorders>
                    <w:top w:val="nil"/>
                    <w:bottom w:val="single" w:sz="8" w:space="0" w:color="000000"/>
                    <w:right w:val="single" w:sz="8" w:space="0" w:color="000000"/>
                  </w:tcBorders>
                </w:tcPr>
                <w:p w14:paraId="7F581C8B" w14:textId="77777777" w:rsidR="00E02F30" w:rsidRPr="00E02F30" w:rsidRDefault="00E02F30" w:rsidP="00E02F30">
                  <w:pPr>
                    <w:spacing w:after="0" w:line="240" w:lineRule="auto"/>
                    <w:jc w:val="both"/>
                    <w:rPr>
                      <w:rFonts w:eastAsia="Times New Roman" w:cs="Arial"/>
                      <w:sz w:val="20"/>
                      <w:szCs w:val="20"/>
                      <w:lang w:eastAsia="pl-PL"/>
                    </w:rPr>
                  </w:pP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724BFCF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Inne metale, w stosownych przypadkach</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6833EB3D" w14:textId="77777777" w:rsidR="00E02F30" w:rsidRPr="00E02F30" w:rsidRDefault="00E02F30" w:rsidP="00E02F30">
                  <w:pPr>
                    <w:spacing w:after="0" w:line="240" w:lineRule="auto"/>
                    <w:jc w:val="both"/>
                    <w:rPr>
                      <w:rFonts w:eastAsia="Times New Roman" w:cs="Arial"/>
                      <w:sz w:val="20"/>
                      <w:szCs w:val="20"/>
                      <w:lang w:eastAsia="pl-PL"/>
                    </w:rPr>
                  </w:pPr>
                </w:p>
              </w:tc>
              <w:tc>
                <w:tcPr>
                  <w:tcW w:w="2864" w:type="dxa"/>
                  <w:vMerge/>
                  <w:tcBorders>
                    <w:top w:val="nil"/>
                    <w:bottom w:val="single" w:sz="8" w:space="0" w:color="000000"/>
                  </w:tcBorders>
                </w:tcPr>
                <w:p w14:paraId="2AD471D5"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5FA8C82F" w14:textId="77777777" w:rsidTr="00A1631B">
              <w:trPr>
                <w:trHeight w:val="44"/>
                <w:tblCellSpacing w:w="0" w:type="auto"/>
              </w:trPr>
              <w:tc>
                <w:tcPr>
                  <w:tcW w:w="1942" w:type="dxa"/>
                  <w:vMerge w:val="restart"/>
                  <w:tcBorders>
                    <w:bottom w:val="single" w:sz="8" w:space="0" w:color="000000"/>
                    <w:right w:val="single" w:sz="8" w:space="0" w:color="000000"/>
                  </w:tcBorders>
                  <w:tcMar>
                    <w:top w:w="15" w:type="dxa"/>
                    <w:left w:w="15" w:type="dxa"/>
                    <w:bottom w:w="15" w:type="dxa"/>
                    <w:right w:w="15" w:type="dxa"/>
                  </w:tcMar>
                  <w:vAlign w:val="center"/>
                </w:tcPr>
                <w:p w14:paraId="62B18F7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Toksyczność </w:t>
                  </w:r>
                  <w:r w:rsidRPr="00E02F30">
                    <w:rPr>
                      <w:rFonts w:eastAsia="Times New Roman" w:cs="Arial"/>
                      <w:sz w:val="20"/>
                      <w:szCs w:val="20"/>
                      <w:vertAlign w:val="superscript"/>
                      <w:lang w:eastAsia="pl-PL"/>
                    </w:rPr>
                    <w:t>(5)</w:t>
                  </w: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50DA24F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Ikra (</w:t>
                  </w:r>
                  <w:r w:rsidRPr="00E02F30">
                    <w:rPr>
                      <w:rFonts w:eastAsia="Times New Roman" w:cs="Arial"/>
                      <w:i/>
                      <w:sz w:val="20"/>
                      <w:szCs w:val="20"/>
                      <w:lang w:eastAsia="pl-PL"/>
                    </w:rPr>
                    <w:t xml:space="preserve">Danio </w:t>
                  </w:r>
                  <w:proofErr w:type="spellStart"/>
                  <w:r w:rsidRPr="00E02F30">
                    <w:rPr>
                      <w:rFonts w:eastAsia="Times New Roman" w:cs="Arial"/>
                      <w:i/>
                      <w:sz w:val="20"/>
                      <w:szCs w:val="20"/>
                      <w:lang w:eastAsia="pl-PL"/>
                    </w:rPr>
                    <w:t>rerio</w:t>
                  </w:r>
                  <w:proofErr w:type="spellEnd"/>
                  <w:r w:rsidRPr="00E02F30">
                    <w:rPr>
                      <w:rFonts w:eastAsia="Times New Roman" w:cs="Arial"/>
                      <w:sz w:val="20"/>
                      <w:szCs w:val="20"/>
                      <w:lang w:eastAsia="pl-PL"/>
                    </w:rPr>
                    <w:t>)</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5BC91C4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EN ISO 15088</w:t>
                  </w:r>
                </w:p>
              </w:tc>
              <w:tc>
                <w:tcPr>
                  <w:tcW w:w="2864" w:type="dxa"/>
                  <w:vMerge w:val="restart"/>
                  <w:tcBorders>
                    <w:bottom w:val="single" w:sz="8" w:space="0" w:color="000000"/>
                  </w:tcBorders>
                  <w:tcMar>
                    <w:top w:w="15" w:type="dxa"/>
                    <w:left w:w="15" w:type="dxa"/>
                    <w:bottom w:w="15" w:type="dxa"/>
                    <w:right w:w="15" w:type="dxa"/>
                  </w:tcMar>
                  <w:vAlign w:val="center"/>
                </w:tcPr>
                <w:p w14:paraId="4D4EB5F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Do ustalenia na podstawie oceny ryzyka, po wstępnym scharakteryzowaniu</w:t>
                  </w:r>
                </w:p>
              </w:tc>
            </w:tr>
            <w:tr w:rsidR="00E02F30" w:rsidRPr="00E02F30" w14:paraId="2FDF128D" w14:textId="77777777" w:rsidTr="00A1631B">
              <w:trPr>
                <w:trHeight w:val="44"/>
                <w:tblCellSpacing w:w="0" w:type="auto"/>
              </w:trPr>
              <w:tc>
                <w:tcPr>
                  <w:tcW w:w="1942" w:type="dxa"/>
                  <w:vMerge/>
                  <w:tcBorders>
                    <w:top w:val="nil"/>
                    <w:bottom w:val="single" w:sz="8" w:space="0" w:color="000000"/>
                    <w:right w:val="single" w:sz="8" w:space="0" w:color="000000"/>
                  </w:tcBorders>
                </w:tcPr>
                <w:p w14:paraId="69149707" w14:textId="77777777" w:rsidR="00E02F30" w:rsidRPr="00E02F30" w:rsidRDefault="00E02F30" w:rsidP="00E02F30">
                  <w:pPr>
                    <w:spacing w:after="0" w:line="240" w:lineRule="auto"/>
                    <w:jc w:val="both"/>
                    <w:rPr>
                      <w:rFonts w:eastAsia="Times New Roman" w:cs="Arial"/>
                      <w:sz w:val="20"/>
                      <w:szCs w:val="20"/>
                      <w:lang w:eastAsia="pl-PL"/>
                    </w:rPr>
                  </w:pP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55F2CD3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Rozwielitki (</w:t>
                  </w:r>
                  <w:proofErr w:type="spellStart"/>
                  <w:r w:rsidRPr="00E02F30">
                    <w:rPr>
                      <w:rFonts w:eastAsia="Times New Roman" w:cs="Arial"/>
                      <w:i/>
                      <w:sz w:val="20"/>
                      <w:szCs w:val="20"/>
                      <w:lang w:eastAsia="pl-PL"/>
                    </w:rPr>
                    <w:t>Daphnia</w:t>
                  </w:r>
                  <w:proofErr w:type="spellEnd"/>
                  <w:r w:rsidRPr="00E02F30">
                    <w:rPr>
                      <w:rFonts w:eastAsia="Times New Roman" w:cs="Arial"/>
                      <w:i/>
                      <w:sz w:val="20"/>
                      <w:szCs w:val="20"/>
                      <w:lang w:eastAsia="pl-PL"/>
                    </w:rPr>
                    <w:t xml:space="preserve"> </w:t>
                  </w:r>
                  <w:proofErr w:type="spellStart"/>
                  <w:r w:rsidRPr="00E02F30">
                    <w:rPr>
                      <w:rFonts w:eastAsia="Times New Roman" w:cs="Arial"/>
                      <w:i/>
                      <w:sz w:val="20"/>
                      <w:szCs w:val="20"/>
                      <w:lang w:eastAsia="pl-PL"/>
                    </w:rPr>
                    <w:t>magna</w:t>
                  </w:r>
                  <w:proofErr w:type="spellEnd"/>
                  <w:r w:rsidRPr="00E02F30">
                    <w:rPr>
                      <w:rFonts w:eastAsia="Times New Roman" w:cs="Arial"/>
                      <w:i/>
                      <w:sz w:val="20"/>
                      <w:szCs w:val="20"/>
                      <w:lang w:eastAsia="pl-PL"/>
                    </w:rPr>
                    <w:t xml:space="preserve"> </w:t>
                  </w:r>
                  <w:proofErr w:type="spellStart"/>
                  <w:r w:rsidRPr="00E02F30">
                    <w:rPr>
                      <w:rFonts w:eastAsia="Times New Roman" w:cs="Arial"/>
                      <w:i/>
                      <w:sz w:val="20"/>
                      <w:szCs w:val="20"/>
                      <w:lang w:eastAsia="pl-PL"/>
                    </w:rPr>
                    <w:t>Straus</w:t>
                  </w:r>
                  <w:proofErr w:type="spellEnd"/>
                  <w:r w:rsidRPr="00E02F30">
                    <w:rPr>
                      <w:rFonts w:eastAsia="Times New Roman" w:cs="Arial"/>
                      <w:sz w:val="20"/>
                      <w:szCs w:val="20"/>
                      <w:lang w:eastAsia="pl-PL"/>
                    </w:rPr>
                    <w:t>)</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5EB7C9D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EN ISO 6341</w:t>
                  </w:r>
                </w:p>
              </w:tc>
              <w:tc>
                <w:tcPr>
                  <w:tcW w:w="2864" w:type="dxa"/>
                  <w:vMerge/>
                  <w:tcBorders>
                    <w:top w:val="nil"/>
                    <w:bottom w:val="single" w:sz="8" w:space="0" w:color="000000"/>
                  </w:tcBorders>
                </w:tcPr>
                <w:p w14:paraId="4BC7178B"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16B89CA5" w14:textId="77777777" w:rsidTr="00A1631B">
              <w:trPr>
                <w:trHeight w:val="44"/>
                <w:tblCellSpacing w:w="0" w:type="auto"/>
              </w:trPr>
              <w:tc>
                <w:tcPr>
                  <w:tcW w:w="1942" w:type="dxa"/>
                  <w:vMerge/>
                  <w:tcBorders>
                    <w:top w:val="nil"/>
                    <w:bottom w:val="single" w:sz="8" w:space="0" w:color="000000"/>
                    <w:right w:val="single" w:sz="8" w:space="0" w:color="000000"/>
                  </w:tcBorders>
                </w:tcPr>
                <w:p w14:paraId="1BD78A02" w14:textId="77777777" w:rsidR="00E02F30" w:rsidRPr="00E02F30" w:rsidRDefault="00E02F30" w:rsidP="00E02F30">
                  <w:pPr>
                    <w:spacing w:after="0" w:line="240" w:lineRule="auto"/>
                    <w:jc w:val="both"/>
                    <w:rPr>
                      <w:rFonts w:eastAsia="Times New Roman" w:cs="Arial"/>
                      <w:sz w:val="20"/>
                      <w:szCs w:val="20"/>
                      <w:lang w:eastAsia="pl-PL"/>
                    </w:rPr>
                  </w:pP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36D63FF3" w14:textId="77777777" w:rsidR="00E02F30" w:rsidRPr="00E02F30" w:rsidRDefault="00E02F30" w:rsidP="00E02F30">
                  <w:pPr>
                    <w:spacing w:after="0" w:line="240" w:lineRule="auto"/>
                    <w:jc w:val="both"/>
                    <w:rPr>
                      <w:rFonts w:eastAsia="Times New Roman" w:cs="Arial"/>
                      <w:sz w:val="20"/>
                      <w:szCs w:val="20"/>
                      <w:lang w:val="nl-NL" w:eastAsia="pl-PL"/>
                    </w:rPr>
                  </w:pPr>
                  <w:r w:rsidRPr="00E02F30">
                    <w:rPr>
                      <w:rFonts w:eastAsia="Times New Roman" w:cs="Arial"/>
                      <w:sz w:val="20"/>
                      <w:szCs w:val="20"/>
                      <w:lang w:val="nl-NL" w:eastAsia="pl-PL"/>
                    </w:rPr>
                    <w:t>Bakterie luminescencyjne (</w:t>
                  </w:r>
                  <w:r w:rsidRPr="00E02F30">
                    <w:rPr>
                      <w:rFonts w:eastAsia="Times New Roman" w:cs="Arial"/>
                      <w:i/>
                      <w:sz w:val="20"/>
                      <w:szCs w:val="20"/>
                      <w:lang w:val="nl-NL" w:eastAsia="pl-PL"/>
                    </w:rPr>
                    <w:t>Vibrio fi-scheri</w:t>
                  </w:r>
                  <w:r w:rsidRPr="00E02F30">
                    <w:rPr>
                      <w:rFonts w:eastAsia="Times New Roman" w:cs="Arial"/>
                      <w:sz w:val="20"/>
                      <w:szCs w:val="20"/>
                      <w:lang w:val="nl-NL" w:eastAsia="pl-PL"/>
                    </w:rPr>
                    <w:t>)</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54602338" w14:textId="77777777" w:rsidR="00E02F30" w:rsidRPr="00E02F30" w:rsidRDefault="00E02F30" w:rsidP="00E02F30">
                  <w:pPr>
                    <w:spacing w:after="0" w:line="240" w:lineRule="auto"/>
                    <w:jc w:val="both"/>
                    <w:rPr>
                      <w:rFonts w:eastAsia="Times New Roman" w:cs="Arial"/>
                      <w:sz w:val="20"/>
                      <w:szCs w:val="20"/>
                      <w:lang w:val="nl-NL" w:eastAsia="pl-PL"/>
                    </w:rPr>
                  </w:pPr>
                  <w:r w:rsidRPr="00E02F30">
                    <w:rPr>
                      <w:rFonts w:eastAsia="Times New Roman" w:cs="Arial"/>
                      <w:sz w:val="20"/>
                      <w:szCs w:val="20"/>
                      <w:lang w:val="nl-NL" w:eastAsia="pl-PL"/>
                    </w:rPr>
                    <w:t>EN ISO 11348-1,</w:t>
                  </w:r>
                </w:p>
                <w:p w14:paraId="0734024D" w14:textId="77777777" w:rsidR="00E02F30" w:rsidRPr="00E02F30" w:rsidRDefault="00E02F30" w:rsidP="00E02F30">
                  <w:pPr>
                    <w:spacing w:after="0" w:line="240" w:lineRule="auto"/>
                    <w:jc w:val="both"/>
                    <w:rPr>
                      <w:rFonts w:eastAsia="Times New Roman" w:cs="Arial"/>
                      <w:sz w:val="20"/>
                      <w:szCs w:val="20"/>
                      <w:lang w:val="nl-NL" w:eastAsia="pl-PL"/>
                    </w:rPr>
                  </w:pPr>
                  <w:r w:rsidRPr="00E02F30">
                    <w:rPr>
                      <w:rFonts w:eastAsia="Times New Roman" w:cs="Arial"/>
                      <w:sz w:val="20"/>
                      <w:szCs w:val="20"/>
                      <w:lang w:val="nl-NL" w:eastAsia="pl-PL"/>
                    </w:rPr>
                    <w:t>EN ISO 11348-2</w:t>
                  </w:r>
                </w:p>
                <w:p w14:paraId="7148E71D" w14:textId="77777777" w:rsidR="00E02F30" w:rsidRPr="00E02F30" w:rsidRDefault="00E02F30" w:rsidP="00E02F30">
                  <w:pPr>
                    <w:spacing w:after="0" w:line="240" w:lineRule="auto"/>
                    <w:jc w:val="both"/>
                    <w:rPr>
                      <w:rFonts w:eastAsia="Times New Roman" w:cs="Arial"/>
                      <w:sz w:val="20"/>
                      <w:szCs w:val="20"/>
                      <w:lang w:val="nl-NL" w:eastAsia="pl-PL"/>
                    </w:rPr>
                  </w:pPr>
                  <w:r w:rsidRPr="00E02F30">
                    <w:rPr>
                      <w:rFonts w:eastAsia="Times New Roman" w:cs="Arial"/>
                      <w:sz w:val="20"/>
                      <w:szCs w:val="20"/>
                      <w:lang w:val="nl-NL" w:eastAsia="pl-PL"/>
                    </w:rPr>
                    <w:t>lub EN ISO</w:t>
                  </w:r>
                </w:p>
                <w:p w14:paraId="14D724A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11348-3</w:t>
                  </w:r>
                </w:p>
              </w:tc>
              <w:tc>
                <w:tcPr>
                  <w:tcW w:w="2864" w:type="dxa"/>
                  <w:vMerge/>
                  <w:tcBorders>
                    <w:top w:val="nil"/>
                    <w:bottom w:val="single" w:sz="8" w:space="0" w:color="000000"/>
                  </w:tcBorders>
                </w:tcPr>
                <w:p w14:paraId="1CA59101"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7296BBD2" w14:textId="77777777" w:rsidTr="00A1631B">
              <w:trPr>
                <w:trHeight w:val="44"/>
                <w:tblCellSpacing w:w="0" w:type="auto"/>
              </w:trPr>
              <w:tc>
                <w:tcPr>
                  <w:tcW w:w="1942" w:type="dxa"/>
                  <w:vMerge/>
                  <w:tcBorders>
                    <w:top w:val="nil"/>
                    <w:bottom w:val="single" w:sz="8" w:space="0" w:color="000000"/>
                    <w:right w:val="single" w:sz="8" w:space="0" w:color="000000"/>
                  </w:tcBorders>
                </w:tcPr>
                <w:p w14:paraId="435E3225" w14:textId="77777777" w:rsidR="00E02F30" w:rsidRPr="00E02F30" w:rsidRDefault="00E02F30" w:rsidP="00E02F30">
                  <w:pPr>
                    <w:spacing w:after="0" w:line="240" w:lineRule="auto"/>
                    <w:jc w:val="both"/>
                    <w:rPr>
                      <w:rFonts w:eastAsia="Times New Roman" w:cs="Arial"/>
                      <w:sz w:val="20"/>
                      <w:szCs w:val="20"/>
                      <w:lang w:eastAsia="pl-PL"/>
                    </w:rPr>
                  </w:pP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0FB684D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Rzęsa wodna (</w:t>
                  </w:r>
                  <w:proofErr w:type="spellStart"/>
                  <w:r w:rsidRPr="00E02F30">
                    <w:rPr>
                      <w:rFonts w:eastAsia="Times New Roman" w:cs="Arial"/>
                      <w:i/>
                      <w:sz w:val="20"/>
                      <w:szCs w:val="20"/>
                      <w:lang w:eastAsia="pl-PL"/>
                    </w:rPr>
                    <w:t>Lemna</w:t>
                  </w:r>
                  <w:proofErr w:type="spellEnd"/>
                  <w:r w:rsidRPr="00E02F30">
                    <w:rPr>
                      <w:rFonts w:eastAsia="Times New Roman" w:cs="Arial"/>
                      <w:i/>
                      <w:sz w:val="20"/>
                      <w:szCs w:val="20"/>
                      <w:lang w:eastAsia="pl-PL"/>
                    </w:rPr>
                    <w:t xml:space="preserve"> minor</w:t>
                  </w:r>
                  <w:r w:rsidRPr="00E02F30">
                    <w:rPr>
                      <w:rFonts w:eastAsia="Times New Roman" w:cs="Arial"/>
                      <w:sz w:val="20"/>
                      <w:szCs w:val="20"/>
                      <w:lang w:eastAsia="pl-PL"/>
                    </w:rPr>
                    <w:t>)</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681400C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EN ISO 20079</w:t>
                  </w:r>
                </w:p>
              </w:tc>
              <w:tc>
                <w:tcPr>
                  <w:tcW w:w="2864" w:type="dxa"/>
                  <w:vMerge/>
                  <w:tcBorders>
                    <w:top w:val="nil"/>
                    <w:bottom w:val="single" w:sz="8" w:space="0" w:color="000000"/>
                  </w:tcBorders>
                </w:tcPr>
                <w:p w14:paraId="626FB59A"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0B72AB" w14:paraId="5A641383" w14:textId="77777777" w:rsidTr="00A1631B">
              <w:trPr>
                <w:trHeight w:val="44"/>
                <w:tblCellSpacing w:w="0" w:type="auto"/>
              </w:trPr>
              <w:tc>
                <w:tcPr>
                  <w:tcW w:w="1942" w:type="dxa"/>
                  <w:vMerge/>
                  <w:tcBorders>
                    <w:top w:val="nil"/>
                    <w:bottom w:val="single" w:sz="8" w:space="0" w:color="000000"/>
                    <w:right w:val="single" w:sz="8" w:space="0" w:color="000000"/>
                  </w:tcBorders>
                </w:tcPr>
                <w:p w14:paraId="1BB05031" w14:textId="77777777" w:rsidR="00E02F30" w:rsidRPr="00E02F30" w:rsidRDefault="00E02F30" w:rsidP="00E02F30">
                  <w:pPr>
                    <w:spacing w:after="0" w:line="240" w:lineRule="auto"/>
                    <w:jc w:val="both"/>
                    <w:rPr>
                      <w:rFonts w:eastAsia="Times New Roman" w:cs="Arial"/>
                      <w:sz w:val="20"/>
                      <w:szCs w:val="20"/>
                      <w:lang w:eastAsia="pl-PL"/>
                    </w:rPr>
                  </w:pP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560126A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Algi</w:t>
                  </w:r>
                </w:p>
              </w:tc>
              <w:tc>
                <w:tcPr>
                  <w:tcW w:w="1942" w:type="dxa"/>
                  <w:tcBorders>
                    <w:bottom w:val="single" w:sz="8" w:space="0" w:color="000000"/>
                    <w:right w:val="single" w:sz="8" w:space="0" w:color="000000"/>
                  </w:tcBorders>
                  <w:tcMar>
                    <w:top w:w="15" w:type="dxa"/>
                    <w:left w:w="15" w:type="dxa"/>
                    <w:bottom w:w="15" w:type="dxa"/>
                    <w:right w:w="15" w:type="dxa"/>
                  </w:tcMar>
                  <w:vAlign w:val="center"/>
                </w:tcPr>
                <w:p w14:paraId="053530D0" w14:textId="77777777" w:rsidR="00E02F30" w:rsidRPr="00E02F30" w:rsidRDefault="00E02F30" w:rsidP="00E02F30">
                  <w:pPr>
                    <w:spacing w:after="0" w:line="240" w:lineRule="auto"/>
                    <w:jc w:val="both"/>
                    <w:rPr>
                      <w:rFonts w:eastAsia="Times New Roman" w:cs="Arial"/>
                      <w:sz w:val="20"/>
                      <w:szCs w:val="20"/>
                      <w:lang w:val="nl-NL" w:eastAsia="pl-PL"/>
                    </w:rPr>
                  </w:pPr>
                  <w:r w:rsidRPr="00E02F30">
                    <w:rPr>
                      <w:rFonts w:eastAsia="Times New Roman" w:cs="Arial"/>
                      <w:sz w:val="20"/>
                      <w:szCs w:val="20"/>
                      <w:lang w:val="nl-NL" w:eastAsia="pl-PL"/>
                    </w:rPr>
                    <w:t>EN ISO 8692,</w:t>
                  </w:r>
                </w:p>
                <w:p w14:paraId="649E4200" w14:textId="77777777" w:rsidR="00E02F30" w:rsidRPr="00E02F30" w:rsidRDefault="00E02F30" w:rsidP="00E02F30">
                  <w:pPr>
                    <w:spacing w:after="0" w:line="240" w:lineRule="auto"/>
                    <w:jc w:val="both"/>
                    <w:rPr>
                      <w:rFonts w:eastAsia="Times New Roman" w:cs="Arial"/>
                      <w:sz w:val="20"/>
                      <w:szCs w:val="20"/>
                      <w:lang w:val="nl-NL" w:eastAsia="pl-PL"/>
                    </w:rPr>
                  </w:pPr>
                  <w:r w:rsidRPr="00E02F30">
                    <w:rPr>
                      <w:rFonts w:eastAsia="Times New Roman" w:cs="Arial"/>
                      <w:sz w:val="20"/>
                      <w:szCs w:val="20"/>
                      <w:lang w:val="nl-NL" w:eastAsia="pl-PL"/>
                    </w:rPr>
                    <w:t>EN ISO 10253 lub</w:t>
                  </w:r>
                </w:p>
                <w:p w14:paraId="2656DACF" w14:textId="77777777" w:rsidR="00E02F30" w:rsidRPr="00E02F30" w:rsidRDefault="00E02F30" w:rsidP="00E02F30">
                  <w:pPr>
                    <w:spacing w:after="0" w:line="240" w:lineRule="auto"/>
                    <w:jc w:val="both"/>
                    <w:rPr>
                      <w:rFonts w:eastAsia="Times New Roman" w:cs="Arial"/>
                      <w:sz w:val="20"/>
                      <w:szCs w:val="20"/>
                      <w:lang w:val="nl-NL" w:eastAsia="pl-PL"/>
                    </w:rPr>
                  </w:pPr>
                  <w:r w:rsidRPr="00E02F30">
                    <w:rPr>
                      <w:rFonts w:eastAsia="Times New Roman" w:cs="Arial"/>
                      <w:sz w:val="20"/>
                      <w:szCs w:val="20"/>
                      <w:lang w:val="nl-NL" w:eastAsia="pl-PL"/>
                    </w:rPr>
                    <w:t>EN ISO 10710</w:t>
                  </w:r>
                </w:p>
              </w:tc>
              <w:tc>
                <w:tcPr>
                  <w:tcW w:w="2864" w:type="dxa"/>
                  <w:vMerge/>
                  <w:tcBorders>
                    <w:top w:val="nil"/>
                    <w:bottom w:val="single" w:sz="8" w:space="0" w:color="000000"/>
                  </w:tcBorders>
                </w:tcPr>
                <w:p w14:paraId="6D1504BF" w14:textId="77777777" w:rsidR="00E02F30" w:rsidRPr="00E02F30" w:rsidRDefault="00E02F30" w:rsidP="00E02F30">
                  <w:pPr>
                    <w:spacing w:after="0" w:line="240" w:lineRule="auto"/>
                    <w:jc w:val="both"/>
                    <w:rPr>
                      <w:rFonts w:eastAsia="Times New Roman" w:cs="Arial"/>
                      <w:sz w:val="20"/>
                      <w:szCs w:val="20"/>
                      <w:lang w:val="nl-NL" w:eastAsia="pl-PL"/>
                    </w:rPr>
                  </w:pPr>
                </w:p>
              </w:tc>
            </w:tr>
            <w:tr w:rsidR="00E02F30" w:rsidRPr="00E02F30" w14:paraId="66AE67A6" w14:textId="77777777" w:rsidTr="00A1631B">
              <w:trPr>
                <w:trHeight w:val="44"/>
                <w:tblCellSpacing w:w="0" w:type="auto"/>
              </w:trPr>
              <w:tc>
                <w:tcPr>
                  <w:tcW w:w="10124" w:type="dxa"/>
                  <w:gridSpan w:val="4"/>
                  <w:tcBorders>
                    <w:bottom w:val="single" w:sz="8" w:space="0" w:color="000000"/>
                  </w:tcBorders>
                  <w:tcMar>
                    <w:top w:w="15" w:type="dxa"/>
                    <w:left w:w="15" w:type="dxa"/>
                    <w:bottom w:w="15" w:type="dxa"/>
                    <w:right w:w="15" w:type="dxa"/>
                  </w:tcMar>
                  <w:vAlign w:val="center"/>
                </w:tcPr>
                <w:p w14:paraId="4C4D79C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(1)</w:t>
                  </w:r>
                  <w:r w:rsidRPr="00E02F30">
                    <w:rPr>
                      <w:rFonts w:eastAsia="Times New Roman" w:cs="Arial"/>
                      <w:sz w:val="20"/>
                      <w:szCs w:val="20"/>
                      <w:lang w:eastAsia="pl-PL"/>
                    </w:rPr>
                    <w:t xml:space="preserve"> Można dostosować częstotliwości monitorowania w przypadku gdy serie danych jasno wykazują wystarczającą stabilność.</w:t>
                  </w:r>
                </w:p>
                <w:p w14:paraId="5346BF4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(2)</w:t>
                  </w:r>
                  <w:r w:rsidRPr="00E02F30">
                    <w:rPr>
                      <w:rFonts w:eastAsia="Times New Roman" w:cs="Arial"/>
                      <w:sz w:val="20"/>
                      <w:szCs w:val="20"/>
                      <w:lang w:eastAsia="pl-PL"/>
                    </w:rPr>
                    <w:t xml:space="preserve"> Punkt pobierania próbek jest zlokalizowany w miejscu, w którym emisja opuszcza instalację.</w:t>
                  </w:r>
                </w:p>
                <w:p w14:paraId="5C25192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Monitorowanie OWO i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 xml:space="preserve"> są alternatywne. Monitorowanie OWO jest preferowanym rozwiązaniem ponieważ nie wiąże się z wykorzystaniem bardzo toksycznych związków.</w:t>
                  </w:r>
                </w:p>
                <w:p w14:paraId="1641D70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(4)</w:t>
                  </w:r>
                  <w:r w:rsidRPr="00E02F30">
                    <w:rPr>
                      <w:rFonts w:eastAsia="Times New Roman" w:cs="Arial"/>
                      <w:sz w:val="20"/>
                      <w:szCs w:val="20"/>
                      <w:lang w:eastAsia="pl-PL"/>
                    </w:rPr>
                    <w:t xml:space="preserve"> Monitorowanie TN i </w:t>
                  </w:r>
                  <w:proofErr w:type="spellStart"/>
                  <w:r w:rsidRPr="00E02F30">
                    <w:rPr>
                      <w:rFonts w:eastAsia="Times New Roman" w:cs="Arial"/>
                      <w:sz w:val="20"/>
                      <w:szCs w:val="20"/>
                      <w:lang w:eastAsia="pl-PL"/>
                    </w:rPr>
                    <w:t>N</w:t>
                  </w:r>
                  <w:r w:rsidRPr="00E02F30">
                    <w:rPr>
                      <w:rFonts w:eastAsia="Times New Roman" w:cs="Arial"/>
                      <w:sz w:val="20"/>
                      <w:szCs w:val="20"/>
                      <w:vertAlign w:val="subscript"/>
                      <w:lang w:eastAsia="pl-PL"/>
                    </w:rPr>
                    <w:t>inorg</w:t>
                  </w:r>
                  <w:proofErr w:type="spellEnd"/>
                  <w:r w:rsidRPr="00E02F30">
                    <w:rPr>
                      <w:rFonts w:eastAsia="Times New Roman" w:cs="Arial"/>
                      <w:sz w:val="20"/>
                      <w:szCs w:val="20"/>
                      <w:lang w:eastAsia="pl-PL"/>
                    </w:rPr>
                    <w:t xml:space="preserve"> są alternatywne.</w:t>
                  </w:r>
                </w:p>
                <w:p w14:paraId="76E267A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(5)</w:t>
                  </w:r>
                  <w:r w:rsidRPr="00E02F30">
                    <w:rPr>
                      <w:rFonts w:eastAsia="Times New Roman" w:cs="Arial"/>
                      <w:sz w:val="20"/>
                      <w:szCs w:val="20"/>
                      <w:lang w:eastAsia="pl-PL"/>
                    </w:rPr>
                    <w:t xml:space="preserve"> Można wykorzystywać odpowiednią kombinację tych metod.</w:t>
                  </w:r>
                </w:p>
              </w:tc>
            </w:tr>
          </w:tbl>
          <w:p w14:paraId="4BCB3554" w14:textId="77777777" w:rsidR="00E02F30" w:rsidRPr="00E02F30" w:rsidRDefault="00E02F30" w:rsidP="00E02F30">
            <w:pPr>
              <w:spacing w:after="0" w:line="240" w:lineRule="auto"/>
              <w:jc w:val="both"/>
              <w:rPr>
                <w:rFonts w:eastAsia="Times New Roman" w:cs="Arial"/>
                <w:b/>
                <w:sz w:val="20"/>
                <w:szCs w:val="20"/>
                <w:lang w:eastAsia="pl-PL"/>
              </w:rPr>
            </w:pPr>
          </w:p>
        </w:tc>
      </w:tr>
      <w:tr w:rsidR="00E02F30" w:rsidRPr="00E02F30" w14:paraId="73661CE5" w14:textId="77777777" w:rsidTr="00A1631B">
        <w:trPr>
          <w:trHeight w:val="284"/>
        </w:trPr>
        <w:tc>
          <w:tcPr>
            <w:tcW w:w="2411" w:type="dxa"/>
            <w:gridSpan w:val="2"/>
            <w:shd w:val="clear" w:color="auto" w:fill="auto"/>
          </w:tcPr>
          <w:p w14:paraId="4DC5604F"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280C891F" w14:textId="77777777" w:rsidR="00E02F30" w:rsidRPr="00E02F30" w:rsidRDefault="00E02F30" w:rsidP="00E02F30">
            <w:pPr>
              <w:spacing w:after="0" w:line="240" w:lineRule="auto"/>
              <w:jc w:val="center"/>
              <w:rPr>
                <w:rFonts w:eastAsia="Times New Roman" w:cs="Arial"/>
                <w:b/>
                <w:bCs/>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03F53C9D" w14:textId="77777777" w:rsidR="00E02F30" w:rsidRPr="00E02F30" w:rsidRDefault="00E02F30" w:rsidP="00E02F30">
            <w:pPr>
              <w:tabs>
                <w:tab w:val="left" w:pos="4700"/>
              </w:tabs>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7222F80C" w14:textId="77777777" w:rsidR="00E02F30" w:rsidRPr="00E02F30" w:rsidRDefault="00E02F30" w:rsidP="00E02F30">
            <w:pPr>
              <w:tabs>
                <w:tab w:val="left" w:pos="4700"/>
              </w:tabs>
              <w:spacing w:after="0" w:line="240" w:lineRule="auto"/>
              <w:rPr>
                <w:rFonts w:eastAsia="Times New Roman" w:cs="Arial"/>
                <w:b/>
                <w:sz w:val="20"/>
                <w:szCs w:val="20"/>
                <w:lang w:eastAsia="pl-PL"/>
              </w:rPr>
            </w:pPr>
          </w:p>
          <w:p w14:paraId="4292DA39" w14:textId="77777777" w:rsidR="00E02F30" w:rsidRPr="00E02F30" w:rsidRDefault="00E02F30" w:rsidP="00E02F30">
            <w:pPr>
              <w:spacing w:after="0" w:line="240" w:lineRule="auto"/>
              <w:rPr>
                <w:rFonts w:eastAsia="Times New Roman" w:cs="Arial"/>
                <w:b/>
                <w:bCs/>
                <w:sz w:val="20"/>
                <w:szCs w:val="20"/>
                <w:lang w:eastAsia="pl-PL"/>
              </w:rPr>
            </w:pPr>
            <w:r w:rsidRPr="00E02F30">
              <w:rPr>
                <w:rFonts w:eastAsia="Times New Roman" w:cs="Arial"/>
                <w:b/>
                <w:bCs/>
                <w:sz w:val="20"/>
                <w:szCs w:val="20"/>
                <w:lang w:eastAsia="pl-PL"/>
              </w:rPr>
              <w:t>Ścieki przemysłowe z instalacji IPPC nie są i nie będą bezpośrednio z zakładu wprowadzane do wód lub do ziemi.</w:t>
            </w:r>
          </w:p>
          <w:p w14:paraId="16CA8BE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Monitoring ścieków realizowany jest zgodnie z warunkami posiadanego pozwolenia wodnoprawnego.</w:t>
            </w:r>
          </w:p>
        </w:tc>
      </w:tr>
      <w:tr w:rsidR="00E02F30" w:rsidRPr="00E02F30" w14:paraId="42045E16" w14:textId="77777777" w:rsidTr="00A1631B">
        <w:trPr>
          <w:trHeight w:val="284"/>
        </w:trPr>
        <w:tc>
          <w:tcPr>
            <w:tcW w:w="10632" w:type="dxa"/>
            <w:gridSpan w:val="5"/>
            <w:shd w:val="clear" w:color="auto" w:fill="auto"/>
          </w:tcPr>
          <w:p w14:paraId="2F6F6053" w14:textId="77777777" w:rsidR="00E02F30" w:rsidRPr="00E02F30" w:rsidRDefault="00E02F30" w:rsidP="00E02F30">
            <w:pPr>
              <w:spacing w:after="0" w:line="240" w:lineRule="auto"/>
              <w:rPr>
                <w:rFonts w:eastAsia="Times New Roman" w:cs="Arial"/>
                <w:b/>
                <w:bCs/>
                <w:sz w:val="20"/>
                <w:szCs w:val="20"/>
                <w:lang w:eastAsia="pl-PL"/>
              </w:rPr>
            </w:pPr>
            <w:r w:rsidRPr="00E02F30">
              <w:rPr>
                <w:rFonts w:eastAsia="Times New Roman" w:cs="Arial"/>
                <w:b/>
                <w:bCs/>
                <w:sz w:val="20"/>
                <w:szCs w:val="20"/>
                <w:lang w:eastAsia="pl-PL"/>
              </w:rPr>
              <w:t>BAT 5.</w:t>
            </w:r>
          </w:p>
          <w:p w14:paraId="5ECF0F9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ramach BAT należy okresowo monitorować emisje rozproszone LZO do powietrza z istotnych źródeł, wykorzystując odpowiednią kombinację technik I - III, lub - gdy duża ilość LZO jest poddawana obróbce - wszystkie techniki I - III.</w:t>
            </w:r>
          </w:p>
          <w:p w14:paraId="4896F47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 Metody detekcji LZO (np. przy użyciu przyrządów przenośnych zgodnie z normą EN 15446) w połączeniu z krzywymi korelacji w odniesieniu do kluczowego wyposażenia.</w:t>
            </w:r>
          </w:p>
          <w:p w14:paraId="622D71C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II. Metody optycznego obrazowania gazów.</w:t>
            </w:r>
          </w:p>
          <w:p w14:paraId="0473363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III. Obliczanie emisji na podstawie czynników emisji weryfikowane okresowo pomiarami (np. raz na dwa lata).</w:t>
            </w:r>
          </w:p>
          <w:p w14:paraId="52F2A72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Gdy duża ilość LZO jest poddawana obróbce, przydatną techniką uzupełniającą techniki I-III jest kontrola i oznaczenie ilościowe emisji z instalacji na zasadzie okresowych kampanii z wykorzystaniem technik optycznych opartych na absorpcji, takich jak </w:t>
            </w:r>
            <w:proofErr w:type="spellStart"/>
            <w:r w:rsidRPr="00E02F30">
              <w:rPr>
                <w:rFonts w:eastAsia="Times New Roman" w:cs="Arial"/>
                <w:sz w:val="20"/>
                <w:szCs w:val="20"/>
                <w:lang w:eastAsia="pl-PL"/>
              </w:rPr>
              <w:t>lidar</w:t>
            </w:r>
            <w:proofErr w:type="spellEnd"/>
            <w:r w:rsidRPr="00E02F30">
              <w:rPr>
                <w:rFonts w:eastAsia="Times New Roman" w:cs="Arial"/>
                <w:sz w:val="20"/>
                <w:szCs w:val="20"/>
                <w:lang w:eastAsia="pl-PL"/>
              </w:rPr>
              <w:t xml:space="preserve"> absorpcji różnicowej (DIAL), lub przenikanie promieniowania słonecznego (SOF).</w:t>
            </w:r>
          </w:p>
        </w:tc>
      </w:tr>
      <w:tr w:rsidR="00E02F30" w:rsidRPr="00E02F30" w14:paraId="7EAD3BDA" w14:textId="77777777" w:rsidTr="00A1631B">
        <w:trPr>
          <w:trHeight w:val="1718"/>
        </w:trPr>
        <w:tc>
          <w:tcPr>
            <w:tcW w:w="2411" w:type="dxa"/>
            <w:gridSpan w:val="2"/>
            <w:shd w:val="clear" w:color="auto" w:fill="auto"/>
          </w:tcPr>
          <w:p w14:paraId="3C9A4BAF"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06563C50" w14:textId="77777777" w:rsidR="00E02F30" w:rsidRPr="00E02F30" w:rsidRDefault="00E02F30" w:rsidP="00E02F30">
            <w:pPr>
              <w:spacing w:after="0" w:line="240" w:lineRule="auto"/>
              <w:jc w:val="center"/>
              <w:rPr>
                <w:rFonts w:eastAsia="Times New Roman" w:cs="Arial"/>
                <w:b/>
                <w:bCs/>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35548455"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06657E5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Potencjalne źródła emisji rozproszonych są zidentyfikowane w ramach scenariuszy awaryjnych w Wewnętrznym Planie Operacyjno-Ratowniczym. </w:t>
            </w:r>
            <w:proofErr w:type="spellStart"/>
            <w:r w:rsidRPr="00E02F30">
              <w:rPr>
                <w:rFonts w:eastAsia="Times New Roman" w:cs="Arial"/>
                <w:bCs/>
                <w:sz w:val="20"/>
                <w:szCs w:val="20"/>
                <w:lang w:eastAsia="pl-PL"/>
              </w:rPr>
              <w:t>Odgazy</w:t>
            </w:r>
            <w:proofErr w:type="spellEnd"/>
            <w:r w:rsidRPr="00E02F30">
              <w:rPr>
                <w:rFonts w:eastAsia="Times New Roman" w:cs="Arial"/>
                <w:bCs/>
                <w:sz w:val="20"/>
                <w:szCs w:val="20"/>
                <w:lang w:eastAsia="pl-PL"/>
              </w:rPr>
              <w:t xml:space="preserve"> znad reaktorów, mieszalników, homogenizatorów, wyparek oraz zbiorników są kierowane do różnych środków technicznych i urządzeń oczyszczających tj. filtry (workowe) i cyklony, absorber oraz dopalacz termiczny. Prowadzony jest systematyczny nadzór instalacji pozwalający na szybkie rozpoznanie i reagowanie w przypadku wycieków. Prowadzone są również regularne przeglądy i konserwacje instalacji zgodnie z ustalonymi harmonogramami.</w:t>
            </w:r>
          </w:p>
        </w:tc>
      </w:tr>
      <w:tr w:rsidR="00E02F30" w:rsidRPr="00E02F30" w14:paraId="6F0A2580" w14:textId="77777777" w:rsidTr="00A1631B">
        <w:trPr>
          <w:trHeight w:val="284"/>
        </w:trPr>
        <w:tc>
          <w:tcPr>
            <w:tcW w:w="10632" w:type="dxa"/>
            <w:gridSpan w:val="5"/>
            <w:shd w:val="clear" w:color="auto" w:fill="auto"/>
          </w:tcPr>
          <w:p w14:paraId="56DE0F62"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6. </w:t>
            </w:r>
          </w:p>
          <w:p w14:paraId="2000FFB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ramach BAT należy regularnie monitorować emisje odorów z istotnych źródeł zgodnie z normami EN.</w:t>
            </w:r>
          </w:p>
          <w:p w14:paraId="615FC70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Opis</w:t>
            </w:r>
          </w:p>
          <w:p w14:paraId="326361C9"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Emisje mogą być monitorowane z wykorzystaniem olfaktometrii dynamicznej zgodnie z normą EN 13725. Monitorowanie emisji można uzupełnić poprzez pomiar lub oszacowanie narażenia na odory lub oszacowanie skutków takiego narażenia.</w:t>
            </w:r>
          </w:p>
          <w:p w14:paraId="29AB3AB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Zastosowanie</w:t>
            </w:r>
          </w:p>
          <w:p w14:paraId="28F8E230"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Możliwość zastosowania jest ograniczona do przypadków, gdy można spodziewać się uciążliwego odoru lub gdy jego występowanie zostało stwierdzone.</w:t>
            </w:r>
          </w:p>
        </w:tc>
      </w:tr>
      <w:tr w:rsidR="00E02F30" w:rsidRPr="00E02F30" w14:paraId="31502171" w14:textId="77777777" w:rsidTr="00A1631B">
        <w:trPr>
          <w:trHeight w:val="284"/>
        </w:trPr>
        <w:tc>
          <w:tcPr>
            <w:tcW w:w="2411" w:type="dxa"/>
            <w:gridSpan w:val="2"/>
            <w:shd w:val="clear" w:color="auto" w:fill="auto"/>
          </w:tcPr>
          <w:p w14:paraId="734D8613"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001D7A5F"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05EC3E8B" w14:textId="77777777" w:rsidR="00E02F30" w:rsidRPr="00E02F30" w:rsidRDefault="00E02F30" w:rsidP="00E02F30">
            <w:pPr>
              <w:tabs>
                <w:tab w:val="left" w:pos="4700"/>
              </w:tabs>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53281E8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 czasie eksploatacji przedmiotowych instalacji nie zachodzi emisja odorów.</w:t>
            </w:r>
          </w:p>
          <w:p w14:paraId="45282CEC" w14:textId="77777777" w:rsidR="00E02F30" w:rsidRPr="00E02F30" w:rsidRDefault="00E02F30" w:rsidP="00E02F30">
            <w:pPr>
              <w:spacing w:after="0" w:line="240" w:lineRule="auto"/>
              <w:rPr>
                <w:rFonts w:eastAsia="Times New Roman" w:cs="Arial"/>
                <w:b/>
                <w:sz w:val="20"/>
                <w:szCs w:val="20"/>
                <w:lang w:eastAsia="pl-PL"/>
              </w:rPr>
            </w:pPr>
          </w:p>
        </w:tc>
      </w:tr>
      <w:tr w:rsidR="00E02F30" w:rsidRPr="00E02F30" w14:paraId="5EFD78C0" w14:textId="77777777" w:rsidTr="00A1631B">
        <w:trPr>
          <w:trHeight w:val="284"/>
        </w:trPr>
        <w:tc>
          <w:tcPr>
            <w:tcW w:w="10632" w:type="dxa"/>
            <w:gridSpan w:val="5"/>
            <w:shd w:val="clear" w:color="auto" w:fill="auto"/>
          </w:tcPr>
          <w:p w14:paraId="6A1FBF5E"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sz w:val="20"/>
                <w:szCs w:val="20"/>
                <w:lang w:eastAsia="pl-PL"/>
              </w:rPr>
              <w:t>Emisje do wody</w:t>
            </w:r>
          </w:p>
        </w:tc>
      </w:tr>
      <w:tr w:rsidR="00E02F30" w:rsidRPr="00E02F30" w14:paraId="6762F769" w14:textId="77777777" w:rsidTr="00A1631B">
        <w:trPr>
          <w:trHeight w:val="284"/>
        </w:trPr>
        <w:tc>
          <w:tcPr>
            <w:tcW w:w="10632" w:type="dxa"/>
            <w:gridSpan w:val="5"/>
            <w:shd w:val="clear" w:color="auto" w:fill="auto"/>
          </w:tcPr>
          <w:p w14:paraId="3D0E4467"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sz w:val="20"/>
                <w:szCs w:val="20"/>
                <w:lang w:eastAsia="pl-PL"/>
              </w:rPr>
              <w:t>Zużycie wody i wytwarzanie ścieków</w:t>
            </w:r>
          </w:p>
        </w:tc>
      </w:tr>
      <w:tr w:rsidR="00E02F30" w:rsidRPr="00E02F30" w14:paraId="051D4E14" w14:textId="77777777" w:rsidTr="00A1631B">
        <w:trPr>
          <w:trHeight w:val="284"/>
        </w:trPr>
        <w:tc>
          <w:tcPr>
            <w:tcW w:w="10632" w:type="dxa"/>
            <w:gridSpan w:val="5"/>
            <w:shd w:val="clear" w:color="auto" w:fill="auto"/>
          </w:tcPr>
          <w:p w14:paraId="5ABA68BC"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7. </w:t>
            </w:r>
          </w:p>
          <w:p w14:paraId="3C50DC39"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W celu ograniczenia zużycia wody i wytwarzania ścieków, w ramach BAT należy ograniczyć ilość i/lub ładunek zanieczyszczeń w strumieniach ścieków w celu zwiększenia ponownego wykorzystania ścieków w procesie produkcji oraz w celu odzysku i ponownego użycia surowców.</w:t>
            </w:r>
          </w:p>
        </w:tc>
      </w:tr>
      <w:tr w:rsidR="00E02F30" w:rsidRPr="00E02F30" w14:paraId="498130AF" w14:textId="77777777" w:rsidTr="00A1631B">
        <w:trPr>
          <w:trHeight w:val="6089"/>
        </w:trPr>
        <w:tc>
          <w:tcPr>
            <w:tcW w:w="1985" w:type="dxa"/>
            <w:shd w:val="clear" w:color="auto" w:fill="auto"/>
          </w:tcPr>
          <w:p w14:paraId="504900CC"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1BB08068"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5D3AD7A4" w14:textId="77777777" w:rsidR="00E02F30" w:rsidRPr="00E02F30" w:rsidRDefault="00E02F30" w:rsidP="00E02F30">
            <w:pPr>
              <w:spacing w:after="0" w:line="240" w:lineRule="auto"/>
              <w:jc w:val="both"/>
              <w:rPr>
                <w:rFonts w:eastAsia="Times New Roman" w:cs="Arial"/>
                <w:b/>
                <w:bCs/>
                <w:sz w:val="20"/>
                <w:szCs w:val="20"/>
                <w:lang w:eastAsia="pl-PL"/>
              </w:rPr>
            </w:pPr>
            <w:r w:rsidRPr="00E02F30">
              <w:rPr>
                <w:rFonts w:eastAsia="Times New Roman" w:cs="Arial"/>
                <w:b/>
                <w:bCs/>
                <w:sz w:val="20"/>
                <w:szCs w:val="20"/>
                <w:lang w:eastAsia="pl-PL"/>
              </w:rPr>
              <w:t>Zgodne</w:t>
            </w:r>
          </w:p>
          <w:p w14:paraId="356FA1D2" w14:textId="77777777" w:rsidR="00E02F30" w:rsidRPr="00E02F30" w:rsidRDefault="00E02F30" w:rsidP="00E02F30">
            <w:pPr>
              <w:spacing w:before="120" w:after="120" w:line="276" w:lineRule="auto"/>
              <w:jc w:val="both"/>
              <w:rPr>
                <w:rFonts w:eastAsia="Times New Roman" w:cs="Arial"/>
                <w:sz w:val="20"/>
                <w:szCs w:val="20"/>
                <w:lang w:eastAsia="pl-PL"/>
              </w:rPr>
            </w:pPr>
            <w:r w:rsidRPr="00E02F30">
              <w:rPr>
                <w:rFonts w:eastAsia="Times New Roman" w:cs="Arial"/>
                <w:sz w:val="20"/>
                <w:szCs w:val="20"/>
                <w:lang w:eastAsia="pl-PL"/>
              </w:rPr>
              <w:t xml:space="preserve">Spółka realizuje oszczędne gospodarowanie wodą poprzez wprowadzenie zamkniętych obiegów wód chłodniczych. Wielkość zużycia wody w instalacji IPPC, zarówno w zakresie wielkości poboru jak i rodzaju ujmowanej wody są czynnikiem limitującym produkcję zakładu. </w:t>
            </w:r>
          </w:p>
          <w:p w14:paraId="169FB6B4" w14:textId="77777777" w:rsidR="00E02F30" w:rsidRPr="00E02F30" w:rsidRDefault="00E02F30" w:rsidP="00E02F30">
            <w:pPr>
              <w:spacing w:before="120" w:after="120" w:line="276" w:lineRule="auto"/>
              <w:jc w:val="both"/>
              <w:rPr>
                <w:rFonts w:eastAsia="Times New Roman" w:cs="Arial"/>
                <w:sz w:val="20"/>
                <w:szCs w:val="20"/>
                <w:lang w:eastAsia="pl-PL"/>
              </w:rPr>
            </w:pPr>
            <w:r w:rsidRPr="00E02F30">
              <w:rPr>
                <w:rFonts w:eastAsia="Times New Roman" w:cs="Arial"/>
                <w:sz w:val="20"/>
                <w:szCs w:val="20"/>
                <w:lang w:eastAsia="pl-PL"/>
              </w:rPr>
              <w:t>Wszystkie urządzenia związane z dystrybucją wody utrzymywane są w dobrym stanie technicznym i prawidłowo eksploatowane zgodnie z instrukcjami szczegółowymi związanymi z gospodarką wodną oraz obowiązującymi w Spółce procedurami operacyjnymi systemu zarządzania środowiskowego. Poszczególne rurociągi rozprowadzające wodę poddawane są systematycznym przeglądom, a wszystkie awarie i nieszczelności sieci są na bieżąco usuwane.</w:t>
            </w:r>
          </w:p>
          <w:p w14:paraId="0830E0D3" w14:textId="77777777" w:rsidR="00E02F30" w:rsidRPr="00E02F30" w:rsidRDefault="00E02F30" w:rsidP="00E02F30">
            <w:pPr>
              <w:spacing w:before="120" w:after="120" w:line="276" w:lineRule="auto"/>
              <w:jc w:val="both"/>
              <w:rPr>
                <w:rFonts w:eastAsia="Times New Roman" w:cs="Arial"/>
                <w:sz w:val="20"/>
                <w:szCs w:val="20"/>
                <w:lang w:eastAsia="pl-PL"/>
              </w:rPr>
            </w:pPr>
            <w:r w:rsidRPr="00E02F30">
              <w:rPr>
                <w:rFonts w:eastAsia="Times New Roman" w:cs="Arial"/>
                <w:sz w:val="20"/>
                <w:szCs w:val="20"/>
                <w:lang w:eastAsia="pl-PL"/>
              </w:rPr>
              <w:t>Na terenie zakładu istnieje rozdzielczy system wewnętrznych sieci kanalizacyjnych:</w:t>
            </w:r>
          </w:p>
          <w:p w14:paraId="562DB26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sieć kanalizacyjna wód chłodniczych (obieg zamknięty),</w:t>
            </w:r>
          </w:p>
          <w:p w14:paraId="3222ED2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sieć kanalizacyjna do odprowadzania ścieków bytowych,</w:t>
            </w:r>
          </w:p>
          <w:p w14:paraId="00F06D5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sieć kanalizacyjna do odprowadzania ścieków przemysłowych.</w:t>
            </w:r>
          </w:p>
          <w:p w14:paraId="229FBF0F" w14:textId="77777777" w:rsidR="00E02F30" w:rsidRPr="00E02F30" w:rsidRDefault="00E02F30" w:rsidP="00E02F30">
            <w:pPr>
              <w:spacing w:before="120" w:after="120" w:line="276" w:lineRule="auto"/>
              <w:jc w:val="both"/>
              <w:rPr>
                <w:rFonts w:eastAsia="Times New Roman" w:cs="Arial"/>
                <w:sz w:val="20"/>
                <w:szCs w:val="20"/>
                <w:lang w:eastAsia="pl-PL"/>
              </w:rPr>
            </w:pPr>
            <w:r w:rsidRPr="00E02F30">
              <w:rPr>
                <w:rFonts w:eastAsia="Times New Roman" w:cs="Arial"/>
                <w:sz w:val="20"/>
                <w:szCs w:val="20"/>
                <w:lang w:eastAsia="pl-PL"/>
              </w:rPr>
              <w:t>Wody chłodnicze krążą w obiegu zamkniętym. W przypadku awarii i wzrostu stężeń wskaźników woda z układu zamkniętego odprowadzana jest do kanalizacji ścieków przemysłowych, a układ uzupełniany jest świeżą wodą z zakładowego wodociągu.</w:t>
            </w:r>
          </w:p>
          <w:p w14:paraId="6571601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Na terenie zakładu prowadzone są systematyczne kontrole sieci i urządzeń pozwalające na ocenę ich funkcjonowania oraz podejmowania odpowiednich działań zapobiegających zanieczyszczeniu środowiska w przypadku stwierdzenia ewentualnych nieprawidłowości.</w:t>
            </w:r>
          </w:p>
        </w:tc>
      </w:tr>
      <w:tr w:rsidR="00E02F30" w:rsidRPr="00E02F30" w14:paraId="2A9DBB17" w14:textId="77777777" w:rsidTr="00A1631B">
        <w:trPr>
          <w:trHeight w:val="284"/>
        </w:trPr>
        <w:tc>
          <w:tcPr>
            <w:tcW w:w="10632" w:type="dxa"/>
            <w:gridSpan w:val="5"/>
            <w:shd w:val="clear" w:color="auto" w:fill="auto"/>
          </w:tcPr>
          <w:p w14:paraId="7C357A32"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sz w:val="20"/>
                <w:szCs w:val="20"/>
                <w:lang w:eastAsia="pl-PL"/>
              </w:rPr>
              <w:t>Zbieranie i segregacja ścieków</w:t>
            </w:r>
          </w:p>
        </w:tc>
      </w:tr>
      <w:tr w:rsidR="00E02F30" w:rsidRPr="00E02F30" w14:paraId="6BB56923" w14:textId="77777777" w:rsidTr="00A1631B">
        <w:trPr>
          <w:trHeight w:val="284"/>
        </w:trPr>
        <w:tc>
          <w:tcPr>
            <w:tcW w:w="10632" w:type="dxa"/>
            <w:gridSpan w:val="5"/>
            <w:shd w:val="clear" w:color="auto" w:fill="auto"/>
          </w:tcPr>
          <w:p w14:paraId="001F1CA1"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BAT 8.</w:t>
            </w:r>
          </w:p>
          <w:p w14:paraId="4499F39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zapobiec zanieczyszczeniu wody niezanieczyszczonej i ograniczyć emisje do wody, w ramach BAT należy oddzielić niezanieczyszczone strumienie ścieków od strumieni ścieków wymagających oczyszczenia.</w:t>
            </w:r>
          </w:p>
          <w:p w14:paraId="61232DBE"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Zastosowanie</w:t>
            </w:r>
          </w:p>
          <w:p w14:paraId="1D9EAF3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bCs/>
                <w:sz w:val="20"/>
                <w:szCs w:val="20"/>
                <w:lang w:eastAsia="pl-PL"/>
              </w:rPr>
              <w:t>Oddzielanie niezanieczyszczonych wód opadowych nie może być stosowane w przypadku istniejących systemów zbierania ścieków.</w:t>
            </w:r>
          </w:p>
        </w:tc>
      </w:tr>
      <w:tr w:rsidR="00E02F30" w:rsidRPr="00E02F30" w14:paraId="37A5EBC9" w14:textId="77777777" w:rsidTr="00A1631B">
        <w:trPr>
          <w:trHeight w:val="1267"/>
        </w:trPr>
        <w:tc>
          <w:tcPr>
            <w:tcW w:w="2411" w:type="dxa"/>
            <w:gridSpan w:val="2"/>
            <w:shd w:val="clear" w:color="auto" w:fill="auto"/>
          </w:tcPr>
          <w:p w14:paraId="298F437A"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781C5830"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72702478" w14:textId="77777777" w:rsidR="00E02F30" w:rsidRPr="00E02F30" w:rsidRDefault="00E02F30" w:rsidP="00E02F30">
            <w:pPr>
              <w:spacing w:after="0" w:line="240" w:lineRule="auto"/>
              <w:rPr>
                <w:rFonts w:eastAsia="Times New Roman" w:cs="Times New Roman"/>
                <w:b/>
                <w:sz w:val="20"/>
                <w:szCs w:val="20"/>
                <w:lang w:eastAsia="pl-PL"/>
              </w:rPr>
            </w:pPr>
            <w:r w:rsidRPr="00E02F30">
              <w:rPr>
                <w:rFonts w:eastAsia="Times New Roman" w:cs="Times New Roman"/>
                <w:b/>
                <w:sz w:val="20"/>
                <w:szCs w:val="20"/>
                <w:lang w:eastAsia="pl-PL"/>
              </w:rPr>
              <w:t>Zgodne</w:t>
            </w:r>
          </w:p>
          <w:p w14:paraId="5333F353" w14:textId="77777777" w:rsidR="00E02F30" w:rsidRPr="00E02F30" w:rsidRDefault="00E02F30" w:rsidP="00E02F30">
            <w:pPr>
              <w:spacing w:after="0" w:line="240" w:lineRule="auto"/>
              <w:rPr>
                <w:rFonts w:eastAsia="Times New Roman" w:cs="Times New Roman"/>
                <w:bCs/>
                <w:sz w:val="20"/>
                <w:szCs w:val="20"/>
                <w:lang w:eastAsia="pl-PL"/>
              </w:rPr>
            </w:pPr>
            <w:r w:rsidRPr="00E02F30">
              <w:rPr>
                <w:rFonts w:eastAsia="Times New Roman" w:cs="Times New Roman"/>
                <w:bCs/>
                <w:sz w:val="20"/>
                <w:szCs w:val="20"/>
                <w:lang w:eastAsia="pl-PL"/>
              </w:rPr>
              <w:t>Spółka zapobiega zanieczyszczeniu wody niezanieczyszczonej oraz ogranicza emisje do wody - na terenie zakładu istnieje rozdzielczy system wewnętrznych sieci kanalizacyjnych:</w:t>
            </w:r>
          </w:p>
          <w:p w14:paraId="0B0A8801" w14:textId="77777777" w:rsidR="00E02F30" w:rsidRPr="00E02F30" w:rsidRDefault="00E02F30" w:rsidP="00E02F30">
            <w:pPr>
              <w:spacing w:after="0" w:line="240" w:lineRule="auto"/>
              <w:rPr>
                <w:rFonts w:eastAsia="Times New Roman" w:cs="Times New Roman"/>
                <w:bCs/>
                <w:sz w:val="20"/>
                <w:szCs w:val="20"/>
                <w:lang w:eastAsia="pl-PL"/>
              </w:rPr>
            </w:pPr>
            <w:r w:rsidRPr="00E02F30">
              <w:rPr>
                <w:rFonts w:eastAsia="Times New Roman" w:cs="Times New Roman"/>
                <w:bCs/>
                <w:sz w:val="20"/>
                <w:szCs w:val="20"/>
                <w:lang w:eastAsia="pl-PL"/>
              </w:rPr>
              <w:t>- sieć kanalizacyjna wód chłodniczych (obieg zamknięty),</w:t>
            </w:r>
          </w:p>
          <w:p w14:paraId="2E104177" w14:textId="77777777" w:rsidR="00E02F30" w:rsidRPr="00E02F30" w:rsidRDefault="00E02F30" w:rsidP="00E02F30">
            <w:pPr>
              <w:spacing w:after="0" w:line="240" w:lineRule="auto"/>
              <w:rPr>
                <w:rFonts w:eastAsia="Times New Roman" w:cs="Times New Roman"/>
                <w:bCs/>
                <w:sz w:val="20"/>
                <w:szCs w:val="20"/>
                <w:lang w:eastAsia="pl-PL"/>
              </w:rPr>
            </w:pPr>
            <w:r w:rsidRPr="00E02F30">
              <w:rPr>
                <w:rFonts w:eastAsia="Times New Roman" w:cs="Times New Roman"/>
                <w:bCs/>
                <w:sz w:val="20"/>
                <w:szCs w:val="20"/>
                <w:lang w:eastAsia="pl-PL"/>
              </w:rPr>
              <w:t>- sieć kanalizacyjna do odprowadzania ścieków bytowych,</w:t>
            </w:r>
          </w:p>
          <w:p w14:paraId="40AC476D" w14:textId="77777777" w:rsidR="00E02F30" w:rsidRPr="00E02F30" w:rsidRDefault="00E02F30" w:rsidP="00E02F30">
            <w:pPr>
              <w:spacing w:after="0" w:line="240" w:lineRule="auto"/>
              <w:rPr>
                <w:rFonts w:eastAsia="Times New Roman" w:cs="Times New Roman"/>
                <w:bCs/>
                <w:sz w:val="20"/>
                <w:szCs w:val="20"/>
                <w:lang w:eastAsia="pl-PL"/>
              </w:rPr>
            </w:pPr>
            <w:r w:rsidRPr="00E02F30">
              <w:rPr>
                <w:rFonts w:eastAsia="Times New Roman" w:cs="Times New Roman"/>
                <w:bCs/>
                <w:sz w:val="20"/>
                <w:szCs w:val="20"/>
                <w:lang w:eastAsia="pl-PL"/>
              </w:rPr>
              <w:t>- sieć kanalizacyjna do odprowadzania ścieków przemysłowych.</w:t>
            </w:r>
          </w:p>
          <w:p w14:paraId="2C3CE83B" w14:textId="77777777" w:rsidR="00E02F30" w:rsidRPr="00E02F30" w:rsidRDefault="00E02F30" w:rsidP="00E02F30">
            <w:pPr>
              <w:spacing w:after="0" w:line="240" w:lineRule="auto"/>
              <w:jc w:val="both"/>
              <w:rPr>
                <w:rFonts w:eastAsia="Times New Roman" w:cs="Times New Roman"/>
                <w:sz w:val="20"/>
                <w:szCs w:val="20"/>
                <w:lang w:eastAsia="pl-PL"/>
              </w:rPr>
            </w:pPr>
            <w:r w:rsidRPr="00E02F30">
              <w:rPr>
                <w:rFonts w:eastAsia="Times New Roman" w:cs="Times New Roman"/>
                <w:sz w:val="20"/>
                <w:szCs w:val="20"/>
                <w:lang w:eastAsia="pl-PL"/>
              </w:rPr>
              <w:t>Ścieki przemysłowe z instalacji IPPC nie są i nie będą bezpośrednio z zakładu wprowadzane do wód lub do ziemi.</w:t>
            </w:r>
          </w:p>
        </w:tc>
      </w:tr>
      <w:tr w:rsidR="00E02F30" w:rsidRPr="00E02F30" w14:paraId="7F06818A" w14:textId="77777777" w:rsidTr="00A1631B">
        <w:trPr>
          <w:trHeight w:val="284"/>
        </w:trPr>
        <w:tc>
          <w:tcPr>
            <w:tcW w:w="10632" w:type="dxa"/>
            <w:gridSpan w:val="5"/>
            <w:shd w:val="clear" w:color="auto" w:fill="auto"/>
          </w:tcPr>
          <w:p w14:paraId="73535B61"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9.</w:t>
            </w:r>
          </w:p>
          <w:p w14:paraId="5FE57E8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zapobiec niekontrolowanym emisjom do wody, w ramach BAT należy zapewnić odpowiednią pojemność zbiornika buforowego ścieków powstałych w warunkach innych niż normalne warunki eksploatacji na podstawie oceny ryzyka (z uwzględnieniem np. rodzaju zanieczyszczenia, wpływu na dalsze oczyszczanie oraz przyjmującego środowiska), oraz podjąć odpowiednie dalsze środki (np. kontrole, przetwarzanie, ponowne wykorzystanie).</w:t>
            </w:r>
          </w:p>
          <w:p w14:paraId="0233658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Zastosowanie</w:t>
            </w:r>
          </w:p>
          <w:p w14:paraId="08CB6C4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Tymczasowe składowanie zanieczyszczonych wód opadowych wymaga segregacji, która może nie mieć zastosowania w przypadku istniejących systemów zbierania ścieków.</w:t>
            </w:r>
          </w:p>
        </w:tc>
      </w:tr>
      <w:tr w:rsidR="00E02F30" w:rsidRPr="00E02F30" w14:paraId="3E7C812E" w14:textId="77777777" w:rsidTr="00A1631B">
        <w:trPr>
          <w:trHeight w:val="284"/>
        </w:trPr>
        <w:tc>
          <w:tcPr>
            <w:tcW w:w="2411" w:type="dxa"/>
            <w:gridSpan w:val="2"/>
            <w:shd w:val="clear" w:color="auto" w:fill="auto"/>
          </w:tcPr>
          <w:p w14:paraId="37A48B7A"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3E8797B8"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72D443DC" w14:textId="77777777" w:rsidR="00E02F30" w:rsidRPr="00E02F30" w:rsidRDefault="00E02F30" w:rsidP="00E02F30">
            <w:pPr>
              <w:spacing w:after="0" w:line="240" w:lineRule="auto"/>
              <w:jc w:val="both"/>
              <w:rPr>
                <w:rFonts w:eastAsia="Times New Roman" w:cs="Arial"/>
                <w:b/>
                <w:bCs/>
                <w:sz w:val="20"/>
                <w:szCs w:val="20"/>
                <w:lang w:eastAsia="pl-PL"/>
              </w:rPr>
            </w:pPr>
            <w:r w:rsidRPr="00E02F30">
              <w:rPr>
                <w:rFonts w:eastAsia="Times New Roman" w:cs="Arial"/>
                <w:b/>
                <w:bCs/>
                <w:sz w:val="20"/>
                <w:szCs w:val="20"/>
                <w:lang w:eastAsia="pl-PL"/>
              </w:rPr>
              <w:t>Zgodne</w:t>
            </w:r>
          </w:p>
          <w:p w14:paraId="543C3CD7" w14:textId="77777777" w:rsidR="00E02F30" w:rsidRPr="00E02F30" w:rsidRDefault="00E02F30" w:rsidP="00E02F30">
            <w:pPr>
              <w:spacing w:after="0" w:line="240" w:lineRule="auto"/>
              <w:jc w:val="both"/>
              <w:rPr>
                <w:rFonts w:eastAsia="Times New Roman" w:cs="Arial"/>
                <w:b/>
                <w:bCs/>
                <w:sz w:val="20"/>
                <w:szCs w:val="20"/>
                <w:lang w:eastAsia="pl-PL"/>
              </w:rPr>
            </w:pPr>
            <w:r w:rsidRPr="00E02F30">
              <w:rPr>
                <w:rFonts w:eastAsia="Times New Roman" w:cs="Arial"/>
                <w:b/>
                <w:bCs/>
                <w:sz w:val="20"/>
                <w:szCs w:val="20"/>
                <w:lang w:eastAsia="pl-PL"/>
              </w:rPr>
              <w:t>Ścieki przemysłowe z instalacji IPPC nie są i nie będą bezpośrednio z zakładu wprowadzane do wód lub do ziemi.</w:t>
            </w:r>
          </w:p>
          <w:p w14:paraId="25F6EFEE"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Spółka stosuje w zakładzie szereg zabezpieczeń zarówno technicznych jak i organizacyjnych, które zapobiegają emisjom do gleby, ziemi i wód gruntowych. Wśród nich należy wymienić m.in.:</w:t>
            </w:r>
          </w:p>
          <w:p w14:paraId="0D5F3F8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substancje są magazynowane w szczelnych opakowaniach jednostkowych lub zbiorczych, a także w zbiornikach i silosach skonstruowanych z materiałów odpornych na działanie tych substancji (zbiorniki operacyjne, magazynowe i międzyoperacyjne surowców ciekłych i produktów), często wyposażonych w dodatkowe systemy zabezpieczeń (np. podwójne ścianki, czujniki szczelności), i umiejscowionych w betonowych tacach o pojemności większej niż pojemność zbiornika, połączonych z bezodpływowymi studzienkami, co zapewni odpowiednią pojemność dla ścieków powstałych w warunkach innych niż normalne warunki eksploatacji. Informacje dotyczące zbiorników i ich pojemności zostały przedstawione w załączniku 3 do dokumentacji do wniosku o wydanie pozwolenia zintegrowanego,</w:t>
            </w:r>
          </w:p>
          <w:p w14:paraId="1A15BFA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miejsca przechowywania substancji są wydzielonymi obiektami (budynkami, pomieszczeniami oraz strefami na zewnątrz budynków – wiaty), zabezpieczonymi przed dostępem osób nieupoważnionych, zadaszonymi, posiadającymi wybetonowane podłoże (często wyłożone także płytkami chemoodpornymi), wyposażonymi w podręczne magazyny sorbentów umożliwiających zebranie substancji w przypadku jej ewentualnego uwolnienia,</w:t>
            </w:r>
          </w:p>
          <w:p w14:paraId="4F65D1F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transport substancji wewnątrz zakładu realizowany jest z uwzględnieniem wymogów bezpieczeństwa: transport kołowy realizowany jest po trasach wyposażonych w utwardzoną nawierzchnię (najczęściej asfaltową, ale również betonową), rurociągi, którymi przesyłane są substancje, podlegają bieżącej kontroli w zakresie ich szczelności, a ponadto wykonane są one w systemie naziemnym i biegną nad terenami, których powierzchnia jest wyasfaltowana lub wybetonowana,</w:t>
            </w:r>
          </w:p>
          <w:p w14:paraId="1035C7D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urządzenia produkcyjne i pomocnicze znajdujące się wewnątrz budynków oraz poza nimi osadzone są na posadzkach lub podłożu betonowym.</w:t>
            </w:r>
          </w:p>
          <w:p w14:paraId="7A3FDF96" w14:textId="77777777" w:rsidR="00E02F30" w:rsidRPr="00E02F30" w:rsidRDefault="00E02F30" w:rsidP="00E02F30">
            <w:pPr>
              <w:spacing w:after="0" w:line="240" w:lineRule="auto"/>
              <w:jc w:val="both"/>
              <w:rPr>
                <w:rFonts w:eastAsia="Times New Roman" w:cs="Arial"/>
                <w:bCs/>
                <w:sz w:val="20"/>
                <w:szCs w:val="20"/>
                <w:lang w:eastAsia="pl-PL"/>
              </w:rPr>
            </w:pPr>
          </w:p>
          <w:p w14:paraId="7F7179F2"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Spółka jako zakład o dużym ryzyku wystąpienia poważnej awarii przemysłowej opracowała, uzgodniła i wdrożyła oraz aktualizuje:</w:t>
            </w:r>
          </w:p>
          <w:p w14:paraId="3F602DE1"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dokumenty zgłoszenia do Podkarpackiego Komendanta Wojewódzkiego Państwowej Straży Pożarnej (PKW PSP),</w:t>
            </w:r>
          </w:p>
          <w:p w14:paraId="67CCD90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Zakładowy Program Zapobiegania Awariom (PZA),</w:t>
            </w:r>
          </w:p>
          <w:p w14:paraId="38AF5FB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Raport o Bezpieczeństwie (</w:t>
            </w:r>
            <w:proofErr w:type="spellStart"/>
            <w:r w:rsidRPr="00E02F30">
              <w:rPr>
                <w:rFonts w:eastAsia="Times New Roman" w:cs="Arial"/>
                <w:bCs/>
                <w:sz w:val="20"/>
                <w:szCs w:val="20"/>
                <w:lang w:eastAsia="pl-PL"/>
              </w:rPr>
              <w:t>RoB</w:t>
            </w:r>
            <w:proofErr w:type="spellEnd"/>
            <w:r w:rsidRPr="00E02F30">
              <w:rPr>
                <w:rFonts w:eastAsia="Times New Roman" w:cs="Arial"/>
                <w:bCs/>
                <w:sz w:val="20"/>
                <w:szCs w:val="20"/>
                <w:lang w:eastAsia="pl-PL"/>
              </w:rPr>
              <w:t>) – zatwierdzony każdorazowo przez PKW PSP,</w:t>
            </w:r>
          </w:p>
          <w:p w14:paraId="3AF734A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wewnętrzny i zewnętrzny plan operacyjno-ratowniczy (WPO-R).</w:t>
            </w:r>
          </w:p>
          <w:p w14:paraId="38AC210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Działania zapobiegające lub ograniczające wpływy ewentualnych awarii na środowisko obejmują również procedury zintegrowanego systemu zarządzania.</w:t>
            </w:r>
          </w:p>
        </w:tc>
      </w:tr>
      <w:tr w:rsidR="00E02F30" w:rsidRPr="00E02F30" w14:paraId="5F983B28" w14:textId="77777777" w:rsidTr="00A1631B">
        <w:trPr>
          <w:trHeight w:val="284"/>
        </w:trPr>
        <w:tc>
          <w:tcPr>
            <w:tcW w:w="10632" w:type="dxa"/>
            <w:gridSpan w:val="5"/>
            <w:shd w:val="clear" w:color="auto" w:fill="auto"/>
          </w:tcPr>
          <w:p w14:paraId="4974A7EA"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10.</w:t>
            </w:r>
          </w:p>
          <w:p w14:paraId="1B5A8C8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Aby ograniczyć emisje do wody, w ramach BAT należy stosować zintegrowaną strategię gospodarowania ściekami i oczyszczania ścieków, obejmującą odpowiednią kombinację technik w kolejności podanej poniżej.</w:t>
            </w:r>
          </w:p>
          <w:tbl>
            <w:tblPr>
              <w:tblW w:w="10185" w:type="dxa"/>
              <w:tblCellSpacing w:w="0" w:type="auto"/>
              <w:tblBorders>
                <w:top w:val="single" w:sz="8" w:space="0" w:color="000000"/>
                <w:bottom w:val="single" w:sz="8" w:space="0" w:color="000000"/>
              </w:tblBorders>
              <w:tblLayout w:type="fixed"/>
              <w:tblLook w:val="04A0" w:firstRow="1" w:lastRow="0" w:firstColumn="1" w:lastColumn="0" w:noHBand="0" w:noVBand="1"/>
            </w:tblPr>
            <w:tblGrid>
              <w:gridCol w:w="719"/>
              <w:gridCol w:w="2469"/>
              <w:gridCol w:w="6997"/>
            </w:tblGrid>
            <w:tr w:rsidR="00E02F30" w:rsidRPr="00E02F30" w14:paraId="314D81F9" w14:textId="77777777" w:rsidTr="00A1631B">
              <w:trPr>
                <w:trHeight w:val="39"/>
                <w:tblCellSpacing w:w="0" w:type="auto"/>
              </w:trPr>
              <w:tc>
                <w:tcPr>
                  <w:tcW w:w="719" w:type="dxa"/>
                  <w:tcBorders>
                    <w:bottom w:val="single" w:sz="8" w:space="0" w:color="000000"/>
                    <w:right w:val="single" w:sz="8" w:space="0" w:color="000000"/>
                  </w:tcBorders>
                  <w:tcMar>
                    <w:top w:w="15" w:type="dxa"/>
                    <w:left w:w="15" w:type="dxa"/>
                    <w:bottom w:w="15" w:type="dxa"/>
                    <w:right w:w="15" w:type="dxa"/>
                  </w:tcMar>
                  <w:vAlign w:val="center"/>
                </w:tcPr>
                <w:p w14:paraId="7BCF0789" w14:textId="77777777" w:rsidR="00E02F30" w:rsidRPr="00E02F30" w:rsidRDefault="00E02F30" w:rsidP="00E02F30">
                  <w:pPr>
                    <w:spacing w:after="0" w:line="240" w:lineRule="auto"/>
                    <w:rPr>
                      <w:rFonts w:eastAsia="Times New Roman" w:cs="Arial"/>
                      <w:sz w:val="20"/>
                      <w:szCs w:val="20"/>
                      <w:lang w:eastAsia="pl-PL"/>
                    </w:rPr>
                  </w:pPr>
                </w:p>
              </w:tc>
              <w:tc>
                <w:tcPr>
                  <w:tcW w:w="2469" w:type="dxa"/>
                  <w:tcBorders>
                    <w:bottom w:val="single" w:sz="8" w:space="0" w:color="000000"/>
                    <w:right w:val="single" w:sz="8" w:space="0" w:color="000000"/>
                  </w:tcBorders>
                  <w:tcMar>
                    <w:top w:w="15" w:type="dxa"/>
                    <w:left w:w="15" w:type="dxa"/>
                    <w:bottom w:w="15" w:type="dxa"/>
                    <w:right w:w="15" w:type="dxa"/>
                  </w:tcMar>
                  <w:vAlign w:val="center"/>
                </w:tcPr>
                <w:p w14:paraId="50611EC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Technika</w:t>
                  </w:r>
                </w:p>
              </w:tc>
              <w:tc>
                <w:tcPr>
                  <w:tcW w:w="6996" w:type="dxa"/>
                  <w:tcBorders>
                    <w:bottom w:val="single" w:sz="8" w:space="0" w:color="000000"/>
                  </w:tcBorders>
                  <w:tcMar>
                    <w:top w:w="15" w:type="dxa"/>
                    <w:left w:w="15" w:type="dxa"/>
                    <w:bottom w:w="15" w:type="dxa"/>
                    <w:right w:w="15" w:type="dxa"/>
                  </w:tcMar>
                  <w:vAlign w:val="center"/>
                </w:tcPr>
                <w:p w14:paraId="38E7D7C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Opis</w:t>
                  </w:r>
                </w:p>
              </w:tc>
            </w:tr>
            <w:tr w:rsidR="00E02F30" w:rsidRPr="00E02F30" w14:paraId="6B4A0DDF" w14:textId="77777777" w:rsidTr="00A1631B">
              <w:trPr>
                <w:trHeight w:val="39"/>
                <w:tblCellSpacing w:w="0" w:type="auto"/>
              </w:trPr>
              <w:tc>
                <w:tcPr>
                  <w:tcW w:w="719" w:type="dxa"/>
                  <w:tcBorders>
                    <w:bottom w:val="single" w:sz="8" w:space="0" w:color="000000"/>
                    <w:right w:val="single" w:sz="8" w:space="0" w:color="000000"/>
                  </w:tcBorders>
                  <w:tcMar>
                    <w:top w:w="15" w:type="dxa"/>
                    <w:left w:w="15" w:type="dxa"/>
                    <w:bottom w:w="15" w:type="dxa"/>
                    <w:right w:w="15" w:type="dxa"/>
                  </w:tcMar>
                  <w:vAlign w:val="center"/>
                </w:tcPr>
                <w:p w14:paraId="05800C6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w:t>
                  </w:r>
                </w:p>
              </w:tc>
              <w:tc>
                <w:tcPr>
                  <w:tcW w:w="2469" w:type="dxa"/>
                  <w:tcBorders>
                    <w:bottom w:val="single" w:sz="8" w:space="0" w:color="000000"/>
                    <w:right w:val="single" w:sz="8" w:space="0" w:color="000000"/>
                  </w:tcBorders>
                  <w:tcMar>
                    <w:top w:w="15" w:type="dxa"/>
                    <w:left w:w="15" w:type="dxa"/>
                    <w:bottom w:w="15" w:type="dxa"/>
                    <w:right w:w="15" w:type="dxa"/>
                  </w:tcMar>
                  <w:vAlign w:val="center"/>
                </w:tcPr>
                <w:p w14:paraId="1C68377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Techniki zintegrowane z procesem </w:t>
                  </w:r>
                  <w:r w:rsidRPr="00E02F30">
                    <w:rPr>
                      <w:rFonts w:eastAsia="Times New Roman" w:cs="Arial"/>
                      <w:sz w:val="20"/>
                      <w:szCs w:val="20"/>
                      <w:vertAlign w:val="superscript"/>
                      <w:lang w:eastAsia="pl-PL"/>
                    </w:rPr>
                    <w:t>(1)</w:t>
                  </w:r>
                </w:p>
              </w:tc>
              <w:tc>
                <w:tcPr>
                  <w:tcW w:w="6996" w:type="dxa"/>
                  <w:tcBorders>
                    <w:bottom w:val="single" w:sz="8" w:space="0" w:color="000000"/>
                  </w:tcBorders>
                  <w:tcMar>
                    <w:top w:w="15" w:type="dxa"/>
                    <w:left w:w="15" w:type="dxa"/>
                    <w:bottom w:w="15" w:type="dxa"/>
                    <w:right w:w="15" w:type="dxa"/>
                  </w:tcMar>
                  <w:vAlign w:val="center"/>
                </w:tcPr>
                <w:p w14:paraId="6525841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Techniki zapobiegania wytwarzaniu zanieczyszczeń wód lub ograniczania ich wytwarzania.</w:t>
                  </w:r>
                </w:p>
              </w:tc>
            </w:tr>
            <w:tr w:rsidR="00E02F30" w:rsidRPr="00E02F30" w14:paraId="00219375" w14:textId="77777777" w:rsidTr="00A1631B">
              <w:trPr>
                <w:trHeight w:val="39"/>
                <w:tblCellSpacing w:w="0" w:type="auto"/>
              </w:trPr>
              <w:tc>
                <w:tcPr>
                  <w:tcW w:w="719" w:type="dxa"/>
                  <w:tcBorders>
                    <w:bottom w:val="single" w:sz="8" w:space="0" w:color="000000"/>
                    <w:right w:val="single" w:sz="8" w:space="0" w:color="000000"/>
                  </w:tcBorders>
                  <w:tcMar>
                    <w:top w:w="15" w:type="dxa"/>
                    <w:left w:w="15" w:type="dxa"/>
                    <w:bottom w:w="15" w:type="dxa"/>
                    <w:right w:w="15" w:type="dxa"/>
                  </w:tcMar>
                  <w:vAlign w:val="center"/>
                </w:tcPr>
                <w:p w14:paraId="13030CD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w:t>
                  </w:r>
                </w:p>
              </w:tc>
              <w:tc>
                <w:tcPr>
                  <w:tcW w:w="2469" w:type="dxa"/>
                  <w:tcBorders>
                    <w:bottom w:val="single" w:sz="8" w:space="0" w:color="000000"/>
                    <w:right w:val="single" w:sz="8" w:space="0" w:color="000000"/>
                  </w:tcBorders>
                  <w:tcMar>
                    <w:top w:w="15" w:type="dxa"/>
                    <w:left w:w="15" w:type="dxa"/>
                    <w:bottom w:w="15" w:type="dxa"/>
                    <w:right w:w="15" w:type="dxa"/>
                  </w:tcMar>
                  <w:vAlign w:val="center"/>
                </w:tcPr>
                <w:p w14:paraId="77104C13"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Odzysk zanieczyszczeń u źródła </w:t>
                  </w:r>
                  <w:r w:rsidRPr="00E02F30">
                    <w:rPr>
                      <w:rFonts w:eastAsia="Times New Roman" w:cs="Arial"/>
                      <w:sz w:val="20"/>
                      <w:szCs w:val="20"/>
                      <w:vertAlign w:val="superscript"/>
                      <w:lang w:eastAsia="pl-PL"/>
                    </w:rPr>
                    <w:t>(1)</w:t>
                  </w:r>
                </w:p>
              </w:tc>
              <w:tc>
                <w:tcPr>
                  <w:tcW w:w="6996" w:type="dxa"/>
                  <w:tcBorders>
                    <w:bottom w:val="single" w:sz="8" w:space="0" w:color="000000"/>
                  </w:tcBorders>
                  <w:tcMar>
                    <w:top w:w="15" w:type="dxa"/>
                    <w:left w:w="15" w:type="dxa"/>
                    <w:bottom w:w="15" w:type="dxa"/>
                    <w:right w:w="15" w:type="dxa"/>
                  </w:tcMar>
                  <w:vAlign w:val="center"/>
                </w:tcPr>
                <w:p w14:paraId="4743690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Techniki odzysku zanieczyszczeń przed ich zrzutem do systemu zbierania ścieków.</w:t>
                  </w:r>
                </w:p>
              </w:tc>
            </w:tr>
            <w:tr w:rsidR="00E02F30" w:rsidRPr="00E02F30" w14:paraId="5B42B4F9" w14:textId="77777777" w:rsidTr="00A1631B">
              <w:trPr>
                <w:trHeight w:val="39"/>
                <w:tblCellSpacing w:w="0" w:type="auto"/>
              </w:trPr>
              <w:tc>
                <w:tcPr>
                  <w:tcW w:w="719" w:type="dxa"/>
                  <w:tcBorders>
                    <w:bottom w:val="single" w:sz="8" w:space="0" w:color="000000"/>
                    <w:right w:val="single" w:sz="8" w:space="0" w:color="000000"/>
                  </w:tcBorders>
                  <w:tcMar>
                    <w:top w:w="15" w:type="dxa"/>
                    <w:left w:w="15" w:type="dxa"/>
                    <w:bottom w:w="15" w:type="dxa"/>
                    <w:right w:w="15" w:type="dxa"/>
                  </w:tcMar>
                  <w:vAlign w:val="center"/>
                </w:tcPr>
                <w:p w14:paraId="2322956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c)</w:t>
                  </w:r>
                </w:p>
              </w:tc>
              <w:tc>
                <w:tcPr>
                  <w:tcW w:w="2469" w:type="dxa"/>
                  <w:tcBorders>
                    <w:bottom w:val="single" w:sz="8" w:space="0" w:color="000000"/>
                    <w:right w:val="single" w:sz="8" w:space="0" w:color="000000"/>
                  </w:tcBorders>
                  <w:tcMar>
                    <w:top w:w="15" w:type="dxa"/>
                    <w:left w:w="15" w:type="dxa"/>
                    <w:bottom w:w="15" w:type="dxa"/>
                    <w:right w:w="15" w:type="dxa"/>
                  </w:tcMar>
                  <w:vAlign w:val="center"/>
                </w:tcPr>
                <w:p w14:paraId="00CB004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Podczyszczanie ścieków </w:t>
                  </w:r>
                  <w:r w:rsidRPr="00E02F30">
                    <w:rPr>
                      <w:rFonts w:eastAsia="Times New Roman" w:cs="Arial"/>
                      <w:sz w:val="20"/>
                      <w:szCs w:val="20"/>
                      <w:vertAlign w:val="superscript"/>
                      <w:lang w:eastAsia="pl-PL"/>
                    </w:rPr>
                    <w:t>(1)</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(2)</w:t>
                  </w:r>
                </w:p>
              </w:tc>
              <w:tc>
                <w:tcPr>
                  <w:tcW w:w="6996" w:type="dxa"/>
                  <w:tcBorders>
                    <w:bottom w:val="single" w:sz="8" w:space="0" w:color="000000"/>
                  </w:tcBorders>
                  <w:tcMar>
                    <w:top w:w="15" w:type="dxa"/>
                    <w:left w:w="15" w:type="dxa"/>
                    <w:bottom w:w="15" w:type="dxa"/>
                    <w:right w:w="15" w:type="dxa"/>
                  </w:tcMar>
                  <w:vAlign w:val="center"/>
                </w:tcPr>
                <w:p w14:paraId="06D6032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Techniki redukcji zanieczyszczeń przed oczyszczeniem końcowym ścieków Podczyszczanie może być przeprowadzone u źródła lub w połączonych strumieniach.</w:t>
                  </w:r>
                </w:p>
              </w:tc>
            </w:tr>
            <w:tr w:rsidR="00E02F30" w:rsidRPr="00E02F30" w14:paraId="5A4ECE21" w14:textId="77777777" w:rsidTr="00A1631B">
              <w:trPr>
                <w:trHeight w:val="39"/>
                <w:tblCellSpacing w:w="0" w:type="auto"/>
              </w:trPr>
              <w:tc>
                <w:tcPr>
                  <w:tcW w:w="719" w:type="dxa"/>
                  <w:tcBorders>
                    <w:bottom w:val="single" w:sz="8" w:space="0" w:color="000000"/>
                    <w:right w:val="single" w:sz="8" w:space="0" w:color="000000"/>
                  </w:tcBorders>
                  <w:tcMar>
                    <w:top w:w="15" w:type="dxa"/>
                    <w:left w:w="15" w:type="dxa"/>
                    <w:bottom w:w="15" w:type="dxa"/>
                    <w:right w:w="15" w:type="dxa"/>
                  </w:tcMar>
                  <w:vAlign w:val="center"/>
                </w:tcPr>
                <w:p w14:paraId="29258B5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d)</w:t>
                  </w:r>
                </w:p>
              </w:tc>
              <w:tc>
                <w:tcPr>
                  <w:tcW w:w="2469" w:type="dxa"/>
                  <w:tcBorders>
                    <w:bottom w:val="single" w:sz="8" w:space="0" w:color="000000"/>
                    <w:right w:val="single" w:sz="8" w:space="0" w:color="000000"/>
                  </w:tcBorders>
                  <w:tcMar>
                    <w:top w:w="15" w:type="dxa"/>
                    <w:left w:w="15" w:type="dxa"/>
                    <w:bottom w:w="15" w:type="dxa"/>
                    <w:right w:w="15" w:type="dxa"/>
                  </w:tcMar>
                  <w:vAlign w:val="center"/>
                </w:tcPr>
                <w:p w14:paraId="205F405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Oczyszczanie końcowe ścieków </w:t>
                  </w:r>
                  <w:r w:rsidRPr="00E02F30">
                    <w:rPr>
                      <w:rFonts w:eastAsia="Times New Roman" w:cs="Arial"/>
                      <w:sz w:val="20"/>
                      <w:szCs w:val="20"/>
                      <w:vertAlign w:val="superscript"/>
                      <w:lang w:eastAsia="pl-PL"/>
                    </w:rPr>
                    <w:t>(3)</w:t>
                  </w:r>
                </w:p>
              </w:tc>
              <w:tc>
                <w:tcPr>
                  <w:tcW w:w="6996" w:type="dxa"/>
                  <w:tcBorders>
                    <w:bottom w:val="single" w:sz="8" w:space="0" w:color="000000"/>
                  </w:tcBorders>
                  <w:tcMar>
                    <w:top w:w="15" w:type="dxa"/>
                    <w:left w:w="15" w:type="dxa"/>
                    <w:bottom w:w="15" w:type="dxa"/>
                    <w:right w:w="15" w:type="dxa"/>
                  </w:tcMar>
                  <w:vAlign w:val="center"/>
                </w:tcPr>
                <w:p w14:paraId="01349BE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Oczyszczanie końcowe ścieków np. metodą oczyszczania wstępnego i oczyszczania pierwotnego, oczyszczania biologicznego, usuwania azotu, fosforu i/lub ostatecznego usuwania substancji stałych przez zrzutem do odbiornika wody.</w:t>
                  </w:r>
                </w:p>
              </w:tc>
            </w:tr>
            <w:tr w:rsidR="00E02F30" w:rsidRPr="00E02F30" w14:paraId="788E085E" w14:textId="77777777" w:rsidTr="00A1631B">
              <w:trPr>
                <w:trHeight w:val="39"/>
                <w:tblCellSpacing w:w="0" w:type="auto"/>
              </w:trPr>
              <w:tc>
                <w:tcPr>
                  <w:tcW w:w="10185" w:type="dxa"/>
                  <w:gridSpan w:val="3"/>
                  <w:tcBorders>
                    <w:bottom w:val="single" w:sz="8" w:space="0" w:color="000000"/>
                  </w:tcBorders>
                  <w:tcMar>
                    <w:top w:w="15" w:type="dxa"/>
                    <w:left w:w="15" w:type="dxa"/>
                    <w:bottom w:w="15" w:type="dxa"/>
                    <w:right w:w="15" w:type="dxa"/>
                  </w:tcMar>
                  <w:vAlign w:val="center"/>
                </w:tcPr>
                <w:p w14:paraId="1C46AB9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vertAlign w:val="superscript"/>
                      <w:lang w:eastAsia="pl-PL"/>
                    </w:rPr>
                    <w:t>(1)</w:t>
                  </w:r>
                  <w:r w:rsidRPr="00E02F30">
                    <w:rPr>
                      <w:rFonts w:eastAsia="Times New Roman" w:cs="Arial"/>
                      <w:sz w:val="20"/>
                      <w:szCs w:val="20"/>
                      <w:lang w:eastAsia="pl-PL"/>
                    </w:rPr>
                    <w:t xml:space="preserve"> Techniki te zostały bardziej szczegółowo opisane i określone w innych konkluzjach dotyczących BAT dla przemysłu chemicznego.</w:t>
                  </w:r>
                </w:p>
                <w:p w14:paraId="5E30CE5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vertAlign w:val="superscript"/>
                      <w:lang w:eastAsia="pl-PL"/>
                    </w:rPr>
                    <w:t>(2)</w:t>
                  </w:r>
                  <w:r w:rsidRPr="00E02F30">
                    <w:rPr>
                      <w:rFonts w:eastAsia="Times New Roman" w:cs="Arial"/>
                      <w:sz w:val="20"/>
                      <w:szCs w:val="20"/>
                      <w:lang w:eastAsia="pl-PL"/>
                    </w:rPr>
                    <w:t xml:space="preserve"> Zob. BAT 11.</w:t>
                  </w:r>
                </w:p>
                <w:p w14:paraId="1168B25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Zob. BAT 12.</w:t>
                  </w:r>
                </w:p>
              </w:tc>
            </w:tr>
          </w:tbl>
          <w:p w14:paraId="7BE405C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Opis</w:t>
            </w:r>
          </w:p>
          <w:p w14:paraId="75BE27B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Zintegrowana strategia gospodarowania ściekami i oczyszczania ścieków opiera się na wykazie strumieni ścieków (zob. BAT 2).</w:t>
            </w:r>
          </w:p>
          <w:p w14:paraId="1B066688"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sz w:val="20"/>
                <w:szCs w:val="20"/>
                <w:lang w:eastAsia="pl-PL"/>
              </w:rPr>
              <w:t>Poziomy emisji powiązane z BAT Zob. sekcja 3.4.</w:t>
            </w:r>
          </w:p>
        </w:tc>
      </w:tr>
      <w:tr w:rsidR="00E02F30" w:rsidRPr="00E02F30" w14:paraId="06CD549D" w14:textId="77777777" w:rsidTr="00A1631B">
        <w:trPr>
          <w:trHeight w:val="284"/>
        </w:trPr>
        <w:tc>
          <w:tcPr>
            <w:tcW w:w="2411" w:type="dxa"/>
            <w:gridSpan w:val="2"/>
            <w:shd w:val="clear" w:color="auto" w:fill="auto"/>
          </w:tcPr>
          <w:p w14:paraId="6E225FDF"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37C4CEE5"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1441FBCA"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42652AA2"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bCs/>
                <w:sz w:val="20"/>
                <w:szCs w:val="20"/>
                <w:lang w:eastAsia="pl-PL"/>
              </w:rPr>
              <w:t>Ścieki przemysłowe z instalacji IPPC nie są i nie będą bezpośrednio z zakładu wprowadzane do wód lub do ziemi.</w:t>
            </w:r>
          </w:p>
          <w:p w14:paraId="3E214FCF" w14:textId="77777777" w:rsidR="00E02F30" w:rsidRPr="00E02F30" w:rsidRDefault="00E02F30" w:rsidP="00E02F30">
            <w:pPr>
              <w:spacing w:before="120" w:after="120" w:line="276" w:lineRule="auto"/>
              <w:jc w:val="both"/>
              <w:rPr>
                <w:rFonts w:eastAsia="Times New Roman" w:cs="Arial"/>
                <w:sz w:val="20"/>
                <w:szCs w:val="20"/>
                <w:lang w:eastAsia="pl-PL"/>
              </w:rPr>
            </w:pPr>
            <w:r w:rsidRPr="00E02F30">
              <w:rPr>
                <w:rFonts w:eastAsia="Times New Roman" w:cs="Arial"/>
                <w:sz w:val="20"/>
                <w:szCs w:val="20"/>
                <w:lang w:eastAsia="pl-PL"/>
              </w:rPr>
              <w:t xml:space="preserve">Spółka realizuje oszczędne gospodarowanie wodą poprzez wprowadzenie zamkniętych obiegów wód chłodniczych. Wielkość zużycia wody w instalacji IPPC, zarówno w zakresie wielkości poboru jak i rodzaju ujmowanej wody są czynnikiem limitującym produkcję zakładu. </w:t>
            </w:r>
          </w:p>
          <w:p w14:paraId="1EFF9291" w14:textId="77777777" w:rsidR="00E02F30" w:rsidRPr="00E02F30" w:rsidRDefault="00E02F30" w:rsidP="00E02F30">
            <w:pPr>
              <w:spacing w:before="120" w:after="120" w:line="276" w:lineRule="auto"/>
              <w:jc w:val="both"/>
              <w:rPr>
                <w:rFonts w:eastAsia="Times New Roman" w:cs="Arial"/>
                <w:sz w:val="20"/>
                <w:szCs w:val="20"/>
                <w:lang w:eastAsia="pl-PL"/>
              </w:rPr>
            </w:pPr>
            <w:r w:rsidRPr="00E02F30">
              <w:rPr>
                <w:rFonts w:eastAsia="Times New Roman" w:cs="Arial"/>
                <w:sz w:val="20"/>
                <w:szCs w:val="20"/>
                <w:lang w:eastAsia="pl-PL"/>
              </w:rPr>
              <w:t xml:space="preserve">Wszystkie urządzenia związane z gospodarką wodno-ściekową utrzymywane są w dobrym stanie technicznym i prawidłowo eksploatowane zgodnie z instrukcjami szczegółowymi oraz obowiązującymi w Spółce procedurami operacyjnymi zakładowego systemu zarządzania środowiskowego. Poszczególne rurociągi rozprowadzające wodę i odprowadzające ścieki poddawane są systematycznym przeglądom, a wszystkie awarie i nieszczelności sieci są na bieżąco usuwane (technika a). </w:t>
            </w:r>
          </w:p>
          <w:p w14:paraId="4DA67A6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instalacji Nienasyconych Żywic Poliestrowych stosowane są techniki:</w:t>
            </w:r>
          </w:p>
          <w:p w14:paraId="06B27DF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b) odzysku zanieczyszczeń u źródła: Zawracanie wody kondensacyjnej do kolumn zwrotnych, w których poddawana będzie ona procesowi rektyfikacji – odzyskane w ten sposób reagenty zawracane będą do produkcji. Podczyszczona woda po skropleniu w skraplaczach kierowana będzie poprzez łapacz do kanalizacji ścieków przemysłowych. Opary styrenu z procesu rozpuszczania </w:t>
            </w:r>
            <w:proofErr w:type="spellStart"/>
            <w:r w:rsidRPr="00E02F30">
              <w:rPr>
                <w:rFonts w:eastAsia="Times New Roman" w:cs="Arial"/>
                <w:sz w:val="20"/>
                <w:szCs w:val="20"/>
                <w:lang w:eastAsia="pl-PL"/>
              </w:rPr>
              <w:t>alkidu</w:t>
            </w:r>
            <w:proofErr w:type="spellEnd"/>
            <w:r w:rsidRPr="00E02F30">
              <w:rPr>
                <w:rFonts w:eastAsia="Times New Roman" w:cs="Arial"/>
                <w:sz w:val="20"/>
                <w:szCs w:val="20"/>
                <w:lang w:eastAsia="pl-PL"/>
              </w:rPr>
              <w:t xml:space="preserve"> w styrenie, wychładzane będą w układzie chłodnic zwrotnych i skraplaczy, a skroplone składniki (głównie styren) zawracane będą na bieżąco do mieszalnika w którym następować będzie rozpuszczanie </w:t>
            </w:r>
            <w:proofErr w:type="spellStart"/>
            <w:r w:rsidRPr="00E02F30">
              <w:rPr>
                <w:rFonts w:eastAsia="Times New Roman" w:cs="Arial"/>
                <w:sz w:val="20"/>
                <w:szCs w:val="20"/>
                <w:lang w:eastAsia="pl-PL"/>
              </w:rPr>
              <w:t>alkidu</w:t>
            </w:r>
            <w:proofErr w:type="spellEnd"/>
            <w:r w:rsidRPr="00E02F30">
              <w:rPr>
                <w:rFonts w:eastAsia="Times New Roman" w:cs="Arial"/>
                <w:sz w:val="20"/>
                <w:szCs w:val="20"/>
                <w:lang w:eastAsia="pl-PL"/>
              </w:rPr>
              <w:t>.</w:t>
            </w:r>
          </w:p>
          <w:p w14:paraId="08971738" w14:textId="77777777" w:rsidR="00E02F30" w:rsidRPr="00E02F30" w:rsidRDefault="00E02F30" w:rsidP="00E02F30">
            <w:pPr>
              <w:spacing w:before="120" w:after="120" w:line="276" w:lineRule="auto"/>
              <w:jc w:val="both"/>
              <w:rPr>
                <w:rFonts w:eastAsia="Times New Roman" w:cs="Arial"/>
                <w:sz w:val="20"/>
                <w:szCs w:val="20"/>
                <w:lang w:eastAsia="pl-PL"/>
              </w:rPr>
            </w:pPr>
            <w:r w:rsidRPr="00E02F30">
              <w:rPr>
                <w:rFonts w:eastAsia="Times New Roman" w:cs="Arial"/>
                <w:sz w:val="20"/>
                <w:szCs w:val="20"/>
                <w:lang w:eastAsia="pl-PL"/>
              </w:rPr>
              <w:t>- c) podczyszczona woda po skropleniu w skraplaczach kierowana będzie do zbiornika ścieków DCPD o pojemności V-6 m³. Ścieki ze zbiornika będą przewożone do obiektu 501, gdzie będą podczyszczane poprzez neutralizację i rozdział na fazę organiczną oraz fazę wodną. Wydzielona masa organiczna przekazywana jest jako odpady. Podczyszczone ścieki przewożone są do oczyszczalni ścieków lub do unieszkodliwienia w procesie D10.</w:t>
            </w:r>
          </w:p>
          <w:p w14:paraId="27627272" w14:textId="77777777" w:rsidR="00E02F30" w:rsidRPr="00E02F30" w:rsidRDefault="00E02F30" w:rsidP="00E02F30">
            <w:pPr>
              <w:spacing w:before="120" w:after="120" w:line="276" w:lineRule="auto"/>
              <w:jc w:val="both"/>
              <w:rPr>
                <w:rFonts w:eastAsia="Times New Roman" w:cs="Arial"/>
                <w:sz w:val="20"/>
                <w:szCs w:val="20"/>
                <w:lang w:eastAsia="pl-PL"/>
              </w:rPr>
            </w:pPr>
            <w:r w:rsidRPr="00E02F30">
              <w:rPr>
                <w:rFonts w:eastAsia="Times New Roman" w:cs="Arial"/>
                <w:sz w:val="20"/>
                <w:szCs w:val="20"/>
                <w:lang w:eastAsia="pl-PL"/>
              </w:rPr>
              <w:t xml:space="preserve">Z uwagi na odprowadzanie ścieków do kanalizacji innego podmiotu (CIECH Sarzyna S.A), końcowe oczyszczanie ścieków w ramach techniki d) realizowane jest w Komunalnej Biologicznej Oczyszczalni Ścieków Sp. z o.o. (KBOŚ), do której dopływają ścieki z 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o.o., CIECH Sarzyna S.A. oraz od innych podmiotów.</w:t>
            </w:r>
          </w:p>
        </w:tc>
      </w:tr>
      <w:tr w:rsidR="00E02F30" w:rsidRPr="00E02F30" w14:paraId="7FE78B6C" w14:textId="77777777" w:rsidTr="00A1631B">
        <w:trPr>
          <w:trHeight w:val="284"/>
        </w:trPr>
        <w:tc>
          <w:tcPr>
            <w:tcW w:w="10632" w:type="dxa"/>
            <w:gridSpan w:val="5"/>
            <w:shd w:val="clear" w:color="auto" w:fill="auto"/>
          </w:tcPr>
          <w:p w14:paraId="0E33AC4F"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11. </w:t>
            </w:r>
          </w:p>
          <w:p w14:paraId="6F65F8A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ograniczyć emisje do wody, w ramach BAT należy przeprowadzić podczyszczenie ścieków zawierających zanieczyszczenia, którymi nie można się odpowiednio zająć podczas oczyszczania końcowego ścieków za pomocą odpowiednich technik.</w:t>
            </w:r>
          </w:p>
          <w:p w14:paraId="3602554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Opis</w:t>
            </w:r>
          </w:p>
          <w:p w14:paraId="128F2B0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Podczyszczanie ścieków jest przeprowadzane jako część kompleksowej strategii gospodarowania ściekami i oczyszczania ścieków (zob. BAT 10) i jest zasadniczo niezbędne w celu:</w:t>
            </w:r>
          </w:p>
          <w:p w14:paraId="1972DDB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ochrony oczyszczalni ścieków prowadzącej oczyszczanie końcowe (np. ochrony oczyszczalni biologicznej ścieków przed działaniem inhibitorów lub związków toksycznych),</w:t>
            </w:r>
          </w:p>
          <w:p w14:paraId="66B0D9C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usuwania związków, które zostały zredukowane w sposób niewystarczający podczas obróbki końcowej (np. związków toksycznych, związków organicznych źle ulegających/nieulegających biodegradacji, związków organicznych, które są obecne w wysokich stężeniach, lub metali podczas oczyszczania biologicznego),</w:t>
            </w:r>
          </w:p>
          <w:p w14:paraId="29A04DE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usuwania związków, które w innym razie są uwalniane do powietrza z systemu zbiórki lub podczas obróbki końcowej (np. lotnych związków </w:t>
            </w:r>
            <w:proofErr w:type="spellStart"/>
            <w:r w:rsidRPr="00E02F30">
              <w:rPr>
                <w:rFonts w:eastAsia="Times New Roman" w:cs="Arial"/>
                <w:bCs/>
                <w:sz w:val="20"/>
                <w:szCs w:val="20"/>
                <w:lang w:eastAsia="pl-PL"/>
              </w:rPr>
              <w:t>halogenoorganicznych</w:t>
            </w:r>
            <w:proofErr w:type="spellEnd"/>
            <w:r w:rsidRPr="00E02F30">
              <w:rPr>
                <w:rFonts w:eastAsia="Times New Roman" w:cs="Arial"/>
                <w:bCs/>
                <w:sz w:val="20"/>
                <w:szCs w:val="20"/>
                <w:lang w:eastAsia="pl-PL"/>
              </w:rPr>
              <w:t>, benzenu),</w:t>
            </w:r>
          </w:p>
          <w:p w14:paraId="05D9C59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usuwania związków, które mają inne negatywne skutki (np. korozja sprzętu, niepożądane reakcje z innymi substancjami, zanieczyszczenie osadów ściekowych).</w:t>
            </w:r>
          </w:p>
          <w:p w14:paraId="0E7D81C1"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Ogólnie rzecz biorąc, podczyszczanie jest przeprowadzane jak najbliżej źródła w celu uniknięcia rozcieńczenia, w szczególności w przypadku metali. Czasami strumienie ścieków o danych cechach mogą być segregowane i zbierane w celu poddania ich specjalnemu połączonemu podczyszczaniu.</w:t>
            </w:r>
          </w:p>
        </w:tc>
      </w:tr>
      <w:tr w:rsidR="00E02F30" w:rsidRPr="00E02F30" w14:paraId="5193CF8A" w14:textId="77777777" w:rsidTr="00A1631B">
        <w:trPr>
          <w:trHeight w:val="693"/>
        </w:trPr>
        <w:tc>
          <w:tcPr>
            <w:tcW w:w="2411" w:type="dxa"/>
            <w:gridSpan w:val="2"/>
            <w:shd w:val="clear" w:color="auto" w:fill="auto"/>
          </w:tcPr>
          <w:p w14:paraId="70DCA4EB"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5BAFC0C8"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0083AAC7"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Zgodne</w:t>
            </w:r>
          </w:p>
          <w:p w14:paraId="563B39E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Podczyszczone ścieki przemysłowe z instalacji eksploatowanych przez Spółkę nie są odprowadzane bezpośrednio do środowiska, tylko do urządzeń kanalizacyjnych CIECH Sarzyna S.A., a następnie do Komunalnej Biologicznej Oczyszczalni Ścieków Sp. z o.o. w Sarzynie.</w:t>
            </w:r>
          </w:p>
          <w:p w14:paraId="39295A2A" w14:textId="77777777" w:rsidR="00E02F30" w:rsidRPr="00E02F30" w:rsidRDefault="00E02F30" w:rsidP="00E02F30">
            <w:pPr>
              <w:spacing w:after="0" w:line="240" w:lineRule="auto"/>
              <w:rPr>
                <w:rFonts w:eastAsia="Times New Roman" w:cs="Arial"/>
                <w:bCs/>
                <w:sz w:val="20"/>
                <w:szCs w:val="20"/>
                <w:lang w:eastAsia="pl-PL"/>
              </w:rPr>
            </w:pPr>
          </w:p>
          <w:p w14:paraId="0274DD3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etapie kondensacji powstawać będzie woda kondensacyjna zawierająca składniki (reagenty). Woda ta kierowana będzie do kolumn rektyfikacyjnych / zwrotnych, w których poddawana będzie procesowi rektyfikacji, tj. rozdziału składników. Odzyskane składniki zawracane będą do produkcji. Podczyszczona woda po skropleniu w skraplaczach kierowana będzie do zbiornika ścieków DCPD o pojemności V-6 m³. Ścieki ze zbiornika będą przewożone do obiektu 501, gdzie będą podczyszczane poprzez neutralizację i rozdział na fazę organiczną oraz fazę wodną. Faza organiczna jako odpady będzie pakowana, ważona, znakowana i magazynowana w wyznaczonym miejscu, a następnie będzie przekazywana do zewnętrznych odbiorców celem odzysku lub unieszkodliwienia. Faza wodna przewożona będzie do Komunalnej Biologicznej Oczyszczalni Ścieków Sp. z o.o. w Sarzynie lub przekazywana do procesów termicznego unieszkodliwiania D10.</w:t>
            </w:r>
          </w:p>
          <w:p w14:paraId="58586126" w14:textId="77777777" w:rsidR="00E02F30" w:rsidRPr="00E02F30" w:rsidRDefault="00E02F30" w:rsidP="00E02F30">
            <w:pPr>
              <w:spacing w:after="0" w:line="240" w:lineRule="auto"/>
              <w:rPr>
                <w:rFonts w:eastAsia="Times New Roman" w:cs="Arial"/>
                <w:b/>
                <w:bCs/>
                <w:sz w:val="20"/>
                <w:szCs w:val="20"/>
                <w:lang w:eastAsia="pl-PL"/>
              </w:rPr>
            </w:pPr>
            <w:r w:rsidRPr="00E02F30">
              <w:rPr>
                <w:rFonts w:eastAsia="Times New Roman" w:cs="Arial"/>
                <w:bCs/>
                <w:sz w:val="20"/>
                <w:szCs w:val="20"/>
                <w:lang w:eastAsia="pl-PL"/>
              </w:rPr>
              <w:t xml:space="preserve">W etapie rozpuszczania </w:t>
            </w:r>
            <w:proofErr w:type="spellStart"/>
            <w:r w:rsidRPr="00E02F30">
              <w:rPr>
                <w:rFonts w:eastAsia="Times New Roman" w:cs="Arial"/>
                <w:bCs/>
                <w:sz w:val="20"/>
                <w:szCs w:val="20"/>
                <w:lang w:eastAsia="pl-PL"/>
              </w:rPr>
              <w:t>alkidu</w:t>
            </w:r>
            <w:proofErr w:type="spellEnd"/>
            <w:r w:rsidRPr="00E02F30">
              <w:rPr>
                <w:rFonts w:eastAsia="Times New Roman" w:cs="Arial"/>
                <w:bCs/>
                <w:sz w:val="20"/>
                <w:szCs w:val="20"/>
                <w:lang w:eastAsia="pl-PL"/>
              </w:rPr>
              <w:t xml:space="preserve"> w styrenie będą powstawały opary styrenu, które wychładzane będą w układzie chłodnic zwrotnych i skraplaczy. Skroplone składniki (głównie styren) zawracane będą na bieżąco do mieszalnika w którym następować będzie rozpuszczanie </w:t>
            </w:r>
            <w:proofErr w:type="spellStart"/>
            <w:r w:rsidRPr="00E02F30">
              <w:rPr>
                <w:rFonts w:eastAsia="Times New Roman" w:cs="Arial"/>
                <w:bCs/>
                <w:sz w:val="20"/>
                <w:szCs w:val="20"/>
                <w:lang w:eastAsia="pl-PL"/>
              </w:rPr>
              <w:t>alkidu</w:t>
            </w:r>
            <w:proofErr w:type="spellEnd"/>
            <w:r w:rsidRPr="00E02F30">
              <w:rPr>
                <w:rFonts w:eastAsia="Times New Roman" w:cs="Arial"/>
                <w:bCs/>
                <w:sz w:val="20"/>
                <w:szCs w:val="20"/>
                <w:lang w:eastAsia="pl-PL"/>
              </w:rPr>
              <w:t>.</w:t>
            </w:r>
          </w:p>
        </w:tc>
      </w:tr>
      <w:tr w:rsidR="00E02F30" w:rsidRPr="00E02F30" w14:paraId="5A4B7F22" w14:textId="77777777" w:rsidTr="00A1631B">
        <w:trPr>
          <w:trHeight w:val="284"/>
        </w:trPr>
        <w:tc>
          <w:tcPr>
            <w:tcW w:w="10632" w:type="dxa"/>
            <w:gridSpan w:val="5"/>
            <w:shd w:val="clear" w:color="auto" w:fill="auto"/>
          </w:tcPr>
          <w:p w14:paraId="2E8DBEB8"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12.</w:t>
            </w:r>
          </w:p>
          <w:p w14:paraId="0EDA6DA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Aby ograniczyć emisje do wody, w ramach BAT należy stosować odpowiednią kombinację technik oczyszczania końcowego ścieków.</w:t>
            </w:r>
          </w:p>
          <w:p w14:paraId="6CADDDE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Opis</w:t>
            </w:r>
          </w:p>
          <w:p w14:paraId="6527149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Oczyszczanie końcowe ścieków jest przeprowadzane jako część kompleksowej strategii gospodarowania ściekami i oczyszczania ścieków (zob. BAT 10).</w:t>
            </w:r>
          </w:p>
          <w:p w14:paraId="274E339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Odpowiednie techniki oczyszczania końcowego ścieków, w zależności od substancji zanieczyszczającej, obejmują:</w:t>
            </w:r>
          </w:p>
          <w:tbl>
            <w:tblPr>
              <w:tblW w:w="0" w:type="auto"/>
              <w:tblCellSpacing w:w="0" w:type="auto"/>
              <w:tblBorders>
                <w:top w:val="single" w:sz="8" w:space="0" w:color="000000"/>
                <w:bottom w:val="single" w:sz="8" w:space="0" w:color="000000"/>
              </w:tblBorders>
              <w:tblLayout w:type="fixed"/>
              <w:tblLook w:val="04A0" w:firstRow="1" w:lastRow="0" w:firstColumn="1" w:lastColumn="0" w:noHBand="0" w:noVBand="1"/>
            </w:tblPr>
            <w:tblGrid>
              <w:gridCol w:w="607"/>
              <w:gridCol w:w="2817"/>
              <w:gridCol w:w="3242"/>
              <w:gridCol w:w="3449"/>
            </w:tblGrid>
            <w:tr w:rsidR="00E02F30" w:rsidRPr="00E02F30" w14:paraId="44CA57BB"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7E1DBA96" w14:textId="77777777" w:rsidR="00E02F30" w:rsidRPr="00E02F30" w:rsidRDefault="00E02F30" w:rsidP="00E02F30">
                  <w:pPr>
                    <w:spacing w:after="0" w:line="240" w:lineRule="auto"/>
                    <w:rPr>
                      <w:rFonts w:eastAsia="Times New Roman" w:cs="Arial"/>
                      <w:sz w:val="20"/>
                      <w:szCs w:val="20"/>
                      <w:lang w:eastAsia="pl-PL"/>
                    </w:rPr>
                  </w:pP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558BF61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Technika </w:t>
                  </w:r>
                  <w:r w:rsidRPr="00E02F30">
                    <w:rPr>
                      <w:rFonts w:eastAsia="Times New Roman" w:cs="Arial"/>
                      <w:sz w:val="20"/>
                      <w:szCs w:val="20"/>
                      <w:vertAlign w:val="superscript"/>
                      <w:lang w:eastAsia="pl-PL"/>
                    </w:rPr>
                    <w:t>(1)</w:t>
                  </w:r>
                </w:p>
              </w:tc>
              <w:tc>
                <w:tcPr>
                  <w:tcW w:w="3242" w:type="dxa"/>
                  <w:tcBorders>
                    <w:bottom w:val="single" w:sz="8" w:space="0" w:color="000000"/>
                    <w:right w:val="single" w:sz="8" w:space="0" w:color="000000"/>
                  </w:tcBorders>
                  <w:tcMar>
                    <w:top w:w="15" w:type="dxa"/>
                    <w:left w:w="15" w:type="dxa"/>
                    <w:bottom w:w="15" w:type="dxa"/>
                    <w:right w:w="15" w:type="dxa"/>
                  </w:tcMar>
                  <w:vAlign w:val="center"/>
                </w:tcPr>
                <w:p w14:paraId="756BC17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Redukcja głównych zanieczyszczeń</w:t>
                  </w:r>
                </w:p>
              </w:tc>
              <w:tc>
                <w:tcPr>
                  <w:tcW w:w="3447" w:type="dxa"/>
                  <w:tcBorders>
                    <w:bottom w:val="single" w:sz="8" w:space="0" w:color="000000"/>
                  </w:tcBorders>
                  <w:tcMar>
                    <w:top w:w="15" w:type="dxa"/>
                    <w:left w:w="15" w:type="dxa"/>
                    <w:bottom w:w="15" w:type="dxa"/>
                    <w:right w:w="15" w:type="dxa"/>
                  </w:tcMar>
                  <w:vAlign w:val="center"/>
                </w:tcPr>
                <w:p w14:paraId="41E9E38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w:t>
                  </w:r>
                </w:p>
              </w:tc>
            </w:tr>
            <w:tr w:rsidR="00E02F30" w:rsidRPr="00E02F30" w14:paraId="5A50576B" w14:textId="77777777" w:rsidTr="00A1631B">
              <w:trPr>
                <w:trHeight w:val="45"/>
                <w:tblCellSpacing w:w="0" w:type="auto"/>
              </w:trPr>
              <w:tc>
                <w:tcPr>
                  <w:tcW w:w="10115" w:type="dxa"/>
                  <w:gridSpan w:val="4"/>
                  <w:tcBorders>
                    <w:bottom w:val="single" w:sz="8" w:space="0" w:color="000000"/>
                  </w:tcBorders>
                  <w:tcMar>
                    <w:top w:w="15" w:type="dxa"/>
                    <w:left w:w="15" w:type="dxa"/>
                    <w:bottom w:w="15" w:type="dxa"/>
                    <w:right w:w="15" w:type="dxa"/>
                  </w:tcMar>
                  <w:vAlign w:val="center"/>
                </w:tcPr>
                <w:p w14:paraId="219488C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i/>
                      <w:sz w:val="20"/>
                      <w:szCs w:val="20"/>
                      <w:lang w:eastAsia="pl-PL"/>
                    </w:rPr>
                    <w:t>Oczyszczanie wstępne i pierwotne</w:t>
                  </w:r>
                </w:p>
              </w:tc>
            </w:tr>
            <w:tr w:rsidR="00E02F30" w:rsidRPr="00E02F30" w14:paraId="101A428B"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573679E3"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w:t>
                  </w: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5FEEE76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Wyrównanie</w:t>
                  </w:r>
                </w:p>
              </w:tc>
              <w:tc>
                <w:tcPr>
                  <w:tcW w:w="3242" w:type="dxa"/>
                  <w:tcBorders>
                    <w:bottom w:val="single" w:sz="8" w:space="0" w:color="000000"/>
                    <w:right w:val="single" w:sz="8" w:space="0" w:color="000000"/>
                  </w:tcBorders>
                  <w:tcMar>
                    <w:top w:w="15" w:type="dxa"/>
                    <w:left w:w="15" w:type="dxa"/>
                    <w:bottom w:w="15" w:type="dxa"/>
                    <w:right w:w="15" w:type="dxa"/>
                  </w:tcMar>
                  <w:vAlign w:val="center"/>
                </w:tcPr>
                <w:p w14:paraId="6B2F865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Wszystkie substancje zanieczyszczające</w:t>
                  </w:r>
                </w:p>
              </w:tc>
              <w:tc>
                <w:tcPr>
                  <w:tcW w:w="3447" w:type="dxa"/>
                  <w:vMerge w:val="restart"/>
                  <w:tcBorders>
                    <w:bottom w:val="single" w:sz="8" w:space="0" w:color="000000"/>
                  </w:tcBorders>
                  <w:tcMar>
                    <w:top w:w="15" w:type="dxa"/>
                    <w:left w:w="15" w:type="dxa"/>
                    <w:bottom w:w="15" w:type="dxa"/>
                    <w:right w:w="15" w:type="dxa"/>
                  </w:tcMar>
                  <w:vAlign w:val="center"/>
                </w:tcPr>
                <w:p w14:paraId="1941E5D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 ogólne</w:t>
                  </w:r>
                </w:p>
              </w:tc>
            </w:tr>
            <w:tr w:rsidR="00E02F30" w:rsidRPr="00E02F30" w14:paraId="774C4D33"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5A778A23"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w:t>
                  </w: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36FB510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Neutralizacja</w:t>
                  </w:r>
                </w:p>
              </w:tc>
              <w:tc>
                <w:tcPr>
                  <w:tcW w:w="3242" w:type="dxa"/>
                  <w:tcBorders>
                    <w:bottom w:val="single" w:sz="8" w:space="0" w:color="000000"/>
                    <w:right w:val="single" w:sz="8" w:space="0" w:color="000000"/>
                  </w:tcBorders>
                  <w:tcMar>
                    <w:top w:w="15" w:type="dxa"/>
                    <w:left w:w="15" w:type="dxa"/>
                    <w:bottom w:w="15" w:type="dxa"/>
                    <w:right w:w="15" w:type="dxa"/>
                  </w:tcMar>
                  <w:vAlign w:val="center"/>
                </w:tcPr>
                <w:p w14:paraId="6260847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Kwasy, zasady</w:t>
                  </w:r>
                </w:p>
              </w:tc>
              <w:tc>
                <w:tcPr>
                  <w:tcW w:w="3447" w:type="dxa"/>
                  <w:vMerge/>
                  <w:tcBorders>
                    <w:top w:val="nil"/>
                    <w:bottom w:val="single" w:sz="8" w:space="0" w:color="000000"/>
                  </w:tcBorders>
                </w:tcPr>
                <w:p w14:paraId="2BC67391" w14:textId="77777777" w:rsidR="00E02F30" w:rsidRPr="00E02F30" w:rsidRDefault="00E02F30" w:rsidP="00E02F30">
                  <w:pPr>
                    <w:spacing w:after="0" w:line="240" w:lineRule="auto"/>
                    <w:rPr>
                      <w:rFonts w:eastAsia="Times New Roman" w:cs="Arial"/>
                      <w:sz w:val="20"/>
                      <w:szCs w:val="20"/>
                      <w:lang w:eastAsia="pl-PL"/>
                    </w:rPr>
                  </w:pPr>
                </w:p>
              </w:tc>
            </w:tr>
            <w:tr w:rsidR="00E02F30" w:rsidRPr="00E02F30" w14:paraId="18FFC319"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453AA15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c)</w:t>
                  </w: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754BDA7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Odseparowanie fizyczne, np. kraty, sita, piaskowniki, separatory tłuszczu lub osadniki wstępne</w:t>
                  </w:r>
                </w:p>
              </w:tc>
              <w:tc>
                <w:tcPr>
                  <w:tcW w:w="3242" w:type="dxa"/>
                  <w:tcBorders>
                    <w:bottom w:val="single" w:sz="8" w:space="0" w:color="000000"/>
                    <w:right w:val="single" w:sz="8" w:space="0" w:color="000000"/>
                  </w:tcBorders>
                  <w:tcMar>
                    <w:top w:w="15" w:type="dxa"/>
                    <w:left w:w="15" w:type="dxa"/>
                    <w:bottom w:w="15" w:type="dxa"/>
                    <w:right w:w="15" w:type="dxa"/>
                  </w:tcMar>
                  <w:vAlign w:val="center"/>
                </w:tcPr>
                <w:p w14:paraId="7A092E5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Zawiesiny, olej/tłuszcz</w:t>
                  </w:r>
                </w:p>
              </w:tc>
              <w:tc>
                <w:tcPr>
                  <w:tcW w:w="3447" w:type="dxa"/>
                  <w:vMerge/>
                  <w:tcBorders>
                    <w:top w:val="nil"/>
                    <w:bottom w:val="single" w:sz="8" w:space="0" w:color="000000"/>
                  </w:tcBorders>
                </w:tcPr>
                <w:p w14:paraId="4D42DC06" w14:textId="77777777" w:rsidR="00E02F30" w:rsidRPr="00E02F30" w:rsidRDefault="00E02F30" w:rsidP="00E02F30">
                  <w:pPr>
                    <w:spacing w:after="0" w:line="240" w:lineRule="auto"/>
                    <w:rPr>
                      <w:rFonts w:eastAsia="Times New Roman" w:cs="Arial"/>
                      <w:sz w:val="20"/>
                      <w:szCs w:val="20"/>
                      <w:lang w:eastAsia="pl-PL"/>
                    </w:rPr>
                  </w:pPr>
                </w:p>
              </w:tc>
            </w:tr>
            <w:tr w:rsidR="00E02F30" w:rsidRPr="00E02F30" w14:paraId="5604B41F" w14:textId="77777777" w:rsidTr="00A1631B">
              <w:trPr>
                <w:trHeight w:val="45"/>
                <w:tblCellSpacing w:w="0" w:type="auto"/>
              </w:trPr>
              <w:tc>
                <w:tcPr>
                  <w:tcW w:w="10115" w:type="dxa"/>
                  <w:gridSpan w:val="4"/>
                  <w:tcBorders>
                    <w:bottom w:val="single" w:sz="8" w:space="0" w:color="000000"/>
                  </w:tcBorders>
                  <w:tcMar>
                    <w:top w:w="15" w:type="dxa"/>
                    <w:left w:w="15" w:type="dxa"/>
                    <w:bottom w:w="15" w:type="dxa"/>
                    <w:right w:w="15" w:type="dxa"/>
                  </w:tcMar>
                  <w:vAlign w:val="center"/>
                </w:tcPr>
                <w:p w14:paraId="26EC65A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i/>
                      <w:sz w:val="20"/>
                      <w:szCs w:val="20"/>
                      <w:lang w:eastAsia="pl-PL"/>
                    </w:rPr>
                    <w:t>Oczyszczanie biologiczne (oczyszczanie drugiego stopnia), np.</w:t>
                  </w:r>
                </w:p>
              </w:tc>
            </w:tr>
            <w:tr w:rsidR="00E02F30" w:rsidRPr="00E02F30" w14:paraId="6B5AE121"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0D7EFE2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d)</w:t>
                  </w: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5BE8DF6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Proces osadu czynnego</w:t>
                  </w:r>
                </w:p>
              </w:tc>
              <w:tc>
                <w:tcPr>
                  <w:tcW w:w="3242" w:type="dxa"/>
                  <w:vMerge w:val="restart"/>
                  <w:tcBorders>
                    <w:bottom w:val="single" w:sz="8" w:space="0" w:color="000000"/>
                    <w:right w:val="single" w:sz="8" w:space="0" w:color="000000"/>
                  </w:tcBorders>
                  <w:tcMar>
                    <w:top w:w="15" w:type="dxa"/>
                    <w:left w:w="15" w:type="dxa"/>
                    <w:bottom w:w="15" w:type="dxa"/>
                    <w:right w:w="15" w:type="dxa"/>
                  </w:tcMar>
                  <w:vAlign w:val="center"/>
                </w:tcPr>
                <w:p w14:paraId="0FD060D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Związki organiczne ulegające biodegradacji</w:t>
                  </w:r>
                </w:p>
              </w:tc>
              <w:tc>
                <w:tcPr>
                  <w:tcW w:w="3447" w:type="dxa"/>
                  <w:vMerge w:val="restart"/>
                  <w:tcBorders>
                    <w:bottom w:val="single" w:sz="8" w:space="0" w:color="000000"/>
                  </w:tcBorders>
                  <w:tcMar>
                    <w:top w:w="15" w:type="dxa"/>
                    <w:left w:w="15" w:type="dxa"/>
                    <w:bottom w:w="15" w:type="dxa"/>
                    <w:right w:w="15" w:type="dxa"/>
                  </w:tcMar>
                  <w:vAlign w:val="center"/>
                </w:tcPr>
                <w:p w14:paraId="481F144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 ogólne</w:t>
                  </w:r>
                </w:p>
              </w:tc>
            </w:tr>
            <w:tr w:rsidR="00E02F30" w:rsidRPr="00E02F30" w14:paraId="0FC85033"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187BA54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e)</w:t>
                  </w: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5A814D9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Bioreaktor membranowy</w:t>
                  </w:r>
                </w:p>
              </w:tc>
              <w:tc>
                <w:tcPr>
                  <w:tcW w:w="3242" w:type="dxa"/>
                  <w:vMerge/>
                  <w:tcBorders>
                    <w:top w:val="nil"/>
                    <w:bottom w:val="single" w:sz="8" w:space="0" w:color="000000"/>
                    <w:right w:val="single" w:sz="8" w:space="0" w:color="000000"/>
                  </w:tcBorders>
                </w:tcPr>
                <w:p w14:paraId="2D8B8DA7" w14:textId="77777777" w:rsidR="00E02F30" w:rsidRPr="00E02F30" w:rsidRDefault="00E02F30" w:rsidP="00E02F30">
                  <w:pPr>
                    <w:spacing w:after="0" w:line="240" w:lineRule="auto"/>
                    <w:rPr>
                      <w:rFonts w:eastAsia="Times New Roman" w:cs="Arial"/>
                      <w:sz w:val="20"/>
                      <w:szCs w:val="20"/>
                      <w:lang w:eastAsia="pl-PL"/>
                    </w:rPr>
                  </w:pPr>
                </w:p>
              </w:tc>
              <w:tc>
                <w:tcPr>
                  <w:tcW w:w="3447" w:type="dxa"/>
                  <w:vMerge/>
                  <w:tcBorders>
                    <w:top w:val="nil"/>
                    <w:bottom w:val="single" w:sz="8" w:space="0" w:color="000000"/>
                  </w:tcBorders>
                </w:tcPr>
                <w:p w14:paraId="5DC5FEAE" w14:textId="77777777" w:rsidR="00E02F30" w:rsidRPr="00E02F30" w:rsidRDefault="00E02F30" w:rsidP="00E02F30">
                  <w:pPr>
                    <w:spacing w:after="0" w:line="240" w:lineRule="auto"/>
                    <w:rPr>
                      <w:rFonts w:eastAsia="Times New Roman" w:cs="Arial"/>
                      <w:sz w:val="20"/>
                      <w:szCs w:val="20"/>
                      <w:lang w:eastAsia="pl-PL"/>
                    </w:rPr>
                  </w:pPr>
                </w:p>
              </w:tc>
            </w:tr>
            <w:tr w:rsidR="00E02F30" w:rsidRPr="00E02F30" w14:paraId="7067228C" w14:textId="77777777" w:rsidTr="00A1631B">
              <w:trPr>
                <w:trHeight w:val="45"/>
                <w:tblCellSpacing w:w="0" w:type="auto"/>
              </w:trPr>
              <w:tc>
                <w:tcPr>
                  <w:tcW w:w="10115" w:type="dxa"/>
                  <w:gridSpan w:val="4"/>
                  <w:tcBorders>
                    <w:bottom w:val="single" w:sz="8" w:space="0" w:color="000000"/>
                  </w:tcBorders>
                  <w:tcMar>
                    <w:top w:w="15" w:type="dxa"/>
                    <w:left w:w="15" w:type="dxa"/>
                    <w:bottom w:w="15" w:type="dxa"/>
                    <w:right w:w="15" w:type="dxa"/>
                  </w:tcMar>
                  <w:vAlign w:val="center"/>
                </w:tcPr>
                <w:p w14:paraId="12B9791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i/>
                      <w:sz w:val="20"/>
                      <w:szCs w:val="20"/>
                      <w:lang w:eastAsia="pl-PL"/>
                    </w:rPr>
                    <w:t>Usuwanie azotu</w:t>
                  </w:r>
                </w:p>
              </w:tc>
            </w:tr>
            <w:tr w:rsidR="00E02F30" w:rsidRPr="00E02F30" w14:paraId="2454F554"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3FA541B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f)</w:t>
                  </w: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41D779E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Nitryfikacja/denitryfikacja</w:t>
                  </w:r>
                </w:p>
              </w:tc>
              <w:tc>
                <w:tcPr>
                  <w:tcW w:w="3242" w:type="dxa"/>
                  <w:tcBorders>
                    <w:bottom w:val="single" w:sz="8" w:space="0" w:color="000000"/>
                    <w:right w:val="single" w:sz="8" w:space="0" w:color="000000"/>
                  </w:tcBorders>
                  <w:tcMar>
                    <w:top w:w="15" w:type="dxa"/>
                    <w:left w:w="15" w:type="dxa"/>
                    <w:bottom w:w="15" w:type="dxa"/>
                    <w:right w:w="15" w:type="dxa"/>
                  </w:tcMar>
                  <w:vAlign w:val="center"/>
                </w:tcPr>
                <w:p w14:paraId="026D4E8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Azot ogólny, amoniak</w:t>
                  </w:r>
                </w:p>
              </w:tc>
              <w:tc>
                <w:tcPr>
                  <w:tcW w:w="3447" w:type="dxa"/>
                  <w:tcBorders>
                    <w:bottom w:val="single" w:sz="8" w:space="0" w:color="000000"/>
                  </w:tcBorders>
                  <w:tcMar>
                    <w:top w:w="15" w:type="dxa"/>
                    <w:left w:w="15" w:type="dxa"/>
                    <w:bottom w:w="15" w:type="dxa"/>
                    <w:right w:w="15" w:type="dxa"/>
                  </w:tcMar>
                  <w:vAlign w:val="center"/>
                </w:tcPr>
                <w:p w14:paraId="3669FA7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Nitryfikacja nie może być stosowana w przypadku wystąpienia wysokiego stężenia chlorków (tj. około 10 g/l) i pod warunkiem, że zmniejszenie stężenia chlorków przed nitryfikacją nie byłoby uzasadnione korzyściami dla środowiska.   </w:t>
                  </w:r>
                </w:p>
                <w:p w14:paraId="1ABB73C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Nie ma to zastosowania jeśli obróbka końcowa nie obejmuje oczyszczania biologicznego.</w:t>
                  </w:r>
                </w:p>
              </w:tc>
            </w:tr>
            <w:tr w:rsidR="00E02F30" w:rsidRPr="00E02F30" w14:paraId="43798E25" w14:textId="77777777" w:rsidTr="00A1631B">
              <w:trPr>
                <w:trHeight w:val="45"/>
                <w:tblCellSpacing w:w="0" w:type="auto"/>
              </w:trPr>
              <w:tc>
                <w:tcPr>
                  <w:tcW w:w="10115" w:type="dxa"/>
                  <w:gridSpan w:val="4"/>
                  <w:tcBorders>
                    <w:bottom w:val="single" w:sz="8" w:space="0" w:color="000000"/>
                  </w:tcBorders>
                  <w:tcMar>
                    <w:top w:w="15" w:type="dxa"/>
                    <w:left w:w="15" w:type="dxa"/>
                    <w:bottom w:w="15" w:type="dxa"/>
                    <w:right w:w="15" w:type="dxa"/>
                  </w:tcMar>
                  <w:vAlign w:val="center"/>
                </w:tcPr>
                <w:p w14:paraId="6A546A2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i/>
                      <w:sz w:val="20"/>
                      <w:szCs w:val="20"/>
                      <w:lang w:eastAsia="pl-PL"/>
                    </w:rPr>
                    <w:t>Usuwanie fosforu</w:t>
                  </w:r>
                </w:p>
              </w:tc>
            </w:tr>
            <w:tr w:rsidR="00E02F30" w:rsidRPr="00E02F30" w14:paraId="6AAAFB4D"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294F06D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g)</w:t>
                  </w: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57C576E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Chemiczne strącanie</w:t>
                  </w:r>
                </w:p>
              </w:tc>
              <w:tc>
                <w:tcPr>
                  <w:tcW w:w="3242" w:type="dxa"/>
                  <w:tcBorders>
                    <w:bottom w:val="single" w:sz="8" w:space="0" w:color="000000"/>
                    <w:right w:val="single" w:sz="8" w:space="0" w:color="000000"/>
                  </w:tcBorders>
                  <w:tcMar>
                    <w:top w:w="15" w:type="dxa"/>
                    <w:left w:w="15" w:type="dxa"/>
                    <w:bottom w:w="15" w:type="dxa"/>
                    <w:right w:w="15" w:type="dxa"/>
                  </w:tcMar>
                  <w:vAlign w:val="center"/>
                </w:tcPr>
                <w:p w14:paraId="4D6FB39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Fosfor</w:t>
                  </w:r>
                </w:p>
              </w:tc>
              <w:tc>
                <w:tcPr>
                  <w:tcW w:w="3447" w:type="dxa"/>
                  <w:tcBorders>
                    <w:bottom w:val="single" w:sz="8" w:space="0" w:color="000000"/>
                  </w:tcBorders>
                  <w:tcMar>
                    <w:top w:w="15" w:type="dxa"/>
                    <w:left w:w="15" w:type="dxa"/>
                    <w:bottom w:w="15" w:type="dxa"/>
                    <w:right w:w="15" w:type="dxa"/>
                  </w:tcMar>
                  <w:vAlign w:val="center"/>
                </w:tcPr>
                <w:p w14:paraId="5148A33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 ogólne</w:t>
                  </w:r>
                </w:p>
              </w:tc>
            </w:tr>
            <w:tr w:rsidR="00E02F30" w:rsidRPr="00E02F30" w14:paraId="5797AA10" w14:textId="77777777" w:rsidTr="00A1631B">
              <w:trPr>
                <w:trHeight w:val="45"/>
                <w:tblCellSpacing w:w="0" w:type="auto"/>
              </w:trPr>
              <w:tc>
                <w:tcPr>
                  <w:tcW w:w="10115" w:type="dxa"/>
                  <w:gridSpan w:val="4"/>
                  <w:tcBorders>
                    <w:bottom w:val="single" w:sz="8" w:space="0" w:color="000000"/>
                  </w:tcBorders>
                  <w:tcMar>
                    <w:top w:w="15" w:type="dxa"/>
                    <w:left w:w="15" w:type="dxa"/>
                    <w:bottom w:w="15" w:type="dxa"/>
                    <w:right w:w="15" w:type="dxa"/>
                  </w:tcMar>
                  <w:vAlign w:val="center"/>
                </w:tcPr>
                <w:p w14:paraId="3C77B64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i/>
                      <w:sz w:val="20"/>
                      <w:szCs w:val="20"/>
                      <w:lang w:eastAsia="pl-PL"/>
                    </w:rPr>
                    <w:t>Ostateczne usuwanie substancji stałych</w:t>
                  </w:r>
                </w:p>
              </w:tc>
            </w:tr>
            <w:tr w:rsidR="00E02F30" w:rsidRPr="00E02F30" w14:paraId="1876D182"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7064087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h)</w:t>
                  </w: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48A5C99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Koagulacja i flokulacja</w:t>
                  </w:r>
                </w:p>
              </w:tc>
              <w:tc>
                <w:tcPr>
                  <w:tcW w:w="3242" w:type="dxa"/>
                  <w:vMerge w:val="restart"/>
                  <w:tcBorders>
                    <w:bottom w:val="single" w:sz="8" w:space="0" w:color="000000"/>
                    <w:right w:val="single" w:sz="8" w:space="0" w:color="000000"/>
                  </w:tcBorders>
                  <w:tcMar>
                    <w:top w:w="15" w:type="dxa"/>
                    <w:left w:w="15" w:type="dxa"/>
                    <w:bottom w:w="15" w:type="dxa"/>
                    <w:right w:w="15" w:type="dxa"/>
                  </w:tcMar>
                  <w:vAlign w:val="center"/>
                </w:tcPr>
                <w:p w14:paraId="1B32C81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Zawiesina ogólna</w:t>
                  </w:r>
                </w:p>
              </w:tc>
              <w:tc>
                <w:tcPr>
                  <w:tcW w:w="3447" w:type="dxa"/>
                  <w:vMerge w:val="restart"/>
                  <w:tcBorders>
                    <w:bottom w:val="single" w:sz="8" w:space="0" w:color="000000"/>
                  </w:tcBorders>
                  <w:tcMar>
                    <w:top w:w="15" w:type="dxa"/>
                    <w:left w:w="15" w:type="dxa"/>
                    <w:bottom w:w="15" w:type="dxa"/>
                    <w:right w:w="15" w:type="dxa"/>
                  </w:tcMar>
                  <w:vAlign w:val="center"/>
                </w:tcPr>
                <w:p w14:paraId="06341E30"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 ogólne</w:t>
                  </w:r>
                </w:p>
              </w:tc>
            </w:tr>
            <w:tr w:rsidR="00E02F30" w:rsidRPr="00E02F30" w14:paraId="788CA77A"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2150394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w:t>
                  </w: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1DB306F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Sedymentacja</w:t>
                  </w:r>
                </w:p>
              </w:tc>
              <w:tc>
                <w:tcPr>
                  <w:tcW w:w="3242" w:type="dxa"/>
                  <w:vMerge/>
                  <w:tcBorders>
                    <w:top w:val="nil"/>
                    <w:bottom w:val="single" w:sz="8" w:space="0" w:color="000000"/>
                    <w:right w:val="single" w:sz="8" w:space="0" w:color="000000"/>
                  </w:tcBorders>
                </w:tcPr>
                <w:p w14:paraId="781F9403" w14:textId="77777777" w:rsidR="00E02F30" w:rsidRPr="00E02F30" w:rsidRDefault="00E02F30" w:rsidP="00E02F30">
                  <w:pPr>
                    <w:spacing w:after="0" w:line="240" w:lineRule="auto"/>
                    <w:rPr>
                      <w:rFonts w:eastAsia="Times New Roman" w:cs="Arial"/>
                      <w:sz w:val="20"/>
                      <w:szCs w:val="20"/>
                      <w:lang w:eastAsia="pl-PL"/>
                    </w:rPr>
                  </w:pPr>
                </w:p>
              </w:tc>
              <w:tc>
                <w:tcPr>
                  <w:tcW w:w="3447" w:type="dxa"/>
                  <w:vMerge/>
                  <w:tcBorders>
                    <w:top w:val="nil"/>
                    <w:bottom w:val="single" w:sz="8" w:space="0" w:color="000000"/>
                  </w:tcBorders>
                </w:tcPr>
                <w:p w14:paraId="6E7E2635" w14:textId="77777777" w:rsidR="00E02F30" w:rsidRPr="00E02F30" w:rsidRDefault="00E02F30" w:rsidP="00E02F30">
                  <w:pPr>
                    <w:spacing w:after="0" w:line="240" w:lineRule="auto"/>
                    <w:rPr>
                      <w:rFonts w:eastAsia="Times New Roman" w:cs="Arial"/>
                      <w:sz w:val="20"/>
                      <w:szCs w:val="20"/>
                      <w:lang w:eastAsia="pl-PL"/>
                    </w:rPr>
                  </w:pPr>
                </w:p>
              </w:tc>
            </w:tr>
            <w:tr w:rsidR="00E02F30" w:rsidRPr="00E02F30" w14:paraId="34E2A5D5"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4701E6A3"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j)</w:t>
                  </w: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2EF9C3A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Filtracja (np. filtracja przez złoże piaskowe/żwirowe, </w:t>
                  </w:r>
                  <w:proofErr w:type="spellStart"/>
                  <w:r w:rsidRPr="00E02F30">
                    <w:rPr>
                      <w:rFonts w:eastAsia="Times New Roman" w:cs="Arial"/>
                      <w:sz w:val="20"/>
                      <w:szCs w:val="20"/>
                      <w:lang w:eastAsia="pl-PL"/>
                    </w:rPr>
                    <w:t>mikrofiltracja</w:t>
                  </w:r>
                  <w:proofErr w:type="spellEnd"/>
                  <w:r w:rsidRPr="00E02F30">
                    <w:rPr>
                      <w:rFonts w:eastAsia="Times New Roman" w:cs="Arial"/>
                      <w:sz w:val="20"/>
                      <w:szCs w:val="20"/>
                      <w:lang w:eastAsia="pl-PL"/>
                    </w:rPr>
                    <w:t>, ultrafiltracja)</w:t>
                  </w:r>
                </w:p>
              </w:tc>
              <w:tc>
                <w:tcPr>
                  <w:tcW w:w="3242" w:type="dxa"/>
                  <w:vMerge/>
                  <w:tcBorders>
                    <w:top w:val="nil"/>
                    <w:bottom w:val="single" w:sz="8" w:space="0" w:color="000000"/>
                    <w:right w:val="single" w:sz="8" w:space="0" w:color="000000"/>
                  </w:tcBorders>
                </w:tcPr>
                <w:p w14:paraId="3ED469C3" w14:textId="77777777" w:rsidR="00E02F30" w:rsidRPr="00E02F30" w:rsidRDefault="00E02F30" w:rsidP="00E02F30">
                  <w:pPr>
                    <w:spacing w:after="0" w:line="240" w:lineRule="auto"/>
                    <w:rPr>
                      <w:rFonts w:eastAsia="Times New Roman" w:cs="Arial"/>
                      <w:sz w:val="20"/>
                      <w:szCs w:val="20"/>
                      <w:lang w:eastAsia="pl-PL"/>
                    </w:rPr>
                  </w:pPr>
                </w:p>
              </w:tc>
              <w:tc>
                <w:tcPr>
                  <w:tcW w:w="3447" w:type="dxa"/>
                  <w:vMerge/>
                  <w:tcBorders>
                    <w:top w:val="nil"/>
                    <w:bottom w:val="single" w:sz="8" w:space="0" w:color="000000"/>
                  </w:tcBorders>
                </w:tcPr>
                <w:p w14:paraId="75EA343B" w14:textId="77777777" w:rsidR="00E02F30" w:rsidRPr="00E02F30" w:rsidRDefault="00E02F30" w:rsidP="00E02F30">
                  <w:pPr>
                    <w:spacing w:after="0" w:line="240" w:lineRule="auto"/>
                    <w:rPr>
                      <w:rFonts w:eastAsia="Times New Roman" w:cs="Arial"/>
                      <w:sz w:val="20"/>
                      <w:szCs w:val="20"/>
                      <w:lang w:eastAsia="pl-PL"/>
                    </w:rPr>
                  </w:pPr>
                </w:p>
              </w:tc>
            </w:tr>
            <w:tr w:rsidR="00E02F30" w:rsidRPr="00E02F30" w14:paraId="512824EA" w14:textId="77777777" w:rsidTr="00A1631B">
              <w:trPr>
                <w:trHeight w:val="45"/>
                <w:tblCellSpacing w:w="0" w:type="auto"/>
              </w:trPr>
              <w:tc>
                <w:tcPr>
                  <w:tcW w:w="607" w:type="dxa"/>
                  <w:tcBorders>
                    <w:bottom w:val="single" w:sz="8" w:space="0" w:color="000000"/>
                    <w:right w:val="single" w:sz="8" w:space="0" w:color="000000"/>
                  </w:tcBorders>
                  <w:tcMar>
                    <w:top w:w="15" w:type="dxa"/>
                    <w:left w:w="15" w:type="dxa"/>
                    <w:bottom w:w="15" w:type="dxa"/>
                    <w:right w:w="15" w:type="dxa"/>
                  </w:tcMar>
                  <w:vAlign w:val="center"/>
                </w:tcPr>
                <w:p w14:paraId="7600B38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k)</w:t>
                  </w:r>
                </w:p>
              </w:tc>
              <w:tc>
                <w:tcPr>
                  <w:tcW w:w="2817" w:type="dxa"/>
                  <w:tcBorders>
                    <w:bottom w:val="single" w:sz="8" w:space="0" w:color="000000"/>
                    <w:right w:val="single" w:sz="8" w:space="0" w:color="000000"/>
                  </w:tcBorders>
                  <w:tcMar>
                    <w:top w:w="15" w:type="dxa"/>
                    <w:left w:w="15" w:type="dxa"/>
                    <w:bottom w:w="15" w:type="dxa"/>
                    <w:right w:w="15" w:type="dxa"/>
                  </w:tcMar>
                  <w:vAlign w:val="center"/>
                </w:tcPr>
                <w:p w14:paraId="13F3D8A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Flotacja</w:t>
                  </w:r>
                </w:p>
              </w:tc>
              <w:tc>
                <w:tcPr>
                  <w:tcW w:w="3242" w:type="dxa"/>
                  <w:vMerge/>
                  <w:tcBorders>
                    <w:top w:val="nil"/>
                    <w:bottom w:val="single" w:sz="8" w:space="0" w:color="000000"/>
                    <w:right w:val="single" w:sz="8" w:space="0" w:color="000000"/>
                  </w:tcBorders>
                </w:tcPr>
                <w:p w14:paraId="0CCC12EF" w14:textId="77777777" w:rsidR="00E02F30" w:rsidRPr="00E02F30" w:rsidRDefault="00E02F30" w:rsidP="00E02F30">
                  <w:pPr>
                    <w:spacing w:after="0" w:line="240" w:lineRule="auto"/>
                    <w:rPr>
                      <w:rFonts w:eastAsia="Times New Roman" w:cs="Arial"/>
                      <w:sz w:val="20"/>
                      <w:szCs w:val="20"/>
                      <w:lang w:eastAsia="pl-PL"/>
                    </w:rPr>
                  </w:pPr>
                </w:p>
              </w:tc>
              <w:tc>
                <w:tcPr>
                  <w:tcW w:w="3447" w:type="dxa"/>
                  <w:vMerge/>
                  <w:tcBorders>
                    <w:top w:val="nil"/>
                    <w:bottom w:val="single" w:sz="8" w:space="0" w:color="000000"/>
                  </w:tcBorders>
                </w:tcPr>
                <w:p w14:paraId="0BFF0324" w14:textId="77777777" w:rsidR="00E02F30" w:rsidRPr="00E02F30" w:rsidRDefault="00E02F30" w:rsidP="00E02F30">
                  <w:pPr>
                    <w:spacing w:after="0" w:line="240" w:lineRule="auto"/>
                    <w:rPr>
                      <w:rFonts w:eastAsia="Times New Roman" w:cs="Arial"/>
                      <w:sz w:val="20"/>
                      <w:szCs w:val="20"/>
                      <w:lang w:eastAsia="pl-PL"/>
                    </w:rPr>
                  </w:pPr>
                </w:p>
              </w:tc>
            </w:tr>
            <w:tr w:rsidR="00E02F30" w:rsidRPr="00E02F30" w14:paraId="4F60FCE4" w14:textId="77777777" w:rsidTr="00A1631B">
              <w:trPr>
                <w:trHeight w:val="45"/>
                <w:tblCellSpacing w:w="0" w:type="auto"/>
              </w:trPr>
              <w:tc>
                <w:tcPr>
                  <w:tcW w:w="10115" w:type="dxa"/>
                  <w:gridSpan w:val="4"/>
                  <w:tcBorders>
                    <w:bottom w:val="single" w:sz="8" w:space="0" w:color="000000"/>
                  </w:tcBorders>
                  <w:tcMar>
                    <w:top w:w="15" w:type="dxa"/>
                    <w:left w:w="15" w:type="dxa"/>
                    <w:bottom w:w="15" w:type="dxa"/>
                    <w:right w:w="15" w:type="dxa"/>
                  </w:tcMar>
                  <w:vAlign w:val="center"/>
                </w:tcPr>
                <w:p w14:paraId="0C1CFEA0"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vertAlign w:val="superscript"/>
                      <w:lang w:eastAsia="pl-PL"/>
                    </w:rPr>
                    <w:t>(1)</w:t>
                  </w:r>
                  <w:r w:rsidRPr="00E02F30">
                    <w:rPr>
                      <w:rFonts w:eastAsia="Times New Roman" w:cs="Arial"/>
                      <w:sz w:val="20"/>
                      <w:szCs w:val="20"/>
                      <w:lang w:eastAsia="pl-PL"/>
                    </w:rPr>
                    <w:t xml:space="preserve"> Opis przedmiotowych technik przedstawiono w pkt 6.1.</w:t>
                  </w:r>
                </w:p>
              </w:tc>
            </w:tr>
          </w:tbl>
          <w:p w14:paraId="56D29C9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3.4. </w:t>
            </w:r>
            <w:r w:rsidRPr="00E02F30">
              <w:rPr>
                <w:rFonts w:eastAsia="Times New Roman" w:cs="Arial"/>
                <w:i/>
                <w:sz w:val="20"/>
                <w:szCs w:val="20"/>
                <w:lang w:eastAsia="pl-PL"/>
              </w:rPr>
              <w:t>Poziomy emisji powiązane z BAT dla emisji do wody</w:t>
            </w:r>
          </w:p>
          <w:p w14:paraId="68CDCD3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Poziomy emisji powiązane z BAT (BAT-AEL) dla emisji do wody przedstawione w tabeli 1, tabeli 2 i tabeli 3 odnoszą się do bezpośrednich emisji do odbiornika wody z:</w:t>
            </w:r>
          </w:p>
          <w:p w14:paraId="3A4726C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 działalności określonych w sekcji 4 załącznika I do dyrektywy 2010/75/UE;</w:t>
            </w:r>
          </w:p>
          <w:p w14:paraId="56A6772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(ii) prowadzonych przez niezależnego operatora oczyszczalni ścieków określonych w sekcji 6.11 załącznika I do dyrektywy 2010/75/UE, pod warunkiem że główny ładunek zanieczyszczeń pochodzi z działalności określonych w sekcji 4 załącznika I do dyrektywy 2010/75/UE;</w:t>
            </w:r>
          </w:p>
          <w:p w14:paraId="4B36FAF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(iii) łącznego oczyszczania ścieków z różnych źródeł, pod warunkiem że główny ładunek zanieczyszczeń pochodzi z działań określonych w sekcji 4 załącznika I do dyrektywy 2010/75/UE.</w:t>
            </w:r>
          </w:p>
          <w:p w14:paraId="1747057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Wszystkie BAT-AEL stosuje się w punkcie, w którym emisja opuszcza instalację.</w:t>
            </w:r>
          </w:p>
          <w:p w14:paraId="1AA8718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i/>
                <w:sz w:val="20"/>
                <w:szCs w:val="20"/>
                <w:lang w:eastAsia="pl-PL"/>
              </w:rPr>
              <w:t>Tabela 1</w:t>
            </w:r>
          </w:p>
          <w:p w14:paraId="4B17373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Poziomy emisji powiązane z BAT dla bezpośrednich emisji OWO,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 xml:space="preserve"> i TSS do odbiornika wodnego</w:t>
            </w:r>
          </w:p>
          <w:tbl>
            <w:tblPr>
              <w:tblW w:w="10135" w:type="dxa"/>
              <w:tblCellSpacing w:w="0" w:type="auto"/>
              <w:tblBorders>
                <w:top w:val="single" w:sz="8" w:space="0" w:color="000000"/>
                <w:bottom w:val="single" w:sz="8" w:space="0" w:color="000000"/>
              </w:tblBorders>
              <w:tblLayout w:type="fixed"/>
              <w:tblLook w:val="04A0" w:firstRow="1" w:lastRow="0" w:firstColumn="1" w:lastColumn="0" w:noHBand="0" w:noVBand="1"/>
            </w:tblPr>
            <w:tblGrid>
              <w:gridCol w:w="3480"/>
              <w:gridCol w:w="2456"/>
              <w:gridCol w:w="4199"/>
            </w:tblGrid>
            <w:tr w:rsidR="00E02F30" w:rsidRPr="00E02F30" w14:paraId="6A1EFE82" w14:textId="77777777" w:rsidTr="00A1631B">
              <w:trPr>
                <w:trHeight w:val="43"/>
                <w:tblCellSpacing w:w="0" w:type="auto"/>
              </w:trPr>
              <w:tc>
                <w:tcPr>
                  <w:tcW w:w="3480" w:type="dxa"/>
                  <w:tcBorders>
                    <w:bottom w:val="single" w:sz="8" w:space="0" w:color="000000"/>
                    <w:right w:val="single" w:sz="8" w:space="0" w:color="000000"/>
                  </w:tcBorders>
                  <w:tcMar>
                    <w:top w:w="15" w:type="dxa"/>
                    <w:left w:w="15" w:type="dxa"/>
                    <w:bottom w:w="15" w:type="dxa"/>
                    <w:right w:w="15" w:type="dxa"/>
                  </w:tcMar>
                  <w:vAlign w:val="center"/>
                </w:tcPr>
                <w:p w14:paraId="54ADC1D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Parametr</w:t>
                  </w:r>
                </w:p>
              </w:tc>
              <w:tc>
                <w:tcPr>
                  <w:tcW w:w="2456" w:type="dxa"/>
                  <w:tcBorders>
                    <w:bottom w:val="single" w:sz="8" w:space="0" w:color="000000"/>
                    <w:right w:val="single" w:sz="8" w:space="0" w:color="000000"/>
                  </w:tcBorders>
                  <w:tcMar>
                    <w:top w:w="15" w:type="dxa"/>
                    <w:left w:w="15" w:type="dxa"/>
                    <w:bottom w:w="15" w:type="dxa"/>
                    <w:right w:w="15" w:type="dxa"/>
                  </w:tcMar>
                  <w:vAlign w:val="center"/>
                </w:tcPr>
                <w:p w14:paraId="28F17FC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(średnia roczna)</w:t>
                  </w:r>
                </w:p>
              </w:tc>
              <w:tc>
                <w:tcPr>
                  <w:tcW w:w="4198" w:type="dxa"/>
                  <w:tcBorders>
                    <w:bottom w:val="single" w:sz="8" w:space="0" w:color="000000"/>
                  </w:tcBorders>
                  <w:tcMar>
                    <w:top w:w="15" w:type="dxa"/>
                    <w:left w:w="15" w:type="dxa"/>
                    <w:bottom w:w="15" w:type="dxa"/>
                    <w:right w:w="15" w:type="dxa"/>
                  </w:tcMar>
                  <w:vAlign w:val="center"/>
                </w:tcPr>
                <w:p w14:paraId="53BF39F3"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Warunki</w:t>
                  </w:r>
                </w:p>
              </w:tc>
            </w:tr>
            <w:tr w:rsidR="00E02F30" w:rsidRPr="00E02F30" w14:paraId="19D554C3" w14:textId="77777777" w:rsidTr="00A1631B">
              <w:trPr>
                <w:trHeight w:val="43"/>
                <w:tblCellSpacing w:w="0" w:type="auto"/>
              </w:trPr>
              <w:tc>
                <w:tcPr>
                  <w:tcW w:w="3480" w:type="dxa"/>
                  <w:tcBorders>
                    <w:bottom w:val="single" w:sz="8" w:space="0" w:color="000000"/>
                    <w:right w:val="single" w:sz="8" w:space="0" w:color="000000"/>
                  </w:tcBorders>
                  <w:tcMar>
                    <w:top w:w="15" w:type="dxa"/>
                    <w:left w:w="15" w:type="dxa"/>
                    <w:bottom w:w="15" w:type="dxa"/>
                    <w:right w:w="15" w:type="dxa"/>
                  </w:tcMar>
                  <w:vAlign w:val="center"/>
                </w:tcPr>
                <w:p w14:paraId="4216BC4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Ogólny węgiel organiczny (OWO) </w:t>
                  </w:r>
                  <w:r w:rsidRPr="00E02F30">
                    <w:rPr>
                      <w:rFonts w:eastAsia="Times New Roman" w:cs="Arial"/>
                      <w:sz w:val="20"/>
                      <w:szCs w:val="20"/>
                      <w:vertAlign w:val="superscript"/>
                      <w:lang w:eastAsia="pl-PL"/>
                    </w:rPr>
                    <w:t>(1)</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(2)</w:t>
                  </w:r>
                </w:p>
              </w:tc>
              <w:tc>
                <w:tcPr>
                  <w:tcW w:w="2456" w:type="dxa"/>
                  <w:tcBorders>
                    <w:bottom w:val="single" w:sz="8" w:space="0" w:color="000000"/>
                    <w:right w:val="single" w:sz="8" w:space="0" w:color="000000"/>
                  </w:tcBorders>
                  <w:tcMar>
                    <w:top w:w="15" w:type="dxa"/>
                    <w:left w:w="15" w:type="dxa"/>
                    <w:bottom w:w="15" w:type="dxa"/>
                    <w:right w:w="15" w:type="dxa"/>
                  </w:tcMar>
                  <w:vAlign w:val="center"/>
                </w:tcPr>
                <w:p w14:paraId="7D41138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10-33 mg/l </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(4)</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(5)</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(6)</w:t>
                  </w:r>
                </w:p>
              </w:tc>
              <w:tc>
                <w:tcPr>
                  <w:tcW w:w="4198" w:type="dxa"/>
                  <w:tcBorders>
                    <w:bottom w:val="single" w:sz="8" w:space="0" w:color="000000"/>
                  </w:tcBorders>
                  <w:tcMar>
                    <w:top w:w="15" w:type="dxa"/>
                    <w:left w:w="15" w:type="dxa"/>
                    <w:bottom w:w="15" w:type="dxa"/>
                    <w:right w:w="15" w:type="dxa"/>
                  </w:tcMar>
                  <w:vAlign w:val="center"/>
                </w:tcPr>
                <w:p w14:paraId="449817C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ma zastosowanie, jeśli emisja przekracza 3,3 t/rok.</w:t>
                  </w:r>
                </w:p>
              </w:tc>
            </w:tr>
            <w:tr w:rsidR="00E02F30" w:rsidRPr="00E02F30" w14:paraId="654561BC" w14:textId="77777777" w:rsidTr="00A1631B">
              <w:trPr>
                <w:trHeight w:val="43"/>
                <w:tblCellSpacing w:w="0" w:type="auto"/>
              </w:trPr>
              <w:tc>
                <w:tcPr>
                  <w:tcW w:w="3480" w:type="dxa"/>
                  <w:tcBorders>
                    <w:bottom w:val="single" w:sz="8" w:space="0" w:color="000000"/>
                    <w:right w:val="single" w:sz="8" w:space="0" w:color="000000"/>
                  </w:tcBorders>
                  <w:tcMar>
                    <w:top w:w="15" w:type="dxa"/>
                    <w:left w:w="15" w:type="dxa"/>
                    <w:bottom w:w="15" w:type="dxa"/>
                    <w:right w:w="15" w:type="dxa"/>
                  </w:tcMar>
                  <w:vAlign w:val="center"/>
                </w:tcPr>
                <w:p w14:paraId="28216F0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Chemiczne zapotrzebowanie tlenu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(1)</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(2)</w:t>
                  </w:r>
                </w:p>
              </w:tc>
              <w:tc>
                <w:tcPr>
                  <w:tcW w:w="2456" w:type="dxa"/>
                  <w:tcBorders>
                    <w:bottom w:val="single" w:sz="8" w:space="0" w:color="000000"/>
                    <w:right w:val="single" w:sz="8" w:space="0" w:color="000000"/>
                  </w:tcBorders>
                  <w:tcMar>
                    <w:top w:w="15" w:type="dxa"/>
                    <w:left w:w="15" w:type="dxa"/>
                    <w:bottom w:w="15" w:type="dxa"/>
                    <w:right w:w="15" w:type="dxa"/>
                  </w:tcMar>
                  <w:vAlign w:val="center"/>
                </w:tcPr>
                <w:p w14:paraId="25ADC74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30-100 mg/l </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(4)</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(5)</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(6)</w:t>
                  </w:r>
                </w:p>
              </w:tc>
              <w:tc>
                <w:tcPr>
                  <w:tcW w:w="4198" w:type="dxa"/>
                  <w:tcBorders>
                    <w:bottom w:val="single" w:sz="8" w:space="0" w:color="000000"/>
                  </w:tcBorders>
                  <w:tcMar>
                    <w:top w:w="15" w:type="dxa"/>
                    <w:left w:w="15" w:type="dxa"/>
                    <w:bottom w:w="15" w:type="dxa"/>
                    <w:right w:w="15" w:type="dxa"/>
                  </w:tcMar>
                  <w:vAlign w:val="center"/>
                </w:tcPr>
                <w:p w14:paraId="16C3815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ma zastosowanie, jeśli emisja przekracza 10 t/rok.</w:t>
                  </w:r>
                </w:p>
              </w:tc>
            </w:tr>
            <w:tr w:rsidR="00E02F30" w:rsidRPr="00E02F30" w14:paraId="1BCCE75C" w14:textId="77777777" w:rsidTr="00A1631B">
              <w:trPr>
                <w:trHeight w:val="43"/>
                <w:tblCellSpacing w:w="0" w:type="auto"/>
              </w:trPr>
              <w:tc>
                <w:tcPr>
                  <w:tcW w:w="3480" w:type="dxa"/>
                  <w:tcBorders>
                    <w:bottom w:val="single" w:sz="8" w:space="0" w:color="000000"/>
                    <w:right w:val="single" w:sz="8" w:space="0" w:color="000000"/>
                  </w:tcBorders>
                  <w:tcMar>
                    <w:top w:w="15" w:type="dxa"/>
                    <w:left w:w="15" w:type="dxa"/>
                    <w:bottom w:w="15" w:type="dxa"/>
                    <w:right w:w="15" w:type="dxa"/>
                  </w:tcMar>
                  <w:vAlign w:val="center"/>
                </w:tcPr>
                <w:p w14:paraId="31C34A8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Zawiesina ogólna (TSS)</w:t>
                  </w:r>
                </w:p>
              </w:tc>
              <w:tc>
                <w:tcPr>
                  <w:tcW w:w="2456" w:type="dxa"/>
                  <w:tcBorders>
                    <w:bottom w:val="single" w:sz="8" w:space="0" w:color="000000"/>
                    <w:right w:val="single" w:sz="8" w:space="0" w:color="000000"/>
                  </w:tcBorders>
                  <w:tcMar>
                    <w:top w:w="15" w:type="dxa"/>
                    <w:left w:w="15" w:type="dxa"/>
                    <w:bottom w:w="15" w:type="dxa"/>
                    <w:right w:w="15" w:type="dxa"/>
                  </w:tcMar>
                  <w:vAlign w:val="center"/>
                </w:tcPr>
                <w:p w14:paraId="2C0FFA9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5,0-35 mg/l </w:t>
                  </w:r>
                  <w:r w:rsidRPr="00E02F30">
                    <w:rPr>
                      <w:rFonts w:eastAsia="Times New Roman" w:cs="Arial"/>
                      <w:sz w:val="20"/>
                      <w:szCs w:val="20"/>
                      <w:vertAlign w:val="superscript"/>
                      <w:lang w:eastAsia="pl-PL"/>
                    </w:rPr>
                    <w:t>(7)</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(8)</w:t>
                  </w:r>
                </w:p>
              </w:tc>
              <w:tc>
                <w:tcPr>
                  <w:tcW w:w="4198" w:type="dxa"/>
                  <w:tcBorders>
                    <w:bottom w:val="single" w:sz="8" w:space="0" w:color="000000"/>
                  </w:tcBorders>
                  <w:tcMar>
                    <w:top w:w="15" w:type="dxa"/>
                    <w:left w:w="15" w:type="dxa"/>
                    <w:bottom w:w="15" w:type="dxa"/>
                    <w:right w:w="15" w:type="dxa"/>
                  </w:tcMar>
                  <w:vAlign w:val="center"/>
                </w:tcPr>
                <w:p w14:paraId="7C0D0D8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ma zastosowanie, jeśli emisja przekracza 3,5 t/rok.</w:t>
                  </w:r>
                </w:p>
              </w:tc>
            </w:tr>
            <w:tr w:rsidR="00E02F30" w:rsidRPr="00E02F30" w14:paraId="2809E80B" w14:textId="77777777" w:rsidTr="00A1631B">
              <w:trPr>
                <w:trHeight w:val="43"/>
                <w:tblCellSpacing w:w="0" w:type="auto"/>
              </w:trPr>
              <w:tc>
                <w:tcPr>
                  <w:tcW w:w="10135" w:type="dxa"/>
                  <w:gridSpan w:val="3"/>
                  <w:tcBorders>
                    <w:bottom w:val="single" w:sz="8" w:space="0" w:color="000000"/>
                  </w:tcBorders>
                  <w:tcMar>
                    <w:top w:w="15" w:type="dxa"/>
                    <w:left w:w="15" w:type="dxa"/>
                    <w:bottom w:w="15" w:type="dxa"/>
                    <w:right w:w="15" w:type="dxa"/>
                  </w:tcMar>
                  <w:vAlign w:val="center"/>
                </w:tcPr>
                <w:p w14:paraId="1ED47CE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(1)</w:t>
                  </w:r>
                  <w:r w:rsidRPr="00E02F30">
                    <w:rPr>
                      <w:rFonts w:eastAsia="Times New Roman" w:cs="Arial"/>
                      <w:sz w:val="20"/>
                      <w:szCs w:val="20"/>
                      <w:lang w:eastAsia="pl-PL"/>
                    </w:rPr>
                    <w:t xml:space="preserve"> Nie istnieje BAT-AEL mający zastosowanie w odniesieniu do biochemicznego zapotrzebowania tlenu (BZT). Orientacyjnie, średni roczny poziom BZT</w:t>
                  </w:r>
                  <w:r w:rsidRPr="00E02F30">
                    <w:rPr>
                      <w:rFonts w:eastAsia="Times New Roman" w:cs="Arial"/>
                      <w:sz w:val="20"/>
                      <w:szCs w:val="20"/>
                      <w:vertAlign w:val="subscript"/>
                      <w:lang w:eastAsia="pl-PL"/>
                    </w:rPr>
                    <w:t>5</w:t>
                  </w:r>
                  <w:r w:rsidRPr="00E02F30">
                    <w:rPr>
                      <w:rFonts w:eastAsia="Times New Roman" w:cs="Arial"/>
                      <w:sz w:val="20"/>
                      <w:szCs w:val="20"/>
                      <w:lang w:eastAsia="pl-PL"/>
                    </w:rPr>
                    <w:t xml:space="preserve"> w ściekach z biologicznej oczyszczalni ścieków wynosi zasadniczo ≤ 20 mg/l.</w:t>
                  </w:r>
                </w:p>
                <w:p w14:paraId="58C7900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(2)</w:t>
                  </w:r>
                  <w:r w:rsidRPr="00E02F30">
                    <w:rPr>
                      <w:rFonts w:eastAsia="Times New Roman" w:cs="Arial"/>
                      <w:sz w:val="20"/>
                      <w:szCs w:val="20"/>
                      <w:lang w:eastAsia="pl-PL"/>
                    </w:rPr>
                    <w:t xml:space="preserve"> Zastosowanie ma BAT-AEL dla OWO lub BAT-AEL dla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 Monitorowanie OWO jest preferowanym rozwiązaniem, ponieważ nie wiąże się z wykorzystaniem bardzo toksycznych związków.</w:t>
                  </w:r>
                </w:p>
                <w:p w14:paraId="7AECBFD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Dolną granicę przedziału uzyskuje się zazwyczaj gdy kilka dopływów strumieni ścieków zawiera związki organiczne lub gdy ścieki zawierają głównie związki organiczne łatwo ulegające biodegradacji.</w:t>
                  </w:r>
                </w:p>
                <w:p w14:paraId="6788ABD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(4)</w:t>
                  </w:r>
                  <w:r w:rsidRPr="00E02F30">
                    <w:rPr>
                      <w:rFonts w:eastAsia="Times New Roman" w:cs="Arial"/>
                      <w:sz w:val="20"/>
                      <w:szCs w:val="20"/>
                      <w:lang w:eastAsia="pl-PL"/>
                    </w:rPr>
                    <w:t xml:space="preserve"> Górna granica przedziału może wynosić do 100 mg/l dla OWO lub maksymalnie 300 mg/l dla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 w obu przypadkach jako średnie roczne, jeżeli spełnione są oba następujące warunki:</w:t>
                  </w:r>
                </w:p>
                <w:p w14:paraId="01363AC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warunek A: Efektywność redukcji ≥ 90 % jako średnia roczna (w tym zarówno podczyszczanie, jak i obróbka końcowa),</w:t>
                  </w:r>
                </w:p>
                <w:p w14:paraId="187A3AB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warunek B: W przypadku stosowania oczyszczania biologicznego spełnione jest co najmniej jedno z następujących kryteriów:</w:t>
                  </w:r>
                </w:p>
                <w:p w14:paraId="242C38F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stosowanie niskoobciążonego procesu oczyszczania biologicznego (tj. ≤ 0,25 kg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/kg organicznej suchej masy osadu). Sugeruje to, że poziom BOD</w:t>
                  </w:r>
                  <w:r w:rsidRPr="00E02F30">
                    <w:rPr>
                      <w:rFonts w:eastAsia="Times New Roman" w:cs="Arial"/>
                      <w:sz w:val="20"/>
                      <w:szCs w:val="20"/>
                      <w:vertAlign w:val="subscript"/>
                      <w:lang w:eastAsia="pl-PL"/>
                    </w:rPr>
                    <w:t>5</w:t>
                  </w:r>
                  <w:r w:rsidRPr="00E02F30">
                    <w:rPr>
                      <w:rFonts w:eastAsia="Times New Roman" w:cs="Arial"/>
                      <w:sz w:val="20"/>
                      <w:szCs w:val="20"/>
                      <w:lang w:eastAsia="pl-PL"/>
                    </w:rPr>
                    <w:t xml:space="preserve"> w ściekach wynosi ≤ 20 mg/l,</w:t>
                  </w:r>
                </w:p>
                <w:p w14:paraId="4F91DB3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stosowanie nitryfikacji.</w:t>
                  </w:r>
                </w:p>
                <w:p w14:paraId="2994BF9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(5)</w:t>
                  </w:r>
                  <w:r w:rsidRPr="00E02F30">
                    <w:rPr>
                      <w:rFonts w:eastAsia="Times New Roman" w:cs="Arial"/>
                      <w:sz w:val="20"/>
                      <w:szCs w:val="20"/>
                      <w:lang w:eastAsia="pl-PL"/>
                    </w:rPr>
                    <w:t xml:space="preserve"> Górna granica przedziału może nie mieć zastosowania, jeżeli spełnione są wszystkie następujące warunki:</w:t>
                  </w:r>
                </w:p>
                <w:p w14:paraId="4A87C35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warunek A: Efektywność redukcji ≥ 95 % jako średnia roczna (w tym zarówno podczyszczanie, jak i obróbka końcowa),</w:t>
                  </w:r>
                </w:p>
                <w:p w14:paraId="555E1AF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warunek B: taki sam jak warunek B w przypisie </w:t>
                  </w:r>
                  <w:r w:rsidRPr="00E02F30">
                    <w:rPr>
                      <w:rFonts w:eastAsia="Times New Roman" w:cs="Arial"/>
                      <w:sz w:val="20"/>
                      <w:szCs w:val="20"/>
                      <w:vertAlign w:val="superscript"/>
                      <w:lang w:eastAsia="pl-PL"/>
                    </w:rPr>
                    <w:t>(4)</w:t>
                  </w:r>
                  <w:r w:rsidRPr="00E02F30">
                    <w:rPr>
                      <w:rFonts w:eastAsia="Times New Roman" w:cs="Arial"/>
                      <w:sz w:val="20"/>
                      <w:szCs w:val="20"/>
                      <w:lang w:eastAsia="pl-PL"/>
                    </w:rPr>
                    <w:t>,</w:t>
                  </w:r>
                </w:p>
                <w:p w14:paraId="163CD28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Warunek C: Dopływ ścieku na etapie oczyszczania końcowego ścieków wykazuje następujące właściwości: OWO &gt; 2 g/l (lub </w:t>
                  </w:r>
                  <w:proofErr w:type="spellStart"/>
                  <w:r w:rsidRPr="00E02F30">
                    <w:rPr>
                      <w:rFonts w:eastAsia="Times New Roman" w:cs="Arial"/>
                      <w:sz w:val="20"/>
                      <w:szCs w:val="20"/>
                      <w:lang w:eastAsia="pl-PL"/>
                    </w:rPr>
                    <w:t>ChZT</w:t>
                  </w:r>
                  <w:proofErr w:type="spellEnd"/>
                  <w:r w:rsidRPr="00E02F30">
                    <w:rPr>
                      <w:rFonts w:eastAsia="Times New Roman" w:cs="Arial"/>
                      <w:sz w:val="20"/>
                      <w:szCs w:val="20"/>
                      <w:lang w:eastAsia="pl-PL"/>
                    </w:rPr>
                    <w:t xml:space="preserve"> &gt; 6 g/l) jako średnia roczna oraz wysoki odsetek </w:t>
                  </w:r>
                  <w:proofErr w:type="spellStart"/>
                  <w:r w:rsidRPr="00E02F30">
                    <w:rPr>
                      <w:rFonts w:eastAsia="Times New Roman" w:cs="Arial"/>
                      <w:sz w:val="20"/>
                      <w:szCs w:val="20"/>
                      <w:lang w:eastAsia="pl-PL"/>
                    </w:rPr>
                    <w:t>trudnorozkładalnych</w:t>
                  </w:r>
                  <w:proofErr w:type="spellEnd"/>
                  <w:r w:rsidRPr="00E02F30">
                    <w:rPr>
                      <w:rFonts w:eastAsia="Times New Roman" w:cs="Arial"/>
                      <w:sz w:val="20"/>
                      <w:szCs w:val="20"/>
                      <w:lang w:eastAsia="pl-PL"/>
                    </w:rPr>
                    <w:t xml:space="preserve"> związków organicznych.</w:t>
                  </w:r>
                </w:p>
                <w:p w14:paraId="3664DD8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(6)</w:t>
                  </w:r>
                  <w:r w:rsidRPr="00E02F30">
                    <w:rPr>
                      <w:rFonts w:eastAsia="Times New Roman" w:cs="Arial"/>
                      <w:sz w:val="20"/>
                      <w:szCs w:val="20"/>
                      <w:lang w:eastAsia="pl-PL"/>
                    </w:rPr>
                    <w:t xml:space="preserve"> Górna granica przedziału może nie mieć zastosowania, jeżeli główny ładunek zanieczyszczeń pochodzi z produkcji metylocelulozy.</w:t>
                  </w:r>
                </w:p>
                <w:p w14:paraId="569474F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(7)</w:t>
                  </w:r>
                  <w:r w:rsidRPr="00E02F30">
                    <w:rPr>
                      <w:rFonts w:eastAsia="Times New Roman" w:cs="Arial"/>
                      <w:sz w:val="20"/>
                      <w:szCs w:val="20"/>
                      <w:lang w:eastAsia="pl-PL"/>
                    </w:rPr>
                    <w:t xml:space="preserve"> Dolną granicę przedziału uzyskuje się zazwyczaj przy zastosowaniu filtracji (np. filtracji przez złoże piaskowe/żwirowe, </w:t>
                  </w:r>
                  <w:proofErr w:type="spellStart"/>
                  <w:r w:rsidRPr="00E02F30">
                    <w:rPr>
                      <w:rFonts w:eastAsia="Times New Roman" w:cs="Arial"/>
                      <w:sz w:val="20"/>
                      <w:szCs w:val="20"/>
                      <w:lang w:eastAsia="pl-PL"/>
                    </w:rPr>
                    <w:t>mikrofiltracji</w:t>
                  </w:r>
                  <w:proofErr w:type="spellEnd"/>
                  <w:r w:rsidRPr="00E02F30">
                    <w:rPr>
                      <w:rFonts w:eastAsia="Times New Roman" w:cs="Arial"/>
                      <w:sz w:val="20"/>
                      <w:szCs w:val="20"/>
                      <w:lang w:eastAsia="pl-PL"/>
                    </w:rPr>
                    <w:t>, ultrafiltracji, bioreaktora membranowego), natomiast górną granicę przedziału uzyskuje się zazwyczaj przy zastosowaniu jedynie sedymentacji.</w:t>
                  </w:r>
                </w:p>
                <w:p w14:paraId="1858F70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(8)</w:t>
                  </w:r>
                  <w:r w:rsidRPr="00E02F30">
                    <w:rPr>
                      <w:rFonts w:eastAsia="Times New Roman" w:cs="Arial"/>
                      <w:sz w:val="20"/>
                      <w:szCs w:val="20"/>
                      <w:lang w:eastAsia="pl-PL"/>
                    </w:rPr>
                    <w:t xml:space="preserve"> Wskazany BAT-AEL może nie mieć zastosowania, gdy główny ładunek zanieczyszczeń pochodzi z produkcji sody kalcynowanej metodą Solvaya lub z produkcji </w:t>
                  </w:r>
                  <w:proofErr w:type="spellStart"/>
                  <w:r w:rsidRPr="00E02F30">
                    <w:rPr>
                      <w:rFonts w:eastAsia="Times New Roman" w:cs="Arial"/>
                      <w:sz w:val="20"/>
                      <w:szCs w:val="20"/>
                      <w:lang w:eastAsia="pl-PL"/>
                    </w:rPr>
                    <w:t>ditlenku</w:t>
                  </w:r>
                  <w:proofErr w:type="spellEnd"/>
                  <w:r w:rsidRPr="00E02F30">
                    <w:rPr>
                      <w:rFonts w:eastAsia="Times New Roman" w:cs="Arial"/>
                      <w:sz w:val="20"/>
                      <w:szCs w:val="20"/>
                      <w:lang w:eastAsia="pl-PL"/>
                    </w:rPr>
                    <w:t xml:space="preserve"> tytanu.</w:t>
                  </w:r>
                </w:p>
              </w:tc>
            </w:tr>
          </w:tbl>
          <w:p w14:paraId="1F17A45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i/>
                <w:sz w:val="20"/>
                <w:szCs w:val="20"/>
                <w:lang w:eastAsia="pl-PL"/>
              </w:rPr>
              <w:t>Tabela 2</w:t>
            </w:r>
          </w:p>
          <w:p w14:paraId="6907ABB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Poziomy emisji powiązane z BAT dla bezpośrednich emisji substancji biogennych do odbiornika wodnego</w:t>
            </w:r>
          </w:p>
          <w:tbl>
            <w:tblPr>
              <w:tblW w:w="0" w:type="auto"/>
              <w:tblCellSpacing w:w="0" w:type="auto"/>
              <w:tblBorders>
                <w:top w:val="single" w:sz="8" w:space="0" w:color="000000"/>
                <w:bottom w:val="single" w:sz="8" w:space="0" w:color="000000"/>
              </w:tblBorders>
              <w:tblLayout w:type="fixed"/>
              <w:tblLook w:val="04A0" w:firstRow="1" w:lastRow="0" w:firstColumn="1" w:lastColumn="0" w:noHBand="0" w:noVBand="1"/>
            </w:tblPr>
            <w:tblGrid>
              <w:gridCol w:w="3463"/>
              <w:gridCol w:w="2445"/>
              <w:gridCol w:w="4181"/>
            </w:tblGrid>
            <w:tr w:rsidR="00E02F30" w:rsidRPr="00E02F30" w14:paraId="393D3C78" w14:textId="77777777" w:rsidTr="00A1631B">
              <w:trPr>
                <w:trHeight w:val="40"/>
                <w:tblCellSpacing w:w="0" w:type="auto"/>
              </w:trPr>
              <w:tc>
                <w:tcPr>
                  <w:tcW w:w="3463" w:type="dxa"/>
                  <w:tcBorders>
                    <w:bottom w:val="single" w:sz="8" w:space="0" w:color="000000"/>
                    <w:right w:val="single" w:sz="8" w:space="0" w:color="000000"/>
                  </w:tcBorders>
                  <w:tcMar>
                    <w:top w:w="15" w:type="dxa"/>
                    <w:left w:w="15" w:type="dxa"/>
                    <w:bottom w:w="15" w:type="dxa"/>
                    <w:right w:w="15" w:type="dxa"/>
                  </w:tcMar>
                  <w:vAlign w:val="center"/>
                </w:tcPr>
                <w:p w14:paraId="665361B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Parametr</w:t>
                  </w:r>
                </w:p>
              </w:tc>
              <w:tc>
                <w:tcPr>
                  <w:tcW w:w="2445" w:type="dxa"/>
                  <w:tcBorders>
                    <w:bottom w:val="single" w:sz="8" w:space="0" w:color="000000"/>
                    <w:right w:val="single" w:sz="8" w:space="0" w:color="000000"/>
                  </w:tcBorders>
                  <w:tcMar>
                    <w:top w:w="15" w:type="dxa"/>
                    <w:left w:w="15" w:type="dxa"/>
                    <w:bottom w:w="15" w:type="dxa"/>
                    <w:right w:w="15" w:type="dxa"/>
                  </w:tcMar>
                  <w:vAlign w:val="center"/>
                </w:tcPr>
                <w:p w14:paraId="27D8D2A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(średnia roczna)</w:t>
                  </w:r>
                </w:p>
              </w:tc>
              <w:tc>
                <w:tcPr>
                  <w:tcW w:w="4180" w:type="dxa"/>
                  <w:tcBorders>
                    <w:bottom w:val="single" w:sz="8" w:space="0" w:color="000000"/>
                  </w:tcBorders>
                  <w:tcMar>
                    <w:top w:w="15" w:type="dxa"/>
                    <w:left w:w="15" w:type="dxa"/>
                    <w:bottom w:w="15" w:type="dxa"/>
                    <w:right w:w="15" w:type="dxa"/>
                  </w:tcMar>
                  <w:vAlign w:val="center"/>
                </w:tcPr>
                <w:p w14:paraId="4416C98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Warunki</w:t>
                  </w:r>
                </w:p>
              </w:tc>
            </w:tr>
            <w:tr w:rsidR="00E02F30" w:rsidRPr="00E02F30" w14:paraId="33211EA4" w14:textId="77777777" w:rsidTr="00A1631B">
              <w:trPr>
                <w:trHeight w:val="40"/>
                <w:tblCellSpacing w:w="0" w:type="auto"/>
              </w:trPr>
              <w:tc>
                <w:tcPr>
                  <w:tcW w:w="3463" w:type="dxa"/>
                  <w:tcBorders>
                    <w:bottom w:val="single" w:sz="8" w:space="0" w:color="000000"/>
                    <w:right w:val="single" w:sz="8" w:space="0" w:color="000000"/>
                  </w:tcBorders>
                  <w:tcMar>
                    <w:top w:w="15" w:type="dxa"/>
                    <w:left w:w="15" w:type="dxa"/>
                    <w:bottom w:w="15" w:type="dxa"/>
                    <w:right w:w="15" w:type="dxa"/>
                  </w:tcMar>
                  <w:vAlign w:val="center"/>
                </w:tcPr>
                <w:p w14:paraId="7D45A2E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Azot ogólny (TN) </w:t>
                  </w:r>
                  <w:r w:rsidRPr="00E02F30">
                    <w:rPr>
                      <w:rFonts w:eastAsia="Times New Roman" w:cs="Arial"/>
                      <w:sz w:val="20"/>
                      <w:szCs w:val="20"/>
                      <w:vertAlign w:val="superscript"/>
                      <w:lang w:eastAsia="pl-PL"/>
                    </w:rPr>
                    <w:t>(1)</w:t>
                  </w:r>
                </w:p>
              </w:tc>
              <w:tc>
                <w:tcPr>
                  <w:tcW w:w="2445" w:type="dxa"/>
                  <w:tcBorders>
                    <w:bottom w:val="single" w:sz="8" w:space="0" w:color="000000"/>
                    <w:right w:val="single" w:sz="8" w:space="0" w:color="000000"/>
                  </w:tcBorders>
                  <w:tcMar>
                    <w:top w:w="15" w:type="dxa"/>
                    <w:left w:w="15" w:type="dxa"/>
                    <w:bottom w:w="15" w:type="dxa"/>
                    <w:right w:w="15" w:type="dxa"/>
                  </w:tcMar>
                  <w:vAlign w:val="center"/>
                </w:tcPr>
                <w:p w14:paraId="73886E6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5,0-25 mg/l </w:t>
                  </w:r>
                  <w:r w:rsidRPr="00E02F30">
                    <w:rPr>
                      <w:rFonts w:eastAsia="Times New Roman" w:cs="Arial"/>
                      <w:sz w:val="20"/>
                      <w:szCs w:val="20"/>
                      <w:vertAlign w:val="superscript"/>
                      <w:lang w:eastAsia="pl-PL"/>
                    </w:rPr>
                    <w:t>(2)</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(3)</w:t>
                  </w:r>
                </w:p>
              </w:tc>
              <w:tc>
                <w:tcPr>
                  <w:tcW w:w="4180" w:type="dxa"/>
                  <w:tcBorders>
                    <w:bottom w:val="single" w:sz="8" w:space="0" w:color="000000"/>
                  </w:tcBorders>
                  <w:tcMar>
                    <w:top w:w="15" w:type="dxa"/>
                    <w:left w:w="15" w:type="dxa"/>
                    <w:bottom w:w="15" w:type="dxa"/>
                    <w:right w:w="15" w:type="dxa"/>
                  </w:tcMar>
                  <w:vAlign w:val="center"/>
                </w:tcPr>
                <w:p w14:paraId="540085F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ma zastosowanie, jeśli emisja przekracza 2,5 t/rok.</w:t>
                  </w:r>
                </w:p>
              </w:tc>
            </w:tr>
            <w:tr w:rsidR="00E02F30" w:rsidRPr="00E02F30" w14:paraId="109E8C29" w14:textId="77777777" w:rsidTr="00A1631B">
              <w:trPr>
                <w:trHeight w:val="40"/>
                <w:tblCellSpacing w:w="0" w:type="auto"/>
              </w:trPr>
              <w:tc>
                <w:tcPr>
                  <w:tcW w:w="3463" w:type="dxa"/>
                  <w:tcBorders>
                    <w:bottom w:val="single" w:sz="8" w:space="0" w:color="000000"/>
                    <w:right w:val="single" w:sz="8" w:space="0" w:color="000000"/>
                  </w:tcBorders>
                  <w:tcMar>
                    <w:top w:w="15" w:type="dxa"/>
                    <w:left w:w="15" w:type="dxa"/>
                    <w:bottom w:w="15" w:type="dxa"/>
                    <w:right w:w="15" w:type="dxa"/>
                  </w:tcMar>
                  <w:vAlign w:val="center"/>
                </w:tcPr>
                <w:p w14:paraId="18A14A5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Azot ogólny nieorganiczny (</w:t>
                  </w:r>
                  <w:proofErr w:type="spellStart"/>
                  <w:r w:rsidRPr="00E02F30">
                    <w:rPr>
                      <w:rFonts w:eastAsia="Times New Roman" w:cs="Arial"/>
                      <w:sz w:val="20"/>
                      <w:szCs w:val="20"/>
                      <w:lang w:eastAsia="pl-PL"/>
                    </w:rPr>
                    <w:t>N</w:t>
                  </w:r>
                  <w:r w:rsidRPr="00E02F30">
                    <w:rPr>
                      <w:rFonts w:eastAsia="Times New Roman" w:cs="Arial"/>
                      <w:sz w:val="20"/>
                      <w:szCs w:val="20"/>
                      <w:vertAlign w:val="subscript"/>
                      <w:lang w:eastAsia="pl-PL"/>
                    </w:rPr>
                    <w:t>inorg</w:t>
                  </w:r>
                  <w:proofErr w:type="spellEnd"/>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(1)</w:t>
                  </w:r>
                </w:p>
              </w:tc>
              <w:tc>
                <w:tcPr>
                  <w:tcW w:w="2445" w:type="dxa"/>
                  <w:tcBorders>
                    <w:bottom w:val="single" w:sz="8" w:space="0" w:color="000000"/>
                    <w:right w:val="single" w:sz="8" w:space="0" w:color="000000"/>
                  </w:tcBorders>
                  <w:tcMar>
                    <w:top w:w="15" w:type="dxa"/>
                    <w:left w:w="15" w:type="dxa"/>
                    <w:bottom w:w="15" w:type="dxa"/>
                    <w:right w:w="15" w:type="dxa"/>
                  </w:tcMar>
                  <w:vAlign w:val="center"/>
                </w:tcPr>
                <w:p w14:paraId="7EAE3130"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5,0-20 mg/l </w:t>
                  </w:r>
                  <w:r w:rsidRPr="00E02F30">
                    <w:rPr>
                      <w:rFonts w:eastAsia="Times New Roman" w:cs="Arial"/>
                      <w:sz w:val="20"/>
                      <w:szCs w:val="20"/>
                      <w:vertAlign w:val="superscript"/>
                      <w:lang w:eastAsia="pl-PL"/>
                    </w:rPr>
                    <w:t>(2)</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(3)</w:t>
                  </w:r>
                </w:p>
              </w:tc>
              <w:tc>
                <w:tcPr>
                  <w:tcW w:w="4180" w:type="dxa"/>
                  <w:tcBorders>
                    <w:bottom w:val="single" w:sz="8" w:space="0" w:color="000000"/>
                  </w:tcBorders>
                  <w:tcMar>
                    <w:top w:w="15" w:type="dxa"/>
                    <w:left w:w="15" w:type="dxa"/>
                    <w:bottom w:w="15" w:type="dxa"/>
                    <w:right w:w="15" w:type="dxa"/>
                  </w:tcMar>
                  <w:vAlign w:val="center"/>
                </w:tcPr>
                <w:p w14:paraId="7BA1FE1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ma zastosowanie, jeśli emisja przekracza 2,0 t/rok.</w:t>
                  </w:r>
                </w:p>
              </w:tc>
            </w:tr>
            <w:tr w:rsidR="00E02F30" w:rsidRPr="00E02F30" w14:paraId="094D9EB2" w14:textId="77777777" w:rsidTr="00A1631B">
              <w:trPr>
                <w:trHeight w:val="40"/>
                <w:tblCellSpacing w:w="0" w:type="auto"/>
              </w:trPr>
              <w:tc>
                <w:tcPr>
                  <w:tcW w:w="3463" w:type="dxa"/>
                  <w:tcBorders>
                    <w:bottom w:val="single" w:sz="8" w:space="0" w:color="000000"/>
                    <w:right w:val="single" w:sz="8" w:space="0" w:color="000000"/>
                  </w:tcBorders>
                  <w:tcMar>
                    <w:top w:w="15" w:type="dxa"/>
                    <w:left w:w="15" w:type="dxa"/>
                    <w:bottom w:w="15" w:type="dxa"/>
                    <w:right w:w="15" w:type="dxa"/>
                  </w:tcMar>
                  <w:vAlign w:val="center"/>
                </w:tcPr>
                <w:p w14:paraId="2D73AA7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Fosfor ogólny (TP)</w:t>
                  </w:r>
                </w:p>
              </w:tc>
              <w:tc>
                <w:tcPr>
                  <w:tcW w:w="2445" w:type="dxa"/>
                  <w:tcBorders>
                    <w:bottom w:val="single" w:sz="8" w:space="0" w:color="000000"/>
                    <w:right w:val="single" w:sz="8" w:space="0" w:color="000000"/>
                  </w:tcBorders>
                  <w:tcMar>
                    <w:top w:w="15" w:type="dxa"/>
                    <w:left w:w="15" w:type="dxa"/>
                    <w:bottom w:w="15" w:type="dxa"/>
                    <w:right w:w="15" w:type="dxa"/>
                  </w:tcMar>
                  <w:vAlign w:val="center"/>
                </w:tcPr>
                <w:p w14:paraId="4960034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0,50-3,0 mg/l </w:t>
                  </w:r>
                  <w:r w:rsidRPr="00E02F30">
                    <w:rPr>
                      <w:rFonts w:eastAsia="Times New Roman" w:cs="Arial"/>
                      <w:sz w:val="20"/>
                      <w:szCs w:val="20"/>
                      <w:vertAlign w:val="superscript"/>
                      <w:lang w:eastAsia="pl-PL"/>
                    </w:rPr>
                    <w:t>(4)</w:t>
                  </w:r>
                </w:p>
              </w:tc>
              <w:tc>
                <w:tcPr>
                  <w:tcW w:w="4180" w:type="dxa"/>
                  <w:tcBorders>
                    <w:bottom w:val="single" w:sz="8" w:space="0" w:color="000000"/>
                  </w:tcBorders>
                  <w:tcMar>
                    <w:top w:w="15" w:type="dxa"/>
                    <w:left w:w="15" w:type="dxa"/>
                    <w:bottom w:w="15" w:type="dxa"/>
                    <w:right w:w="15" w:type="dxa"/>
                  </w:tcMar>
                  <w:vAlign w:val="center"/>
                </w:tcPr>
                <w:p w14:paraId="0369B4E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ma zastosowanie, jeśli emisja przekracza 300 kg/rok.</w:t>
                  </w:r>
                </w:p>
              </w:tc>
            </w:tr>
            <w:tr w:rsidR="00E02F30" w:rsidRPr="00E02F30" w14:paraId="4D925727" w14:textId="77777777" w:rsidTr="00A1631B">
              <w:trPr>
                <w:trHeight w:val="40"/>
                <w:tblCellSpacing w:w="0" w:type="auto"/>
              </w:trPr>
              <w:tc>
                <w:tcPr>
                  <w:tcW w:w="10089" w:type="dxa"/>
                  <w:gridSpan w:val="3"/>
                  <w:tcBorders>
                    <w:bottom w:val="single" w:sz="8" w:space="0" w:color="000000"/>
                  </w:tcBorders>
                  <w:tcMar>
                    <w:top w:w="15" w:type="dxa"/>
                    <w:left w:w="15" w:type="dxa"/>
                    <w:bottom w:w="15" w:type="dxa"/>
                    <w:right w:w="15" w:type="dxa"/>
                  </w:tcMar>
                  <w:vAlign w:val="center"/>
                </w:tcPr>
                <w:p w14:paraId="01CDBC8E" w14:textId="77777777" w:rsidR="00E02F30" w:rsidRPr="00E02F30" w:rsidRDefault="00E02F30" w:rsidP="00E02F30">
                  <w:pPr>
                    <w:keepNext/>
                    <w:widowControl w:val="0"/>
                    <w:suppressAutoHyphens/>
                    <w:snapToGrid w:val="0"/>
                    <w:spacing w:after="0" w:line="240" w:lineRule="auto"/>
                    <w:rPr>
                      <w:rFonts w:eastAsia="Times New Roman" w:cs="Arial"/>
                      <w:sz w:val="20"/>
                      <w:szCs w:val="20"/>
                      <w:lang w:eastAsia="pl-PL"/>
                    </w:rPr>
                  </w:pPr>
                  <w:r w:rsidRPr="00E02F30">
                    <w:rPr>
                      <w:rFonts w:eastAsia="Times New Roman" w:cs="Arial"/>
                      <w:sz w:val="20"/>
                      <w:szCs w:val="20"/>
                      <w:vertAlign w:val="superscript"/>
                      <w:lang w:eastAsia="pl-PL"/>
                    </w:rPr>
                    <w:t>(1)</w:t>
                  </w:r>
                  <w:r w:rsidRPr="00E02F30">
                    <w:rPr>
                      <w:rFonts w:eastAsia="Times New Roman" w:cs="Arial"/>
                      <w:sz w:val="20"/>
                      <w:szCs w:val="20"/>
                      <w:lang w:eastAsia="pl-PL"/>
                    </w:rPr>
                    <w:t xml:space="preserve"> Zastosowanie ma BAT-AEL dla azotu ogólnego lub BAT-AEL dla azotu ogólnego nieorganicznego.</w:t>
                  </w:r>
                </w:p>
                <w:p w14:paraId="4CC7354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(2)</w:t>
                  </w:r>
                  <w:r w:rsidRPr="00E02F30">
                    <w:rPr>
                      <w:rFonts w:eastAsia="Times New Roman" w:cs="Arial"/>
                      <w:sz w:val="20"/>
                      <w:szCs w:val="20"/>
                      <w:lang w:eastAsia="pl-PL"/>
                    </w:rPr>
                    <w:t xml:space="preserve"> BAT-AEL dla TN i </w:t>
                  </w:r>
                  <w:proofErr w:type="spellStart"/>
                  <w:r w:rsidRPr="00E02F30">
                    <w:rPr>
                      <w:rFonts w:eastAsia="Times New Roman" w:cs="Arial"/>
                      <w:sz w:val="20"/>
                      <w:szCs w:val="20"/>
                      <w:lang w:eastAsia="pl-PL"/>
                    </w:rPr>
                    <w:t>N</w:t>
                  </w:r>
                  <w:r w:rsidRPr="00E02F30">
                    <w:rPr>
                      <w:rFonts w:eastAsia="Times New Roman" w:cs="Arial"/>
                      <w:sz w:val="20"/>
                      <w:szCs w:val="20"/>
                      <w:vertAlign w:val="subscript"/>
                      <w:lang w:eastAsia="pl-PL"/>
                    </w:rPr>
                    <w:t>inorg</w:t>
                  </w:r>
                  <w:proofErr w:type="spellEnd"/>
                  <w:r w:rsidRPr="00E02F30">
                    <w:rPr>
                      <w:rFonts w:eastAsia="Times New Roman" w:cs="Arial"/>
                      <w:sz w:val="20"/>
                      <w:szCs w:val="20"/>
                      <w:lang w:eastAsia="pl-PL"/>
                    </w:rPr>
                    <w:t xml:space="preserve"> nie mają zastosowania do instalacji bez biologicznego oczyszczania ścieków. Dolną granicę przedziału uzyskuje się zazwyczaj jeśli dopływ ścieku do oczyszczalni biologicznej zawiera niskie poziomy azotu lub gdy nitryfikacja/denitryfikacja może być przeprowadzona w optymalnych warunkach.</w:t>
                  </w:r>
                </w:p>
                <w:p w14:paraId="1154C12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Górna granica przedziału może być wyższa i wynosić do 40 mg/l dla TN lub 35 mg/l dla </w:t>
                  </w:r>
                  <w:proofErr w:type="spellStart"/>
                  <w:r w:rsidRPr="00E02F30">
                    <w:rPr>
                      <w:rFonts w:eastAsia="Times New Roman" w:cs="Arial"/>
                      <w:sz w:val="20"/>
                      <w:szCs w:val="20"/>
                      <w:lang w:eastAsia="pl-PL"/>
                    </w:rPr>
                    <w:t>N</w:t>
                  </w:r>
                  <w:r w:rsidRPr="00E02F30">
                    <w:rPr>
                      <w:rFonts w:eastAsia="Times New Roman" w:cs="Arial"/>
                      <w:sz w:val="20"/>
                      <w:szCs w:val="20"/>
                      <w:vertAlign w:val="subscript"/>
                      <w:lang w:eastAsia="pl-PL"/>
                    </w:rPr>
                    <w:t>inorg</w:t>
                  </w:r>
                  <w:proofErr w:type="spellEnd"/>
                  <w:r w:rsidRPr="00E02F30">
                    <w:rPr>
                      <w:rFonts w:eastAsia="Times New Roman" w:cs="Arial"/>
                      <w:sz w:val="20"/>
                      <w:szCs w:val="20"/>
                      <w:lang w:eastAsia="pl-PL"/>
                    </w:rPr>
                    <w:t>, zarówno jako średnie roczne, jeżeli skuteczność redukcji wynosi ≥ 70 % jako średnia roczna (w tym zarówno podczyszczanie, jak i obróbka końcowa).</w:t>
                  </w:r>
                </w:p>
                <w:p w14:paraId="7B82375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(4)</w:t>
                  </w:r>
                  <w:r w:rsidRPr="00E02F30">
                    <w:rPr>
                      <w:rFonts w:eastAsia="Times New Roman" w:cs="Arial"/>
                      <w:sz w:val="20"/>
                      <w:szCs w:val="20"/>
                      <w:lang w:eastAsia="pl-PL"/>
                    </w:rPr>
                    <w:t xml:space="preserve"> Dolną granicę przedziału uzyskuje się zazwyczaj jeśli fosfor jest dodawany w celu odpowiedniego funkcjonowania oczyszczalni biologicznej lub gdy fosfor pochodzi głównie z systemów ogrzewania lub chłodzenia. Górną granicę przedziału uzyskuje się zazwyczaj gdy związki zawierające fosfor są produkowane przez instalację.</w:t>
                  </w:r>
                </w:p>
              </w:tc>
            </w:tr>
          </w:tbl>
          <w:p w14:paraId="02265CE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i/>
                <w:sz w:val="20"/>
                <w:szCs w:val="20"/>
                <w:lang w:eastAsia="pl-PL"/>
              </w:rPr>
              <w:t>Tabela 3</w:t>
            </w:r>
          </w:p>
          <w:p w14:paraId="14C67BF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Poziomy emisji powiązane z BAT dla bezpośrednich emisji AOX i metali do odbiornika wodnego</w:t>
            </w:r>
          </w:p>
          <w:tbl>
            <w:tblPr>
              <w:tblW w:w="0" w:type="auto"/>
              <w:tblCellSpacing w:w="0" w:type="auto"/>
              <w:tblBorders>
                <w:top w:val="single" w:sz="8" w:space="0" w:color="000000"/>
                <w:bottom w:val="single" w:sz="8" w:space="0" w:color="000000"/>
              </w:tblBorders>
              <w:tblLayout w:type="fixed"/>
              <w:tblLook w:val="04A0" w:firstRow="1" w:lastRow="0" w:firstColumn="1" w:lastColumn="0" w:noHBand="0" w:noVBand="1"/>
            </w:tblPr>
            <w:tblGrid>
              <w:gridCol w:w="3459"/>
              <w:gridCol w:w="2441"/>
              <w:gridCol w:w="4174"/>
            </w:tblGrid>
            <w:tr w:rsidR="00E02F30" w:rsidRPr="00E02F30" w14:paraId="07DB1C75" w14:textId="77777777" w:rsidTr="00A1631B">
              <w:trPr>
                <w:trHeight w:val="42"/>
                <w:tblCellSpacing w:w="0" w:type="auto"/>
              </w:trPr>
              <w:tc>
                <w:tcPr>
                  <w:tcW w:w="3459" w:type="dxa"/>
                  <w:tcBorders>
                    <w:bottom w:val="single" w:sz="8" w:space="0" w:color="000000"/>
                    <w:right w:val="single" w:sz="8" w:space="0" w:color="000000"/>
                  </w:tcBorders>
                  <w:tcMar>
                    <w:top w:w="15" w:type="dxa"/>
                    <w:left w:w="15" w:type="dxa"/>
                    <w:bottom w:w="15" w:type="dxa"/>
                    <w:right w:w="15" w:type="dxa"/>
                  </w:tcMar>
                  <w:vAlign w:val="center"/>
                </w:tcPr>
                <w:p w14:paraId="1D8F2E4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Parametr</w:t>
                  </w:r>
                </w:p>
              </w:tc>
              <w:tc>
                <w:tcPr>
                  <w:tcW w:w="2441" w:type="dxa"/>
                  <w:tcBorders>
                    <w:bottom w:val="single" w:sz="8" w:space="0" w:color="000000"/>
                    <w:right w:val="single" w:sz="8" w:space="0" w:color="000000"/>
                  </w:tcBorders>
                  <w:tcMar>
                    <w:top w:w="15" w:type="dxa"/>
                    <w:left w:w="15" w:type="dxa"/>
                    <w:bottom w:w="15" w:type="dxa"/>
                    <w:right w:w="15" w:type="dxa"/>
                  </w:tcMar>
                  <w:vAlign w:val="center"/>
                </w:tcPr>
                <w:p w14:paraId="18EECEA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(średnia roczna)</w:t>
                  </w:r>
                </w:p>
              </w:tc>
              <w:tc>
                <w:tcPr>
                  <w:tcW w:w="4173" w:type="dxa"/>
                  <w:tcBorders>
                    <w:bottom w:val="single" w:sz="8" w:space="0" w:color="000000"/>
                  </w:tcBorders>
                  <w:tcMar>
                    <w:top w:w="15" w:type="dxa"/>
                    <w:left w:w="15" w:type="dxa"/>
                    <w:bottom w:w="15" w:type="dxa"/>
                    <w:right w:w="15" w:type="dxa"/>
                  </w:tcMar>
                  <w:vAlign w:val="center"/>
                </w:tcPr>
                <w:p w14:paraId="1C79CDD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Warunki</w:t>
                  </w:r>
                </w:p>
              </w:tc>
            </w:tr>
            <w:tr w:rsidR="00E02F30" w:rsidRPr="00E02F30" w14:paraId="470BC2BA" w14:textId="77777777" w:rsidTr="00A1631B">
              <w:trPr>
                <w:trHeight w:val="42"/>
                <w:tblCellSpacing w:w="0" w:type="auto"/>
              </w:trPr>
              <w:tc>
                <w:tcPr>
                  <w:tcW w:w="3459" w:type="dxa"/>
                  <w:tcBorders>
                    <w:bottom w:val="single" w:sz="8" w:space="0" w:color="000000"/>
                    <w:right w:val="single" w:sz="8" w:space="0" w:color="000000"/>
                  </w:tcBorders>
                  <w:tcMar>
                    <w:top w:w="15" w:type="dxa"/>
                    <w:left w:w="15" w:type="dxa"/>
                    <w:bottom w:w="15" w:type="dxa"/>
                    <w:right w:w="15" w:type="dxa"/>
                  </w:tcMar>
                  <w:vAlign w:val="center"/>
                </w:tcPr>
                <w:p w14:paraId="7BDF7C6F" w14:textId="77777777" w:rsidR="00E02F30" w:rsidRPr="00E02F30" w:rsidRDefault="00E02F30" w:rsidP="00E02F30">
                  <w:pPr>
                    <w:spacing w:after="0" w:line="240" w:lineRule="auto"/>
                    <w:rPr>
                      <w:rFonts w:eastAsia="Times New Roman" w:cs="Arial"/>
                      <w:sz w:val="20"/>
                      <w:szCs w:val="20"/>
                      <w:lang w:eastAsia="pl-PL"/>
                    </w:rPr>
                  </w:pPr>
                  <w:proofErr w:type="spellStart"/>
                  <w:r w:rsidRPr="00E02F30">
                    <w:rPr>
                      <w:rFonts w:eastAsia="Times New Roman" w:cs="Arial"/>
                      <w:sz w:val="20"/>
                      <w:szCs w:val="20"/>
                      <w:lang w:eastAsia="pl-PL"/>
                    </w:rPr>
                    <w:t>Adsorbowalne</w:t>
                  </w:r>
                  <w:proofErr w:type="spellEnd"/>
                  <w:r w:rsidRPr="00E02F30">
                    <w:rPr>
                      <w:rFonts w:eastAsia="Times New Roman" w:cs="Arial"/>
                      <w:sz w:val="20"/>
                      <w:szCs w:val="20"/>
                      <w:lang w:eastAsia="pl-PL"/>
                    </w:rPr>
                    <w:t xml:space="preserve"> związki </w:t>
                  </w:r>
                  <w:proofErr w:type="spellStart"/>
                  <w:r w:rsidRPr="00E02F30">
                    <w:rPr>
                      <w:rFonts w:eastAsia="Times New Roman" w:cs="Arial"/>
                      <w:sz w:val="20"/>
                      <w:szCs w:val="20"/>
                      <w:lang w:eastAsia="pl-PL"/>
                    </w:rPr>
                    <w:t>chloroorganiczne</w:t>
                  </w:r>
                  <w:proofErr w:type="spellEnd"/>
                  <w:r w:rsidRPr="00E02F30">
                    <w:rPr>
                      <w:rFonts w:eastAsia="Times New Roman" w:cs="Arial"/>
                      <w:sz w:val="20"/>
                      <w:szCs w:val="20"/>
                      <w:lang w:eastAsia="pl-PL"/>
                    </w:rPr>
                    <w:t xml:space="preserve"> (AOX)</w:t>
                  </w:r>
                </w:p>
              </w:tc>
              <w:tc>
                <w:tcPr>
                  <w:tcW w:w="2441" w:type="dxa"/>
                  <w:tcBorders>
                    <w:bottom w:val="single" w:sz="8" w:space="0" w:color="000000"/>
                    <w:right w:val="single" w:sz="8" w:space="0" w:color="000000"/>
                  </w:tcBorders>
                  <w:tcMar>
                    <w:top w:w="15" w:type="dxa"/>
                    <w:left w:w="15" w:type="dxa"/>
                    <w:bottom w:w="15" w:type="dxa"/>
                    <w:right w:w="15" w:type="dxa"/>
                  </w:tcMar>
                  <w:vAlign w:val="center"/>
                </w:tcPr>
                <w:p w14:paraId="47B5968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0,20-1,0 mg/l </w:t>
                  </w:r>
                  <w:r w:rsidRPr="00E02F30">
                    <w:rPr>
                      <w:rFonts w:eastAsia="Times New Roman" w:cs="Arial"/>
                      <w:sz w:val="20"/>
                      <w:szCs w:val="20"/>
                      <w:vertAlign w:val="superscript"/>
                      <w:lang w:eastAsia="pl-PL"/>
                    </w:rPr>
                    <w:t>(1)</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(2)</w:t>
                  </w:r>
                </w:p>
              </w:tc>
              <w:tc>
                <w:tcPr>
                  <w:tcW w:w="4173" w:type="dxa"/>
                  <w:tcBorders>
                    <w:bottom w:val="single" w:sz="8" w:space="0" w:color="000000"/>
                  </w:tcBorders>
                  <w:tcMar>
                    <w:top w:w="15" w:type="dxa"/>
                    <w:left w:w="15" w:type="dxa"/>
                    <w:bottom w:w="15" w:type="dxa"/>
                    <w:right w:w="15" w:type="dxa"/>
                  </w:tcMar>
                  <w:vAlign w:val="center"/>
                </w:tcPr>
                <w:p w14:paraId="1C5D6C2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ma zastosowanie, jeśli emisja przekracza 100 kg/rok.</w:t>
                  </w:r>
                </w:p>
              </w:tc>
            </w:tr>
            <w:tr w:rsidR="00E02F30" w:rsidRPr="00E02F30" w14:paraId="78F7D4E8" w14:textId="77777777" w:rsidTr="00A1631B">
              <w:trPr>
                <w:trHeight w:val="42"/>
                <w:tblCellSpacing w:w="0" w:type="auto"/>
              </w:trPr>
              <w:tc>
                <w:tcPr>
                  <w:tcW w:w="3459" w:type="dxa"/>
                  <w:tcBorders>
                    <w:bottom w:val="single" w:sz="8" w:space="0" w:color="000000"/>
                    <w:right w:val="single" w:sz="8" w:space="0" w:color="000000"/>
                  </w:tcBorders>
                  <w:tcMar>
                    <w:top w:w="15" w:type="dxa"/>
                    <w:left w:w="15" w:type="dxa"/>
                    <w:bottom w:w="15" w:type="dxa"/>
                    <w:right w:w="15" w:type="dxa"/>
                  </w:tcMar>
                  <w:vAlign w:val="center"/>
                </w:tcPr>
                <w:p w14:paraId="293A453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Chrom (wyrażony jako Cr)</w:t>
                  </w:r>
                </w:p>
              </w:tc>
              <w:tc>
                <w:tcPr>
                  <w:tcW w:w="2441" w:type="dxa"/>
                  <w:tcBorders>
                    <w:bottom w:val="single" w:sz="8" w:space="0" w:color="000000"/>
                    <w:right w:val="single" w:sz="8" w:space="0" w:color="000000"/>
                  </w:tcBorders>
                  <w:tcMar>
                    <w:top w:w="15" w:type="dxa"/>
                    <w:left w:w="15" w:type="dxa"/>
                    <w:bottom w:w="15" w:type="dxa"/>
                    <w:right w:w="15" w:type="dxa"/>
                  </w:tcMar>
                  <w:vAlign w:val="center"/>
                </w:tcPr>
                <w:p w14:paraId="3B7F360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5,0-25 µg/l </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(4)</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(5)</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(6)</w:t>
                  </w:r>
                </w:p>
              </w:tc>
              <w:tc>
                <w:tcPr>
                  <w:tcW w:w="4173" w:type="dxa"/>
                  <w:tcBorders>
                    <w:bottom w:val="single" w:sz="8" w:space="0" w:color="000000"/>
                  </w:tcBorders>
                  <w:tcMar>
                    <w:top w:w="15" w:type="dxa"/>
                    <w:left w:w="15" w:type="dxa"/>
                    <w:bottom w:w="15" w:type="dxa"/>
                    <w:right w:w="15" w:type="dxa"/>
                  </w:tcMar>
                  <w:vAlign w:val="center"/>
                </w:tcPr>
                <w:p w14:paraId="1A48E14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ma zastosowanie, jeśli emisja przekracza 2,5 kg/rok.</w:t>
                  </w:r>
                </w:p>
              </w:tc>
            </w:tr>
            <w:tr w:rsidR="00E02F30" w:rsidRPr="00E02F30" w14:paraId="6DECF99B" w14:textId="77777777" w:rsidTr="00A1631B">
              <w:trPr>
                <w:trHeight w:val="42"/>
                <w:tblCellSpacing w:w="0" w:type="auto"/>
              </w:trPr>
              <w:tc>
                <w:tcPr>
                  <w:tcW w:w="3459" w:type="dxa"/>
                  <w:tcBorders>
                    <w:bottom w:val="single" w:sz="8" w:space="0" w:color="000000"/>
                    <w:right w:val="single" w:sz="8" w:space="0" w:color="000000"/>
                  </w:tcBorders>
                  <w:tcMar>
                    <w:top w:w="15" w:type="dxa"/>
                    <w:left w:w="15" w:type="dxa"/>
                    <w:bottom w:w="15" w:type="dxa"/>
                    <w:right w:w="15" w:type="dxa"/>
                  </w:tcMar>
                  <w:vAlign w:val="center"/>
                </w:tcPr>
                <w:p w14:paraId="56AFC03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Miedź (wyrażona jako Cu)</w:t>
                  </w:r>
                </w:p>
              </w:tc>
              <w:tc>
                <w:tcPr>
                  <w:tcW w:w="2441" w:type="dxa"/>
                  <w:tcBorders>
                    <w:bottom w:val="single" w:sz="8" w:space="0" w:color="000000"/>
                    <w:right w:val="single" w:sz="8" w:space="0" w:color="000000"/>
                  </w:tcBorders>
                  <w:tcMar>
                    <w:top w:w="15" w:type="dxa"/>
                    <w:left w:w="15" w:type="dxa"/>
                    <w:bottom w:w="15" w:type="dxa"/>
                    <w:right w:w="15" w:type="dxa"/>
                  </w:tcMar>
                  <w:vAlign w:val="center"/>
                </w:tcPr>
                <w:p w14:paraId="2F6EDD0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5,0-50 µg/l </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(4)</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(5)</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(7)</w:t>
                  </w:r>
                </w:p>
              </w:tc>
              <w:tc>
                <w:tcPr>
                  <w:tcW w:w="4173" w:type="dxa"/>
                  <w:tcBorders>
                    <w:bottom w:val="single" w:sz="8" w:space="0" w:color="000000"/>
                  </w:tcBorders>
                  <w:tcMar>
                    <w:top w:w="15" w:type="dxa"/>
                    <w:left w:w="15" w:type="dxa"/>
                    <w:bottom w:w="15" w:type="dxa"/>
                    <w:right w:w="15" w:type="dxa"/>
                  </w:tcMar>
                  <w:vAlign w:val="center"/>
                </w:tcPr>
                <w:p w14:paraId="4B21E22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ma zastosowanie, jeśli emisja przekracza 5,0 kg/rok.</w:t>
                  </w:r>
                </w:p>
              </w:tc>
            </w:tr>
            <w:tr w:rsidR="00E02F30" w:rsidRPr="00E02F30" w14:paraId="661F29F8" w14:textId="77777777" w:rsidTr="00A1631B">
              <w:trPr>
                <w:trHeight w:val="42"/>
                <w:tblCellSpacing w:w="0" w:type="auto"/>
              </w:trPr>
              <w:tc>
                <w:tcPr>
                  <w:tcW w:w="3459" w:type="dxa"/>
                  <w:tcBorders>
                    <w:bottom w:val="single" w:sz="8" w:space="0" w:color="000000"/>
                    <w:right w:val="single" w:sz="8" w:space="0" w:color="000000"/>
                  </w:tcBorders>
                  <w:tcMar>
                    <w:top w:w="15" w:type="dxa"/>
                    <w:left w:w="15" w:type="dxa"/>
                    <w:bottom w:w="15" w:type="dxa"/>
                    <w:right w:w="15" w:type="dxa"/>
                  </w:tcMar>
                  <w:vAlign w:val="center"/>
                </w:tcPr>
                <w:p w14:paraId="3730A58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Nikiel (wyrażony jako Ni)</w:t>
                  </w:r>
                </w:p>
              </w:tc>
              <w:tc>
                <w:tcPr>
                  <w:tcW w:w="2441" w:type="dxa"/>
                  <w:tcBorders>
                    <w:bottom w:val="single" w:sz="8" w:space="0" w:color="000000"/>
                    <w:right w:val="single" w:sz="8" w:space="0" w:color="000000"/>
                  </w:tcBorders>
                  <w:tcMar>
                    <w:top w:w="15" w:type="dxa"/>
                    <w:left w:w="15" w:type="dxa"/>
                    <w:bottom w:w="15" w:type="dxa"/>
                    <w:right w:w="15" w:type="dxa"/>
                  </w:tcMar>
                  <w:vAlign w:val="center"/>
                </w:tcPr>
                <w:p w14:paraId="604BB79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5,0-50 µg/l </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(4)</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(5)</w:t>
                  </w:r>
                </w:p>
              </w:tc>
              <w:tc>
                <w:tcPr>
                  <w:tcW w:w="4173" w:type="dxa"/>
                  <w:tcBorders>
                    <w:bottom w:val="single" w:sz="8" w:space="0" w:color="000000"/>
                  </w:tcBorders>
                  <w:tcMar>
                    <w:top w:w="15" w:type="dxa"/>
                    <w:left w:w="15" w:type="dxa"/>
                    <w:bottom w:w="15" w:type="dxa"/>
                    <w:right w:w="15" w:type="dxa"/>
                  </w:tcMar>
                  <w:vAlign w:val="center"/>
                </w:tcPr>
                <w:p w14:paraId="53CFCE03"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ma zastosowanie, jeśli emisja przekracza 5,0 kg/rok.</w:t>
                  </w:r>
                </w:p>
              </w:tc>
            </w:tr>
            <w:tr w:rsidR="00E02F30" w:rsidRPr="00E02F30" w14:paraId="1A9CA9B1" w14:textId="77777777" w:rsidTr="00A1631B">
              <w:trPr>
                <w:trHeight w:val="42"/>
                <w:tblCellSpacing w:w="0" w:type="auto"/>
              </w:trPr>
              <w:tc>
                <w:tcPr>
                  <w:tcW w:w="3459" w:type="dxa"/>
                  <w:tcBorders>
                    <w:bottom w:val="single" w:sz="8" w:space="0" w:color="000000"/>
                    <w:right w:val="single" w:sz="8" w:space="0" w:color="000000"/>
                  </w:tcBorders>
                  <w:tcMar>
                    <w:top w:w="15" w:type="dxa"/>
                    <w:left w:w="15" w:type="dxa"/>
                    <w:bottom w:w="15" w:type="dxa"/>
                    <w:right w:w="15" w:type="dxa"/>
                  </w:tcMar>
                  <w:vAlign w:val="center"/>
                </w:tcPr>
                <w:p w14:paraId="549A09F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Cynk (wyrażony jako Zn)</w:t>
                  </w:r>
                </w:p>
              </w:tc>
              <w:tc>
                <w:tcPr>
                  <w:tcW w:w="2441" w:type="dxa"/>
                  <w:tcBorders>
                    <w:bottom w:val="single" w:sz="8" w:space="0" w:color="000000"/>
                    <w:right w:val="single" w:sz="8" w:space="0" w:color="000000"/>
                  </w:tcBorders>
                  <w:tcMar>
                    <w:top w:w="15" w:type="dxa"/>
                    <w:left w:w="15" w:type="dxa"/>
                    <w:bottom w:w="15" w:type="dxa"/>
                    <w:right w:w="15" w:type="dxa"/>
                  </w:tcMar>
                  <w:vAlign w:val="center"/>
                </w:tcPr>
                <w:p w14:paraId="347D917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20-300 µg/l </w:t>
                  </w: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(4)</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(5)</w:t>
                  </w:r>
                  <w:r w:rsidRPr="00E02F30">
                    <w:rPr>
                      <w:rFonts w:eastAsia="Times New Roman" w:cs="Arial"/>
                      <w:sz w:val="20"/>
                      <w:szCs w:val="20"/>
                      <w:lang w:eastAsia="pl-PL"/>
                    </w:rPr>
                    <w:t xml:space="preserve"> </w:t>
                  </w:r>
                  <w:r w:rsidRPr="00E02F30">
                    <w:rPr>
                      <w:rFonts w:eastAsia="Times New Roman" w:cs="Arial"/>
                      <w:sz w:val="20"/>
                      <w:szCs w:val="20"/>
                      <w:vertAlign w:val="superscript"/>
                      <w:lang w:eastAsia="pl-PL"/>
                    </w:rPr>
                    <w:t>(8)</w:t>
                  </w:r>
                </w:p>
              </w:tc>
              <w:tc>
                <w:tcPr>
                  <w:tcW w:w="4173" w:type="dxa"/>
                  <w:tcBorders>
                    <w:bottom w:val="single" w:sz="8" w:space="0" w:color="000000"/>
                  </w:tcBorders>
                  <w:tcMar>
                    <w:top w:w="15" w:type="dxa"/>
                    <w:left w:w="15" w:type="dxa"/>
                    <w:bottom w:w="15" w:type="dxa"/>
                    <w:right w:w="15" w:type="dxa"/>
                  </w:tcMar>
                  <w:vAlign w:val="center"/>
                </w:tcPr>
                <w:p w14:paraId="50424D4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BAT-AEL ma zastosowanie, jeśli emisja przekracza 30 kg/rok.</w:t>
                  </w:r>
                </w:p>
              </w:tc>
            </w:tr>
            <w:tr w:rsidR="00E02F30" w:rsidRPr="00E02F30" w14:paraId="3ADCE310" w14:textId="77777777" w:rsidTr="00A1631B">
              <w:trPr>
                <w:trHeight w:val="42"/>
                <w:tblCellSpacing w:w="0" w:type="auto"/>
              </w:trPr>
              <w:tc>
                <w:tcPr>
                  <w:tcW w:w="10074" w:type="dxa"/>
                  <w:gridSpan w:val="3"/>
                  <w:tcBorders>
                    <w:bottom w:val="single" w:sz="8" w:space="0" w:color="000000"/>
                  </w:tcBorders>
                  <w:tcMar>
                    <w:top w:w="15" w:type="dxa"/>
                    <w:left w:w="15" w:type="dxa"/>
                    <w:bottom w:w="15" w:type="dxa"/>
                    <w:right w:w="15" w:type="dxa"/>
                  </w:tcMar>
                  <w:vAlign w:val="center"/>
                </w:tcPr>
                <w:p w14:paraId="0726A48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(1)</w:t>
                  </w:r>
                  <w:r w:rsidRPr="00E02F30">
                    <w:rPr>
                      <w:rFonts w:eastAsia="Times New Roman" w:cs="Arial"/>
                      <w:sz w:val="20"/>
                      <w:szCs w:val="20"/>
                      <w:lang w:eastAsia="pl-PL"/>
                    </w:rPr>
                    <w:t xml:space="preserve"> Dolną granicę przedziału uzyskuje się zazwyczaj gdy nieliczne związki </w:t>
                  </w:r>
                  <w:proofErr w:type="spellStart"/>
                  <w:r w:rsidRPr="00E02F30">
                    <w:rPr>
                      <w:rFonts w:eastAsia="Times New Roman" w:cs="Arial"/>
                      <w:sz w:val="20"/>
                      <w:szCs w:val="20"/>
                      <w:lang w:eastAsia="pl-PL"/>
                    </w:rPr>
                    <w:t>chloroorganiczne</w:t>
                  </w:r>
                  <w:proofErr w:type="spellEnd"/>
                  <w:r w:rsidRPr="00E02F30">
                    <w:rPr>
                      <w:rFonts w:eastAsia="Times New Roman" w:cs="Arial"/>
                      <w:sz w:val="20"/>
                      <w:szCs w:val="20"/>
                      <w:lang w:eastAsia="pl-PL"/>
                    </w:rPr>
                    <w:t xml:space="preserve"> są wykorzystywane lub produkowane przez instalację.</w:t>
                  </w:r>
                </w:p>
                <w:p w14:paraId="7083600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(2)</w:t>
                  </w:r>
                  <w:r w:rsidRPr="00E02F30">
                    <w:rPr>
                      <w:rFonts w:eastAsia="Times New Roman" w:cs="Arial"/>
                      <w:sz w:val="20"/>
                      <w:szCs w:val="20"/>
                      <w:lang w:eastAsia="pl-PL"/>
                    </w:rPr>
                    <w:t xml:space="preserve"> Wskazany BAT-AEL może nie mieć zastosowania, gdy główny ładunek zanieczyszczeń pochodzi z produkcji jodowanych środków cieniujących ze względu na wysoką wartość refrakcji. Wskazany BAT-AEL może również nie mieć zastosowania, gdy główny ładunek zanieczyszczeń pochodzi z produkcji tlenku propylenu lub epichlorohydryny w procesie chlorohydryny ze względu na wysokie ładunki.</w:t>
                  </w:r>
                </w:p>
                <w:p w14:paraId="7B06FBB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(3)</w:t>
                  </w:r>
                  <w:r w:rsidRPr="00E02F30">
                    <w:rPr>
                      <w:rFonts w:eastAsia="Times New Roman" w:cs="Arial"/>
                      <w:sz w:val="20"/>
                      <w:szCs w:val="20"/>
                      <w:lang w:eastAsia="pl-PL"/>
                    </w:rPr>
                    <w:t xml:space="preserve"> Dolną granicę przedziału uzyskuje się zazwyczaj gdy nieliczne odnośne metale (związki metali) są wykorzystywane lub produkowane przez instalację.</w:t>
                  </w:r>
                </w:p>
                <w:p w14:paraId="55F2ED4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(4)</w:t>
                  </w:r>
                  <w:r w:rsidRPr="00E02F30">
                    <w:rPr>
                      <w:rFonts w:eastAsia="Times New Roman" w:cs="Arial"/>
                      <w:sz w:val="20"/>
                      <w:szCs w:val="20"/>
                      <w:lang w:eastAsia="pl-PL"/>
                    </w:rPr>
                    <w:t xml:space="preserve"> Wskazany BAT-AEL może nie mieć zastosowania do nieorganicznych ścieków oczyszczonych gdy główny ładunek zanieczyszczeń pochodzi z produkcji nieorganicznych związków metali ciężkich.</w:t>
                  </w:r>
                </w:p>
                <w:p w14:paraId="6384876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(5)</w:t>
                  </w:r>
                  <w:r w:rsidRPr="00E02F30">
                    <w:rPr>
                      <w:rFonts w:eastAsia="Times New Roman" w:cs="Arial"/>
                      <w:sz w:val="20"/>
                      <w:szCs w:val="20"/>
                      <w:lang w:eastAsia="pl-PL"/>
                    </w:rPr>
                    <w:t xml:space="preserve"> Wskazany BAT-AEL może nie mieć zastosowania, gdy główny ładunek zanieczyszczeń pochodzi z przetwarzania dużych ilości stałych nieorganicznych surowców zanieczyszczonych metalami (np. soda kalcynowana wytwarzana metodą Solvaya, </w:t>
                  </w:r>
                  <w:proofErr w:type="spellStart"/>
                  <w:r w:rsidRPr="00E02F30">
                    <w:rPr>
                      <w:rFonts w:eastAsia="Times New Roman" w:cs="Arial"/>
                      <w:sz w:val="20"/>
                      <w:szCs w:val="20"/>
                      <w:lang w:eastAsia="pl-PL"/>
                    </w:rPr>
                    <w:t>ditlenek</w:t>
                  </w:r>
                  <w:proofErr w:type="spellEnd"/>
                  <w:r w:rsidRPr="00E02F30">
                    <w:rPr>
                      <w:rFonts w:eastAsia="Times New Roman" w:cs="Arial"/>
                      <w:sz w:val="20"/>
                      <w:szCs w:val="20"/>
                      <w:lang w:eastAsia="pl-PL"/>
                    </w:rPr>
                    <w:t xml:space="preserve"> tytanu).</w:t>
                  </w:r>
                </w:p>
                <w:p w14:paraId="6E4AEAA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(6)</w:t>
                  </w:r>
                  <w:r w:rsidRPr="00E02F30">
                    <w:rPr>
                      <w:rFonts w:eastAsia="Times New Roman" w:cs="Arial"/>
                      <w:sz w:val="20"/>
                      <w:szCs w:val="20"/>
                      <w:lang w:eastAsia="pl-PL"/>
                    </w:rPr>
                    <w:t xml:space="preserve"> Wskazany BAT-AEL może nie mieć zastosowania gdy główny ładunek zanieczyszczeń pochodzi z produkcji organicznych związków chromu.</w:t>
                  </w:r>
                </w:p>
                <w:p w14:paraId="4B1A0FD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(7)</w:t>
                  </w:r>
                  <w:r w:rsidRPr="00E02F30">
                    <w:rPr>
                      <w:rFonts w:eastAsia="Times New Roman" w:cs="Arial"/>
                      <w:sz w:val="20"/>
                      <w:szCs w:val="20"/>
                      <w:lang w:eastAsia="pl-PL"/>
                    </w:rPr>
                    <w:t xml:space="preserve"> Wskazany BAT-AEL może nie mieć zastosowania, gdy główny ładunek zanieczyszczeń pochodzi z produkcji organicznych związków miedzi lub z produkcji chlorku winylu/chlorku etylenu w procesie </w:t>
                  </w:r>
                  <w:proofErr w:type="spellStart"/>
                  <w:r w:rsidRPr="00E02F30">
                    <w:rPr>
                      <w:rFonts w:eastAsia="Times New Roman" w:cs="Arial"/>
                      <w:sz w:val="20"/>
                      <w:szCs w:val="20"/>
                      <w:lang w:eastAsia="pl-PL"/>
                    </w:rPr>
                    <w:t>oksychlorowania</w:t>
                  </w:r>
                  <w:proofErr w:type="spellEnd"/>
                  <w:r w:rsidRPr="00E02F30">
                    <w:rPr>
                      <w:rFonts w:eastAsia="Times New Roman" w:cs="Arial"/>
                      <w:sz w:val="20"/>
                      <w:szCs w:val="20"/>
                      <w:lang w:eastAsia="pl-PL"/>
                    </w:rPr>
                    <w:t>.</w:t>
                  </w:r>
                </w:p>
                <w:p w14:paraId="41DF9ED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vertAlign w:val="superscript"/>
                      <w:lang w:eastAsia="pl-PL"/>
                    </w:rPr>
                    <w:t>(8)</w:t>
                  </w:r>
                  <w:r w:rsidRPr="00E02F30">
                    <w:rPr>
                      <w:rFonts w:eastAsia="Times New Roman" w:cs="Arial"/>
                      <w:sz w:val="20"/>
                      <w:szCs w:val="20"/>
                      <w:lang w:eastAsia="pl-PL"/>
                    </w:rPr>
                    <w:t xml:space="preserve"> Wskazany BAT-AEL może nie mieć zastosowania gdy główny ładunek zanieczyszczeń pochodzi z produkcji włókien wiskozowych.</w:t>
                  </w:r>
                </w:p>
              </w:tc>
            </w:tr>
          </w:tbl>
          <w:p w14:paraId="46FFB18E"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sz w:val="20"/>
                <w:szCs w:val="20"/>
                <w:lang w:eastAsia="pl-PL"/>
              </w:rPr>
              <w:t>Powiązany monitoring jest opisany w BAT 4.</w:t>
            </w:r>
          </w:p>
        </w:tc>
      </w:tr>
      <w:tr w:rsidR="00E02F30" w:rsidRPr="00E02F30" w14:paraId="26E42D3A" w14:textId="77777777" w:rsidTr="00A1631B">
        <w:trPr>
          <w:trHeight w:val="284"/>
        </w:trPr>
        <w:tc>
          <w:tcPr>
            <w:tcW w:w="2411" w:type="dxa"/>
            <w:gridSpan w:val="2"/>
            <w:shd w:val="clear" w:color="auto" w:fill="auto"/>
          </w:tcPr>
          <w:p w14:paraId="1D59206F"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7F3DF71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073C68F3"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3392EC0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
                <w:bCs/>
                <w:sz w:val="20"/>
                <w:szCs w:val="20"/>
                <w:lang w:eastAsia="pl-PL"/>
              </w:rPr>
              <w:t>Ścieki przemysłowe z instalacji IPPC nie są i nie będą bezpośrednio z zakładu wprowadzane do wód lub do ziemi.</w:t>
            </w:r>
          </w:p>
          <w:p w14:paraId="267663EC"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sz w:val="20"/>
                <w:szCs w:val="20"/>
                <w:lang w:eastAsia="pl-PL"/>
              </w:rPr>
              <w:t xml:space="preserve">Z uwagi na odprowadzanie ścieków do kanalizacji innego podmiotu (CIECH Sarzyna S.A), końcowe oczyszczanie ścieków realizowane jest w Komunalnej Biologicznej Oczyszczalni Ścieków Sp. z o.o. (KBOŚ), do której dopływają ścieki z 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o.o., CIECH Sarzyna S.A. oraz od innych podmiotów.</w:t>
            </w:r>
          </w:p>
        </w:tc>
      </w:tr>
      <w:tr w:rsidR="00E02F30" w:rsidRPr="00E02F30" w14:paraId="68D058D2" w14:textId="77777777" w:rsidTr="00A1631B">
        <w:trPr>
          <w:trHeight w:val="284"/>
        </w:trPr>
        <w:tc>
          <w:tcPr>
            <w:tcW w:w="10632" w:type="dxa"/>
            <w:gridSpan w:val="5"/>
            <w:shd w:val="clear" w:color="auto" w:fill="auto"/>
          </w:tcPr>
          <w:p w14:paraId="1AA7D168"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13.</w:t>
            </w:r>
          </w:p>
          <w:p w14:paraId="3319334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zapobiec powstawaniu odpadów lub, jeżeli nie jest to możliwe, aby ograniczyć ilość odpadów wysyłanych w celu unieszkodliwienia, w ramach BAT należy przyjąć i wdrożyć plan gospodarowania odpadami jako część systemu zarządzania środowiskowego (zob. BAT 1), w którym, w kolejności, zapewnia się zapobieganie powstawaniu odpadów, przygotowanie ich do ponownego wykorzystania, recykling lub innego rodzaju odzysk.</w:t>
            </w:r>
          </w:p>
        </w:tc>
      </w:tr>
      <w:tr w:rsidR="00E02F30" w:rsidRPr="00E02F30" w14:paraId="4D8EE72C" w14:textId="77777777" w:rsidTr="00A1631B">
        <w:trPr>
          <w:trHeight w:val="284"/>
        </w:trPr>
        <w:tc>
          <w:tcPr>
            <w:tcW w:w="2411" w:type="dxa"/>
            <w:gridSpan w:val="2"/>
            <w:shd w:val="clear" w:color="auto" w:fill="auto"/>
            <w:vAlign w:val="center"/>
          </w:tcPr>
          <w:p w14:paraId="1BEC551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548852C7"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0CDC81D3"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026D33D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Zapobieganie powstawaniu odpadów polega na utrzymywaniu urządzeń technologicznych w należytym stanie technicznym, prowadzeniu bieżącej kontroli i konserwacji tych urządzeń, zapobieganiu awariom. Prawidłowo zastosowana procedura minimalizacji odpadów pozwala zmniejszyć ilość odpadów obciążających środowisko.</w:t>
            </w:r>
          </w:p>
          <w:p w14:paraId="326AEE8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Działania mające na celu ograniczenie ilości generowanych odpadów i ich negatywnego oddziaływania:</w:t>
            </w:r>
          </w:p>
          <w:p w14:paraId="4B4CF9E6"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przestrzeganie zasad prawidłowej eksploatacji i konserwacji urządzeń, </w:t>
            </w:r>
          </w:p>
          <w:p w14:paraId="631BC30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przeprowadzanie systematycznych szkoleń pracowników zajmujących się gospodarką odpadami,</w:t>
            </w:r>
          </w:p>
          <w:p w14:paraId="3B15882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selektywna zbiórka odpadów oraz przekazywanie ich do dalszego wykorzystania lub unieszkodliwiania uprawnionym odbiorcom w celu ograniczenia ilości odpadów umieszczanych na składowisku,</w:t>
            </w:r>
          </w:p>
          <w:p w14:paraId="4416461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przestrzeganie określonych przepisami czasów magazynowania odpadów,</w:t>
            </w:r>
          </w:p>
          <w:p w14:paraId="258BEA7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magazynowanie odpadów w miejscach na ten cel przeznaczonych spełniających wymagania prawne,</w:t>
            </w:r>
          </w:p>
          <w:p w14:paraId="03AE0E8E"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rozszerzanie stosowania opakowań wielokrotnego użytku (bębny, kontenery, big-</w:t>
            </w:r>
            <w:proofErr w:type="spellStart"/>
            <w:r w:rsidRPr="00E02F30">
              <w:rPr>
                <w:rFonts w:eastAsia="Times New Roman" w:cs="Arial"/>
                <w:bCs/>
                <w:sz w:val="20"/>
                <w:szCs w:val="20"/>
                <w:lang w:eastAsia="pl-PL"/>
              </w:rPr>
              <w:t>bagi</w:t>
            </w:r>
            <w:proofErr w:type="spellEnd"/>
            <w:r w:rsidRPr="00E02F30">
              <w:rPr>
                <w:rFonts w:eastAsia="Times New Roman" w:cs="Arial"/>
                <w:bCs/>
                <w:sz w:val="20"/>
                <w:szCs w:val="20"/>
                <w:lang w:eastAsia="pl-PL"/>
              </w:rPr>
              <w:t>, palety drewniane),</w:t>
            </w:r>
          </w:p>
          <w:p w14:paraId="477109B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przestrzeganie odpowiedniego reżimu prowadzonego procesu technologicznego.</w:t>
            </w:r>
          </w:p>
          <w:p w14:paraId="568EB12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ramach funkcjonującego systemu zarządzania środowiskowego zakład ma wdrożony plan gospodarki odpadami, który systematyzuje sposób prowadzenia procesów produkcyjnych w taki sposób, aby:</w:t>
            </w:r>
          </w:p>
          <w:p w14:paraId="3B2F3927"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w pierwszej kolejności zapobiegać powstawaniu odpadów na etapie produkcji</w:t>
            </w:r>
          </w:p>
          <w:p w14:paraId="1DB05D0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powstałe odpady segregować, zbierać w wyznaczonych miejscach</w:t>
            </w:r>
          </w:p>
          <w:p w14:paraId="11EE3A9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jeżeli istnieje taka możliwość przekazywać wytworzone odpady do regeneracji lub recyklingu</w:t>
            </w:r>
          </w:p>
          <w:p w14:paraId="7B4AE3F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przekazywać do przetwarzania podmiotom, które posiadają odpowiednie zezwolenia</w:t>
            </w:r>
          </w:p>
          <w:p w14:paraId="031923AD" w14:textId="77777777" w:rsidR="00E02F30" w:rsidRPr="00E02F30" w:rsidRDefault="00E02F30" w:rsidP="00E02F30">
            <w:pPr>
              <w:spacing w:after="0" w:line="240" w:lineRule="auto"/>
              <w:jc w:val="both"/>
              <w:rPr>
                <w:rFonts w:eastAsia="Times New Roman" w:cs="Arial"/>
                <w:bCs/>
                <w:sz w:val="20"/>
                <w:szCs w:val="20"/>
                <w:lang w:eastAsia="pl-PL"/>
              </w:rPr>
            </w:pPr>
          </w:p>
          <w:p w14:paraId="767A515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Odpady powstałe z poszczególnych etapów produkcji będą segregowane, pakowane, ważone, znakowane i magazynowane w wyznaczonych miejscach, a następnie będą przekazywane do zewnętrznych odbiorców celem odzysku lub unieszkodliwienia.</w:t>
            </w:r>
          </w:p>
        </w:tc>
      </w:tr>
      <w:tr w:rsidR="00E02F30" w:rsidRPr="00E02F30" w14:paraId="373208AD" w14:textId="77777777" w:rsidTr="00A1631B">
        <w:trPr>
          <w:trHeight w:val="284"/>
        </w:trPr>
        <w:tc>
          <w:tcPr>
            <w:tcW w:w="10632" w:type="dxa"/>
            <w:gridSpan w:val="5"/>
            <w:shd w:val="clear" w:color="auto" w:fill="auto"/>
          </w:tcPr>
          <w:p w14:paraId="7E4763DD"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14</w:t>
            </w:r>
          </w:p>
          <w:p w14:paraId="13CF102C" w14:textId="77777777" w:rsidR="00E02F30" w:rsidRPr="00E02F30" w:rsidRDefault="00E02F30" w:rsidP="00E02F30">
            <w:pPr>
              <w:spacing w:after="0" w:line="240" w:lineRule="auto"/>
              <w:rPr>
                <w:rFonts w:eastAsia="Times New Roman" w:cs="Arial"/>
                <w:bCs/>
                <w:sz w:val="20"/>
                <w:szCs w:val="20"/>
                <w:lang w:eastAsia="pl-PL"/>
              </w:rPr>
            </w:pPr>
          </w:p>
          <w:p w14:paraId="09AC174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 celu zmniejszenia ilości osadów ściekowych wymagających dalszego oczyszczania lub unieszkodliwienia oraz w celu zmniejszenia ich potencjalnego wpływu na środowisko, w ramach BAT należy zastosować jedną z technik lub kombinacji technik przedstawionych poniżej.</w:t>
            </w:r>
          </w:p>
          <w:tbl>
            <w:tblPr>
              <w:tblW w:w="0" w:type="auto"/>
              <w:tblCellSpacing w:w="0" w:type="auto"/>
              <w:tblBorders>
                <w:top w:val="single" w:sz="8" w:space="0" w:color="000000"/>
                <w:bottom w:val="single" w:sz="8" w:space="0" w:color="000000"/>
              </w:tblBorders>
              <w:tblLayout w:type="fixed"/>
              <w:tblLook w:val="04A0" w:firstRow="1" w:lastRow="0" w:firstColumn="1" w:lastColumn="0" w:noHBand="0" w:noVBand="1"/>
            </w:tblPr>
            <w:tblGrid>
              <w:gridCol w:w="710"/>
              <w:gridCol w:w="2769"/>
              <w:gridCol w:w="3355"/>
              <w:gridCol w:w="3254"/>
            </w:tblGrid>
            <w:tr w:rsidR="00E02F30" w:rsidRPr="00E02F30" w14:paraId="7FB1668F" w14:textId="77777777" w:rsidTr="00A1631B">
              <w:trPr>
                <w:trHeight w:val="44"/>
                <w:tblCellSpacing w:w="0" w:type="auto"/>
              </w:trPr>
              <w:tc>
                <w:tcPr>
                  <w:tcW w:w="710" w:type="dxa"/>
                  <w:tcBorders>
                    <w:bottom w:val="single" w:sz="8" w:space="0" w:color="000000"/>
                    <w:right w:val="single" w:sz="8" w:space="0" w:color="000000"/>
                  </w:tcBorders>
                  <w:tcMar>
                    <w:top w:w="15" w:type="dxa"/>
                    <w:left w:w="15" w:type="dxa"/>
                    <w:bottom w:w="15" w:type="dxa"/>
                    <w:right w:w="15" w:type="dxa"/>
                  </w:tcMar>
                  <w:vAlign w:val="center"/>
                </w:tcPr>
                <w:p w14:paraId="2A0556C8" w14:textId="77777777" w:rsidR="00E02F30" w:rsidRPr="00E02F30" w:rsidRDefault="00E02F30" w:rsidP="00E02F30">
                  <w:pPr>
                    <w:spacing w:after="0" w:line="240" w:lineRule="auto"/>
                    <w:rPr>
                      <w:rFonts w:eastAsia="Times New Roman" w:cs="Arial"/>
                      <w:sz w:val="20"/>
                      <w:szCs w:val="20"/>
                      <w:lang w:eastAsia="pl-PL"/>
                    </w:rPr>
                  </w:pPr>
                </w:p>
              </w:tc>
              <w:tc>
                <w:tcPr>
                  <w:tcW w:w="2769" w:type="dxa"/>
                  <w:tcBorders>
                    <w:bottom w:val="single" w:sz="8" w:space="0" w:color="000000"/>
                    <w:right w:val="single" w:sz="8" w:space="0" w:color="000000"/>
                  </w:tcBorders>
                  <w:tcMar>
                    <w:top w:w="15" w:type="dxa"/>
                    <w:left w:w="15" w:type="dxa"/>
                    <w:bottom w:w="15" w:type="dxa"/>
                    <w:right w:w="15" w:type="dxa"/>
                  </w:tcMar>
                  <w:vAlign w:val="center"/>
                </w:tcPr>
                <w:p w14:paraId="29DF10A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Technika</w:t>
                  </w:r>
                </w:p>
              </w:tc>
              <w:tc>
                <w:tcPr>
                  <w:tcW w:w="3355" w:type="dxa"/>
                  <w:tcBorders>
                    <w:bottom w:val="single" w:sz="8" w:space="0" w:color="000000"/>
                    <w:right w:val="single" w:sz="8" w:space="0" w:color="000000"/>
                  </w:tcBorders>
                  <w:tcMar>
                    <w:top w:w="15" w:type="dxa"/>
                    <w:left w:w="15" w:type="dxa"/>
                    <w:bottom w:w="15" w:type="dxa"/>
                    <w:right w:w="15" w:type="dxa"/>
                  </w:tcMar>
                  <w:vAlign w:val="center"/>
                </w:tcPr>
                <w:p w14:paraId="6D8E698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Opis</w:t>
                  </w:r>
                </w:p>
              </w:tc>
              <w:tc>
                <w:tcPr>
                  <w:tcW w:w="3254" w:type="dxa"/>
                  <w:tcBorders>
                    <w:bottom w:val="single" w:sz="8" w:space="0" w:color="000000"/>
                  </w:tcBorders>
                  <w:tcMar>
                    <w:top w:w="15" w:type="dxa"/>
                    <w:left w:w="15" w:type="dxa"/>
                    <w:bottom w:w="15" w:type="dxa"/>
                    <w:right w:w="15" w:type="dxa"/>
                  </w:tcMar>
                  <w:vAlign w:val="center"/>
                </w:tcPr>
                <w:p w14:paraId="0B741760"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w:t>
                  </w:r>
                </w:p>
              </w:tc>
            </w:tr>
            <w:tr w:rsidR="00E02F30" w:rsidRPr="00E02F30" w14:paraId="161EFB35" w14:textId="77777777" w:rsidTr="00A1631B">
              <w:trPr>
                <w:trHeight w:val="44"/>
                <w:tblCellSpacing w:w="0" w:type="auto"/>
              </w:trPr>
              <w:tc>
                <w:tcPr>
                  <w:tcW w:w="710" w:type="dxa"/>
                  <w:tcBorders>
                    <w:bottom w:val="single" w:sz="8" w:space="0" w:color="000000"/>
                    <w:right w:val="single" w:sz="8" w:space="0" w:color="000000"/>
                  </w:tcBorders>
                  <w:tcMar>
                    <w:top w:w="15" w:type="dxa"/>
                    <w:left w:w="15" w:type="dxa"/>
                    <w:bottom w:w="15" w:type="dxa"/>
                    <w:right w:w="15" w:type="dxa"/>
                  </w:tcMar>
                  <w:vAlign w:val="center"/>
                </w:tcPr>
                <w:p w14:paraId="53B86DF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w:t>
                  </w:r>
                </w:p>
              </w:tc>
              <w:tc>
                <w:tcPr>
                  <w:tcW w:w="2769" w:type="dxa"/>
                  <w:tcBorders>
                    <w:bottom w:val="single" w:sz="8" w:space="0" w:color="000000"/>
                    <w:right w:val="single" w:sz="8" w:space="0" w:color="000000"/>
                  </w:tcBorders>
                  <w:tcMar>
                    <w:top w:w="15" w:type="dxa"/>
                    <w:left w:w="15" w:type="dxa"/>
                    <w:bottom w:w="15" w:type="dxa"/>
                    <w:right w:w="15" w:type="dxa"/>
                  </w:tcMar>
                  <w:vAlign w:val="center"/>
                </w:tcPr>
                <w:p w14:paraId="65606E6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Kondycjonowanie</w:t>
                  </w:r>
                </w:p>
              </w:tc>
              <w:tc>
                <w:tcPr>
                  <w:tcW w:w="3355" w:type="dxa"/>
                  <w:tcBorders>
                    <w:bottom w:val="single" w:sz="8" w:space="0" w:color="000000"/>
                    <w:right w:val="single" w:sz="8" w:space="0" w:color="000000"/>
                  </w:tcBorders>
                  <w:tcMar>
                    <w:top w:w="15" w:type="dxa"/>
                    <w:left w:w="15" w:type="dxa"/>
                    <w:bottom w:w="15" w:type="dxa"/>
                    <w:right w:w="15" w:type="dxa"/>
                  </w:tcMar>
                  <w:vAlign w:val="center"/>
                </w:tcPr>
                <w:p w14:paraId="3F7964E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Kondycjonowanie chemiczne (tj. dodawanie koagulantów i/lub flokulantów) lub kondycjonowanie termiczne (tj. ogrzewanie), aby poprawić warunki podczas zagęszczania/odwadniania osadu.</w:t>
                  </w:r>
                </w:p>
              </w:tc>
              <w:tc>
                <w:tcPr>
                  <w:tcW w:w="3254" w:type="dxa"/>
                  <w:tcBorders>
                    <w:bottom w:val="single" w:sz="8" w:space="0" w:color="000000"/>
                  </w:tcBorders>
                  <w:tcMar>
                    <w:top w:w="15" w:type="dxa"/>
                    <w:left w:w="15" w:type="dxa"/>
                    <w:bottom w:w="15" w:type="dxa"/>
                    <w:right w:w="15" w:type="dxa"/>
                  </w:tcMar>
                  <w:vAlign w:val="center"/>
                </w:tcPr>
                <w:p w14:paraId="2F20BDD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Nie ma zastosowania w przypadku osadów nieorganicznych. Konieczność kondycjonowania zależy od właściwości osadów oraz od sprzętu użytego do zagęszczania/odwadniania.</w:t>
                  </w:r>
                </w:p>
              </w:tc>
            </w:tr>
            <w:tr w:rsidR="00E02F30" w:rsidRPr="00E02F30" w14:paraId="724AF176" w14:textId="77777777" w:rsidTr="00A1631B">
              <w:trPr>
                <w:trHeight w:val="44"/>
                <w:tblCellSpacing w:w="0" w:type="auto"/>
              </w:trPr>
              <w:tc>
                <w:tcPr>
                  <w:tcW w:w="710" w:type="dxa"/>
                  <w:tcBorders>
                    <w:bottom w:val="single" w:sz="8" w:space="0" w:color="000000"/>
                    <w:right w:val="single" w:sz="8" w:space="0" w:color="000000"/>
                  </w:tcBorders>
                  <w:tcMar>
                    <w:top w:w="15" w:type="dxa"/>
                    <w:left w:w="15" w:type="dxa"/>
                    <w:bottom w:w="15" w:type="dxa"/>
                    <w:right w:w="15" w:type="dxa"/>
                  </w:tcMar>
                  <w:vAlign w:val="center"/>
                </w:tcPr>
                <w:p w14:paraId="3D97D28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w:t>
                  </w:r>
                </w:p>
              </w:tc>
              <w:tc>
                <w:tcPr>
                  <w:tcW w:w="2769" w:type="dxa"/>
                  <w:tcBorders>
                    <w:bottom w:val="single" w:sz="8" w:space="0" w:color="000000"/>
                    <w:right w:val="single" w:sz="8" w:space="0" w:color="000000"/>
                  </w:tcBorders>
                  <w:tcMar>
                    <w:top w:w="15" w:type="dxa"/>
                    <w:left w:w="15" w:type="dxa"/>
                    <w:bottom w:w="15" w:type="dxa"/>
                    <w:right w:w="15" w:type="dxa"/>
                  </w:tcMar>
                  <w:vAlign w:val="center"/>
                </w:tcPr>
                <w:p w14:paraId="047480A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Zagęszczanie/odwadnianie</w:t>
                  </w:r>
                </w:p>
              </w:tc>
              <w:tc>
                <w:tcPr>
                  <w:tcW w:w="3355" w:type="dxa"/>
                  <w:tcBorders>
                    <w:bottom w:val="single" w:sz="8" w:space="0" w:color="000000"/>
                    <w:right w:val="single" w:sz="8" w:space="0" w:color="000000"/>
                  </w:tcBorders>
                  <w:tcMar>
                    <w:top w:w="15" w:type="dxa"/>
                    <w:left w:w="15" w:type="dxa"/>
                    <w:bottom w:w="15" w:type="dxa"/>
                    <w:right w:w="15" w:type="dxa"/>
                  </w:tcMar>
                  <w:vAlign w:val="center"/>
                </w:tcPr>
                <w:p w14:paraId="04793B7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Zagęszczania można dokonać, stosując sedymentację, wirowanie, flotację, zagęszczanie taśmowe lub filtr próżniowy z bębnem obrotowym. Odwadniania można dokonać, stosując prasy taśmowe lub prasy filtracyjne.</w:t>
                  </w:r>
                </w:p>
              </w:tc>
              <w:tc>
                <w:tcPr>
                  <w:tcW w:w="3254" w:type="dxa"/>
                  <w:tcBorders>
                    <w:bottom w:val="single" w:sz="8" w:space="0" w:color="000000"/>
                  </w:tcBorders>
                  <w:tcMar>
                    <w:top w:w="15" w:type="dxa"/>
                    <w:left w:w="15" w:type="dxa"/>
                    <w:bottom w:w="15" w:type="dxa"/>
                    <w:right w:w="15" w:type="dxa"/>
                  </w:tcMar>
                  <w:vAlign w:val="center"/>
                </w:tcPr>
                <w:p w14:paraId="39EA730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 ogólne</w:t>
                  </w:r>
                </w:p>
              </w:tc>
            </w:tr>
            <w:tr w:rsidR="00E02F30" w:rsidRPr="00E02F30" w14:paraId="381C97C9" w14:textId="77777777" w:rsidTr="00A1631B">
              <w:trPr>
                <w:trHeight w:val="44"/>
                <w:tblCellSpacing w:w="0" w:type="auto"/>
              </w:trPr>
              <w:tc>
                <w:tcPr>
                  <w:tcW w:w="710" w:type="dxa"/>
                  <w:tcBorders>
                    <w:bottom w:val="single" w:sz="8" w:space="0" w:color="000000"/>
                    <w:right w:val="single" w:sz="8" w:space="0" w:color="000000"/>
                  </w:tcBorders>
                  <w:tcMar>
                    <w:top w:w="15" w:type="dxa"/>
                    <w:left w:w="15" w:type="dxa"/>
                    <w:bottom w:w="15" w:type="dxa"/>
                    <w:right w:w="15" w:type="dxa"/>
                  </w:tcMar>
                  <w:vAlign w:val="center"/>
                </w:tcPr>
                <w:p w14:paraId="401E1E9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c)</w:t>
                  </w:r>
                </w:p>
              </w:tc>
              <w:tc>
                <w:tcPr>
                  <w:tcW w:w="2769" w:type="dxa"/>
                  <w:tcBorders>
                    <w:bottom w:val="single" w:sz="8" w:space="0" w:color="000000"/>
                    <w:right w:val="single" w:sz="8" w:space="0" w:color="000000"/>
                  </w:tcBorders>
                  <w:tcMar>
                    <w:top w:w="15" w:type="dxa"/>
                    <w:left w:w="15" w:type="dxa"/>
                    <w:bottom w:w="15" w:type="dxa"/>
                    <w:right w:w="15" w:type="dxa"/>
                  </w:tcMar>
                  <w:vAlign w:val="center"/>
                </w:tcPr>
                <w:p w14:paraId="5E89A32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Stabilizacja</w:t>
                  </w:r>
                </w:p>
              </w:tc>
              <w:tc>
                <w:tcPr>
                  <w:tcW w:w="3355" w:type="dxa"/>
                  <w:tcBorders>
                    <w:bottom w:val="single" w:sz="8" w:space="0" w:color="000000"/>
                    <w:right w:val="single" w:sz="8" w:space="0" w:color="000000"/>
                  </w:tcBorders>
                  <w:tcMar>
                    <w:top w:w="15" w:type="dxa"/>
                    <w:left w:w="15" w:type="dxa"/>
                    <w:bottom w:w="15" w:type="dxa"/>
                    <w:right w:w="15" w:type="dxa"/>
                  </w:tcMar>
                  <w:vAlign w:val="center"/>
                </w:tcPr>
                <w:p w14:paraId="614631B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Stabilizacja osadów obejmuje obróbkę chemiczną, obróbkę termiczną, rozkład tlenowy lub rozkład beztlenowy.</w:t>
                  </w:r>
                </w:p>
              </w:tc>
              <w:tc>
                <w:tcPr>
                  <w:tcW w:w="3254" w:type="dxa"/>
                  <w:tcBorders>
                    <w:bottom w:val="single" w:sz="8" w:space="0" w:color="000000"/>
                  </w:tcBorders>
                  <w:tcMar>
                    <w:top w:w="15" w:type="dxa"/>
                    <w:left w:w="15" w:type="dxa"/>
                    <w:bottom w:w="15" w:type="dxa"/>
                    <w:right w:w="15" w:type="dxa"/>
                  </w:tcMar>
                  <w:vAlign w:val="center"/>
                </w:tcPr>
                <w:p w14:paraId="5CEE2C0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Nie ma zastosowania w przypadku osadów nieorganicznych. Nie ma zastosowania w przypadku krótkoterminowych operacji przed obróbką końcową.</w:t>
                  </w:r>
                </w:p>
              </w:tc>
            </w:tr>
            <w:tr w:rsidR="00E02F30" w:rsidRPr="00E02F30" w14:paraId="391F3E3A" w14:textId="77777777" w:rsidTr="00A1631B">
              <w:trPr>
                <w:trHeight w:val="44"/>
                <w:tblCellSpacing w:w="0" w:type="auto"/>
              </w:trPr>
              <w:tc>
                <w:tcPr>
                  <w:tcW w:w="710" w:type="dxa"/>
                  <w:tcBorders>
                    <w:bottom w:val="single" w:sz="8" w:space="0" w:color="000000"/>
                    <w:right w:val="single" w:sz="8" w:space="0" w:color="000000"/>
                  </w:tcBorders>
                  <w:tcMar>
                    <w:top w:w="15" w:type="dxa"/>
                    <w:left w:w="15" w:type="dxa"/>
                    <w:bottom w:w="15" w:type="dxa"/>
                    <w:right w:w="15" w:type="dxa"/>
                  </w:tcMar>
                  <w:vAlign w:val="center"/>
                </w:tcPr>
                <w:p w14:paraId="3BF7C22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d)</w:t>
                  </w:r>
                </w:p>
              </w:tc>
              <w:tc>
                <w:tcPr>
                  <w:tcW w:w="2769" w:type="dxa"/>
                  <w:tcBorders>
                    <w:bottom w:val="single" w:sz="8" w:space="0" w:color="000000"/>
                    <w:right w:val="single" w:sz="8" w:space="0" w:color="000000"/>
                  </w:tcBorders>
                  <w:tcMar>
                    <w:top w:w="15" w:type="dxa"/>
                    <w:left w:w="15" w:type="dxa"/>
                    <w:bottom w:w="15" w:type="dxa"/>
                    <w:right w:w="15" w:type="dxa"/>
                  </w:tcMar>
                  <w:vAlign w:val="center"/>
                </w:tcPr>
                <w:p w14:paraId="2AE10F1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Suszenie</w:t>
                  </w:r>
                </w:p>
              </w:tc>
              <w:tc>
                <w:tcPr>
                  <w:tcW w:w="3355" w:type="dxa"/>
                  <w:tcBorders>
                    <w:bottom w:val="single" w:sz="8" w:space="0" w:color="000000"/>
                    <w:right w:val="single" w:sz="8" w:space="0" w:color="000000"/>
                  </w:tcBorders>
                  <w:tcMar>
                    <w:top w:w="15" w:type="dxa"/>
                    <w:left w:w="15" w:type="dxa"/>
                    <w:bottom w:w="15" w:type="dxa"/>
                    <w:right w:w="15" w:type="dxa"/>
                  </w:tcMar>
                  <w:vAlign w:val="center"/>
                </w:tcPr>
                <w:p w14:paraId="170DB26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Osad jest suszony w wyniku bezpośredniego lub pośredniego kontaktu ze źródłem ciepła.</w:t>
                  </w:r>
                </w:p>
              </w:tc>
              <w:tc>
                <w:tcPr>
                  <w:tcW w:w="3254" w:type="dxa"/>
                  <w:tcBorders>
                    <w:bottom w:val="single" w:sz="8" w:space="0" w:color="000000"/>
                  </w:tcBorders>
                  <w:tcMar>
                    <w:top w:w="15" w:type="dxa"/>
                    <w:left w:w="15" w:type="dxa"/>
                    <w:bottom w:w="15" w:type="dxa"/>
                    <w:right w:w="15" w:type="dxa"/>
                  </w:tcMar>
                  <w:vAlign w:val="center"/>
                </w:tcPr>
                <w:p w14:paraId="03824F0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Nie ma zastosowania w przypadkach, w których ciepło odpadowe nie jest dostępne lub nie może być zastosowane.</w:t>
                  </w:r>
                </w:p>
              </w:tc>
            </w:tr>
          </w:tbl>
          <w:p w14:paraId="7EA2F9C1" w14:textId="77777777" w:rsidR="00E02F30" w:rsidRPr="00E02F30" w:rsidRDefault="00E02F30" w:rsidP="00E02F30">
            <w:pPr>
              <w:spacing w:after="0" w:line="240" w:lineRule="auto"/>
              <w:rPr>
                <w:rFonts w:eastAsia="Times New Roman" w:cs="Arial"/>
                <w:bCs/>
                <w:sz w:val="20"/>
                <w:szCs w:val="20"/>
                <w:lang w:eastAsia="pl-PL"/>
              </w:rPr>
            </w:pPr>
          </w:p>
          <w:p w14:paraId="4D545447"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0388C0EF" w14:textId="77777777" w:rsidTr="00A1631B">
        <w:trPr>
          <w:trHeight w:val="284"/>
        </w:trPr>
        <w:tc>
          <w:tcPr>
            <w:tcW w:w="2411" w:type="dxa"/>
            <w:gridSpan w:val="2"/>
            <w:shd w:val="clear" w:color="auto" w:fill="auto"/>
          </w:tcPr>
          <w:p w14:paraId="1583A95F"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770550CA" w14:textId="77777777" w:rsidR="00E02F30" w:rsidRPr="00E02F30" w:rsidRDefault="00E02F30" w:rsidP="00E02F30">
            <w:pPr>
              <w:spacing w:after="0" w:line="240" w:lineRule="auto"/>
              <w:jc w:val="center"/>
              <w:rPr>
                <w:rFonts w:eastAsia="Times New Roman" w:cs="Arial"/>
                <w:bCs/>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21F946D4"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731EE6C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wyniku prowadzonych procesów podczyszczania na poszczególnych instalacjach, następować będzie odzysk substancji organicznych i szlamów do procesów produkcyjnych (technika b – w zbiornikach ścieki poddawane będą dalszemu podczyszczaniu, podczas której oddzielona masa organiczna będzie dobierana jako odpady, natomiast pozostałe ścieki będą kierowane do dalszego procesu podczyszczania bądź do kanalizacji zewnętrznego podmiotu.</w:t>
            </w:r>
          </w:p>
        </w:tc>
      </w:tr>
      <w:tr w:rsidR="00E02F30" w:rsidRPr="00E02F30" w14:paraId="28EB2C9D" w14:textId="77777777" w:rsidTr="00A1631B">
        <w:trPr>
          <w:trHeight w:val="284"/>
        </w:trPr>
        <w:tc>
          <w:tcPr>
            <w:tcW w:w="10632" w:type="dxa"/>
            <w:gridSpan w:val="5"/>
            <w:shd w:val="clear" w:color="auto" w:fill="auto"/>
          </w:tcPr>
          <w:p w14:paraId="305E3384"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Emisje do powietrza</w:t>
            </w:r>
          </w:p>
        </w:tc>
      </w:tr>
      <w:tr w:rsidR="00E02F30" w:rsidRPr="00E02F30" w14:paraId="72118BAE" w14:textId="77777777" w:rsidTr="00A1631B">
        <w:trPr>
          <w:trHeight w:val="284"/>
        </w:trPr>
        <w:tc>
          <w:tcPr>
            <w:tcW w:w="10632" w:type="dxa"/>
            <w:gridSpan w:val="5"/>
            <w:shd w:val="clear" w:color="auto" w:fill="auto"/>
          </w:tcPr>
          <w:p w14:paraId="611B5ED2"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Zbieranie gazów odlotowych</w:t>
            </w:r>
          </w:p>
        </w:tc>
      </w:tr>
      <w:tr w:rsidR="00E02F30" w:rsidRPr="00E02F30" w14:paraId="26C2AE15" w14:textId="77777777" w:rsidTr="00A1631B">
        <w:trPr>
          <w:trHeight w:val="284"/>
        </w:trPr>
        <w:tc>
          <w:tcPr>
            <w:tcW w:w="10632" w:type="dxa"/>
            <w:gridSpan w:val="5"/>
            <w:shd w:val="clear" w:color="auto" w:fill="auto"/>
          </w:tcPr>
          <w:p w14:paraId="262899E8"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15</w:t>
            </w:r>
          </w:p>
          <w:p w14:paraId="7EA53152"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celu ułatwienia odzysku związków i ograniczenia emisji do powietrza, w ramach BAT należy uwzględnić źródła emisji oraz poddawać emisje oczyszczaniu, tam gdzie jest to możliwe.</w:t>
            </w:r>
          </w:p>
          <w:p w14:paraId="2262010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Zastosowanie</w:t>
            </w:r>
          </w:p>
          <w:p w14:paraId="24CEA5F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Możliwość zastosowania może być ograniczona względami operacyjności (dostęp do sprzętu), bezpieczeństwa (zapobieganie koncentracji blisko dolnej granicy wybuchowości) oraz zdrowia (jeśli wymagany jest dostęp operatora do wnętrza komory).</w:t>
            </w:r>
          </w:p>
        </w:tc>
      </w:tr>
      <w:tr w:rsidR="00E02F30" w:rsidRPr="00E02F30" w14:paraId="5358801D" w14:textId="77777777" w:rsidTr="00A1631B">
        <w:trPr>
          <w:trHeight w:val="284"/>
        </w:trPr>
        <w:tc>
          <w:tcPr>
            <w:tcW w:w="2411" w:type="dxa"/>
            <w:gridSpan w:val="2"/>
            <w:shd w:val="clear" w:color="auto" w:fill="auto"/>
            <w:vAlign w:val="center"/>
          </w:tcPr>
          <w:p w14:paraId="159D26EF"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8EB675B"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09E8E14F"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Zgodne</w:t>
            </w:r>
          </w:p>
          <w:p w14:paraId="46183F9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etapie kondensacji w linii ob. 524 i ob.524 A powietrze z dozowania surowców sypkich będzie oczyszczane w cyklonie lub filtrach. Następnie powietrze to będzie kierowane do hydrocyklonu układu hermetyzacji kwaśnej skąd odprowadzane będzie do powietrza emitorem E-1/Z, natomiast powstałe ścieki z hydrocyklonu będą kierowane do kanalizacji ścieków przemysłowych.</w:t>
            </w:r>
          </w:p>
          <w:p w14:paraId="2B4D081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Oczyszczanie powietrza technologicznego pochodzącego z wszystkich trzech linii produkcyjnych zawierającego związki organiczne z reaktorów, mieszalników i zbiorników prowadzić się będzie w sposób ciągły poprzez ich spalanie w dopalaczu termicznym komorowym typu regeneracyjnego produkcji firmy BABCOCK.</w:t>
            </w:r>
          </w:p>
          <w:p w14:paraId="453BE140"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Obiekty produkcyjne i magazynowe z poszczególnych linii (501, 501A, 524, 524A, 528, 528A i 523) połączone będą z dopalaczem kanałami </w:t>
            </w:r>
            <w:proofErr w:type="spellStart"/>
            <w:r w:rsidRPr="00E02F30">
              <w:rPr>
                <w:rFonts w:eastAsia="Times New Roman" w:cs="Arial"/>
                <w:bCs/>
                <w:sz w:val="20"/>
                <w:szCs w:val="20"/>
                <w:lang w:eastAsia="pl-PL"/>
              </w:rPr>
              <w:t>odgazów</w:t>
            </w:r>
            <w:proofErr w:type="spellEnd"/>
            <w:r w:rsidRPr="00E02F30">
              <w:rPr>
                <w:rFonts w:eastAsia="Times New Roman" w:cs="Arial"/>
                <w:bCs/>
                <w:sz w:val="20"/>
                <w:szCs w:val="20"/>
                <w:lang w:eastAsia="pl-PL"/>
              </w:rPr>
              <w:t xml:space="preserve"> (powietrza procesowego) wyposażonymi w odpowiednie urządzenia regulacyjno-pomiarowe.</w:t>
            </w:r>
          </w:p>
          <w:p w14:paraId="253D2300"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Przy czym </w:t>
            </w:r>
            <w:proofErr w:type="spellStart"/>
            <w:r w:rsidRPr="00E02F30">
              <w:rPr>
                <w:rFonts w:eastAsia="Times New Roman" w:cs="Arial"/>
                <w:bCs/>
                <w:sz w:val="20"/>
                <w:szCs w:val="20"/>
                <w:lang w:eastAsia="pl-PL"/>
              </w:rPr>
              <w:t>odgazy</w:t>
            </w:r>
            <w:proofErr w:type="spellEnd"/>
            <w:r w:rsidRPr="00E02F30">
              <w:rPr>
                <w:rFonts w:eastAsia="Times New Roman" w:cs="Arial"/>
                <w:bCs/>
                <w:sz w:val="20"/>
                <w:szCs w:val="20"/>
                <w:lang w:eastAsia="pl-PL"/>
              </w:rPr>
              <w:t xml:space="preserve"> z obiektów 501, 501A połączone zostaną z dopalaczem po uprzednim oczyszczeniu w filtrze patronowym typu DOWNFLO OVAL 1.</w:t>
            </w:r>
          </w:p>
          <w:p w14:paraId="35748D2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Dodatkowo w linii ob. 501 powietrze z dozowania surowców po oczyszczeniu w filtrze pyłowym DFO-3-3 (Donaldson) będzie kierowane do powietrza emitorem E-7/Z.</w:t>
            </w:r>
          </w:p>
        </w:tc>
      </w:tr>
      <w:tr w:rsidR="00E02F30" w:rsidRPr="00E02F30" w14:paraId="4635ADDD" w14:textId="77777777" w:rsidTr="00A1631B">
        <w:trPr>
          <w:trHeight w:val="284"/>
        </w:trPr>
        <w:tc>
          <w:tcPr>
            <w:tcW w:w="10632" w:type="dxa"/>
            <w:gridSpan w:val="5"/>
            <w:shd w:val="clear" w:color="auto" w:fill="auto"/>
          </w:tcPr>
          <w:p w14:paraId="0537BC0B"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Oczyszczanie gazów odlotowych</w:t>
            </w:r>
          </w:p>
        </w:tc>
      </w:tr>
      <w:tr w:rsidR="00E02F30" w:rsidRPr="00E02F30" w14:paraId="2086478C" w14:textId="77777777" w:rsidTr="00A1631B">
        <w:trPr>
          <w:trHeight w:val="284"/>
        </w:trPr>
        <w:tc>
          <w:tcPr>
            <w:tcW w:w="10632" w:type="dxa"/>
            <w:gridSpan w:val="5"/>
            <w:shd w:val="clear" w:color="auto" w:fill="auto"/>
          </w:tcPr>
          <w:p w14:paraId="145BD626"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16</w:t>
            </w:r>
          </w:p>
          <w:p w14:paraId="223321A2"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ograniczyć emisje do powietrza, w ramach BAT należy stosować zintegrowaną strategię gospodarowania gazami odlotowymi i oczyszczania gazów odlotowych, obejmującą techniki zintegrowane z procesem oraz techniki oczyszczania gazów odlotowych.</w:t>
            </w:r>
          </w:p>
          <w:p w14:paraId="1E9E15A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Opis</w:t>
            </w:r>
          </w:p>
          <w:p w14:paraId="31B24ED0"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Zintegrowana strategia gospodarowania gazami odlotowymi i oczyszczania gazów odlotowych opiera się na wykazie strumieni gazów odlotowych (zob. BAT 2), przy czym charakter priorytetowy nadaje się technikom zintegrowanym z procesem.</w:t>
            </w:r>
          </w:p>
        </w:tc>
      </w:tr>
      <w:tr w:rsidR="00E02F30" w:rsidRPr="00E02F30" w14:paraId="2B3DBC60" w14:textId="77777777" w:rsidTr="00A1631B">
        <w:trPr>
          <w:trHeight w:val="284"/>
        </w:trPr>
        <w:tc>
          <w:tcPr>
            <w:tcW w:w="2411" w:type="dxa"/>
            <w:gridSpan w:val="2"/>
            <w:shd w:val="clear" w:color="auto" w:fill="auto"/>
            <w:vAlign w:val="center"/>
          </w:tcPr>
          <w:p w14:paraId="5A73925C"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1EC2BEB9"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301B76E1"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Zgodne</w:t>
            </w:r>
          </w:p>
          <w:p w14:paraId="28AC6E01"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W instalacji stosowane są urządzenia ochronne ograniczające emisje do powietrza, wymienione w ramach BAT 15.</w:t>
            </w:r>
          </w:p>
          <w:p w14:paraId="7A04F526"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 xml:space="preserve">Zintegrowana strategia gospodarowania gazami odlotowymi i oczyszczania gazów odlotowych opiera się na wykazie strumieni gazów odlotowych i jest uwzględniona we wdrożonym w zakładzie Sarzyna </w:t>
            </w:r>
            <w:proofErr w:type="spellStart"/>
            <w:r w:rsidRPr="00E02F30">
              <w:rPr>
                <w:rFonts w:eastAsia="Times New Roman" w:cs="Arial"/>
                <w:bCs/>
                <w:sz w:val="20"/>
                <w:szCs w:val="20"/>
                <w:lang w:eastAsia="pl-PL"/>
              </w:rPr>
              <w:t>Chemical</w:t>
            </w:r>
            <w:proofErr w:type="spellEnd"/>
            <w:r w:rsidRPr="00E02F30">
              <w:rPr>
                <w:rFonts w:eastAsia="Times New Roman" w:cs="Arial"/>
                <w:bCs/>
                <w:sz w:val="20"/>
                <w:szCs w:val="20"/>
                <w:lang w:eastAsia="pl-PL"/>
              </w:rPr>
              <w:t xml:space="preserve"> Sp. z o.o.  Systemie Zarządzania Środowiskowego. Ograniczenie emisji do powietrza realizowane jest także poprzez racjonalną gospodarkę materiałowo-surowcową oraz odpowiednią konserwację oraz remonty instalacji.</w:t>
            </w:r>
          </w:p>
        </w:tc>
      </w:tr>
      <w:tr w:rsidR="00E02F30" w:rsidRPr="00E02F30" w14:paraId="474E47C7" w14:textId="77777777" w:rsidTr="00A1631B">
        <w:trPr>
          <w:trHeight w:val="284"/>
        </w:trPr>
        <w:tc>
          <w:tcPr>
            <w:tcW w:w="10632" w:type="dxa"/>
            <w:gridSpan w:val="5"/>
            <w:shd w:val="clear" w:color="auto" w:fill="auto"/>
          </w:tcPr>
          <w:p w14:paraId="7A70753B"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Spalanie w pochodni</w:t>
            </w:r>
          </w:p>
        </w:tc>
      </w:tr>
      <w:tr w:rsidR="00E02F30" w:rsidRPr="00E02F30" w14:paraId="3384050E" w14:textId="77777777" w:rsidTr="00A1631B">
        <w:trPr>
          <w:trHeight w:val="284"/>
        </w:trPr>
        <w:tc>
          <w:tcPr>
            <w:tcW w:w="10632" w:type="dxa"/>
            <w:gridSpan w:val="5"/>
            <w:shd w:val="clear" w:color="auto" w:fill="auto"/>
          </w:tcPr>
          <w:p w14:paraId="21247423"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17</w:t>
            </w:r>
          </w:p>
          <w:p w14:paraId="0E882A3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Aby zapobiec emisjom do powietrza pochodzącym z pochodni, w ramach BAT spalanie w pochodni należy stosować wyłącznie ze względów bezpieczeństwa lub w przypadku </w:t>
            </w:r>
            <w:proofErr w:type="spellStart"/>
            <w:r w:rsidRPr="00E02F30">
              <w:rPr>
                <w:rFonts w:eastAsia="Times New Roman" w:cs="Arial"/>
                <w:sz w:val="20"/>
                <w:szCs w:val="20"/>
                <w:lang w:eastAsia="pl-PL"/>
              </w:rPr>
              <w:t>nierutynowych</w:t>
            </w:r>
            <w:proofErr w:type="spellEnd"/>
            <w:r w:rsidRPr="00E02F30">
              <w:rPr>
                <w:rFonts w:eastAsia="Times New Roman" w:cs="Arial"/>
                <w:sz w:val="20"/>
                <w:szCs w:val="20"/>
                <w:lang w:eastAsia="pl-PL"/>
              </w:rPr>
              <w:t xml:space="preserve"> warunków eksploatacyjnych (np. przy rozruchu i wyłączaniu), wykorzystując jedną lub obydwie z poniższych technik.</w:t>
            </w:r>
          </w:p>
          <w:tbl>
            <w:tblPr>
              <w:tblW w:w="10148" w:type="dxa"/>
              <w:tblCellSpacing w:w="0" w:type="auto"/>
              <w:tblBorders>
                <w:top w:val="single" w:sz="8" w:space="0" w:color="000000"/>
                <w:bottom w:val="single" w:sz="8" w:space="0" w:color="000000"/>
              </w:tblBorders>
              <w:tblLayout w:type="fixed"/>
              <w:tblLook w:val="04A0" w:firstRow="1" w:lastRow="0" w:firstColumn="1" w:lastColumn="0" w:noHBand="0" w:noVBand="1"/>
            </w:tblPr>
            <w:tblGrid>
              <w:gridCol w:w="716"/>
              <w:gridCol w:w="2255"/>
              <w:gridCol w:w="4101"/>
              <w:gridCol w:w="3076"/>
            </w:tblGrid>
            <w:tr w:rsidR="00E02F30" w:rsidRPr="00E02F30" w14:paraId="4A9A448A" w14:textId="77777777" w:rsidTr="00A1631B">
              <w:trPr>
                <w:trHeight w:val="48"/>
                <w:tblCellSpacing w:w="0" w:type="auto"/>
              </w:trPr>
              <w:tc>
                <w:tcPr>
                  <w:tcW w:w="716" w:type="dxa"/>
                  <w:tcBorders>
                    <w:bottom w:val="single" w:sz="8" w:space="0" w:color="000000"/>
                    <w:right w:val="single" w:sz="8" w:space="0" w:color="000000"/>
                  </w:tcBorders>
                  <w:tcMar>
                    <w:top w:w="15" w:type="dxa"/>
                    <w:left w:w="15" w:type="dxa"/>
                    <w:bottom w:w="15" w:type="dxa"/>
                    <w:right w:w="15" w:type="dxa"/>
                  </w:tcMar>
                  <w:vAlign w:val="center"/>
                </w:tcPr>
                <w:p w14:paraId="18C7A4F2" w14:textId="77777777" w:rsidR="00E02F30" w:rsidRPr="00E02F30" w:rsidRDefault="00E02F30" w:rsidP="00E02F30">
                  <w:pPr>
                    <w:spacing w:after="0" w:line="240" w:lineRule="auto"/>
                    <w:rPr>
                      <w:rFonts w:eastAsia="Times New Roman" w:cs="Arial"/>
                      <w:sz w:val="20"/>
                      <w:szCs w:val="20"/>
                      <w:lang w:eastAsia="pl-PL"/>
                    </w:rPr>
                  </w:pPr>
                </w:p>
              </w:tc>
              <w:tc>
                <w:tcPr>
                  <w:tcW w:w="2255" w:type="dxa"/>
                  <w:tcBorders>
                    <w:bottom w:val="single" w:sz="8" w:space="0" w:color="000000"/>
                    <w:right w:val="single" w:sz="8" w:space="0" w:color="000000"/>
                  </w:tcBorders>
                  <w:tcMar>
                    <w:top w:w="15" w:type="dxa"/>
                    <w:left w:w="15" w:type="dxa"/>
                    <w:bottom w:w="15" w:type="dxa"/>
                    <w:right w:w="15" w:type="dxa"/>
                  </w:tcMar>
                  <w:vAlign w:val="center"/>
                </w:tcPr>
                <w:p w14:paraId="3E0F972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Technika</w:t>
                  </w:r>
                </w:p>
              </w:tc>
              <w:tc>
                <w:tcPr>
                  <w:tcW w:w="4101" w:type="dxa"/>
                  <w:tcBorders>
                    <w:bottom w:val="single" w:sz="8" w:space="0" w:color="000000"/>
                    <w:right w:val="single" w:sz="8" w:space="0" w:color="000000"/>
                  </w:tcBorders>
                  <w:tcMar>
                    <w:top w:w="15" w:type="dxa"/>
                    <w:left w:w="15" w:type="dxa"/>
                    <w:bottom w:w="15" w:type="dxa"/>
                    <w:right w:w="15" w:type="dxa"/>
                  </w:tcMar>
                  <w:vAlign w:val="center"/>
                </w:tcPr>
                <w:p w14:paraId="772698B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Opis</w:t>
                  </w:r>
                </w:p>
              </w:tc>
              <w:tc>
                <w:tcPr>
                  <w:tcW w:w="3076" w:type="dxa"/>
                  <w:tcBorders>
                    <w:bottom w:val="single" w:sz="8" w:space="0" w:color="000000"/>
                  </w:tcBorders>
                  <w:tcMar>
                    <w:top w:w="15" w:type="dxa"/>
                    <w:left w:w="15" w:type="dxa"/>
                    <w:bottom w:w="15" w:type="dxa"/>
                    <w:right w:w="15" w:type="dxa"/>
                  </w:tcMar>
                  <w:vAlign w:val="center"/>
                </w:tcPr>
                <w:p w14:paraId="1EBCC33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w:t>
                  </w:r>
                </w:p>
              </w:tc>
            </w:tr>
            <w:tr w:rsidR="00E02F30" w:rsidRPr="00E02F30" w14:paraId="26F74277" w14:textId="77777777" w:rsidTr="00A1631B">
              <w:trPr>
                <w:trHeight w:val="48"/>
                <w:tblCellSpacing w:w="0" w:type="auto"/>
              </w:trPr>
              <w:tc>
                <w:tcPr>
                  <w:tcW w:w="716" w:type="dxa"/>
                  <w:tcBorders>
                    <w:bottom w:val="single" w:sz="8" w:space="0" w:color="000000"/>
                    <w:right w:val="single" w:sz="8" w:space="0" w:color="000000"/>
                  </w:tcBorders>
                  <w:tcMar>
                    <w:top w:w="15" w:type="dxa"/>
                    <w:left w:w="15" w:type="dxa"/>
                    <w:bottom w:w="15" w:type="dxa"/>
                    <w:right w:w="15" w:type="dxa"/>
                  </w:tcMar>
                  <w:vAlign w:val="center"/>
                </w:tcPr>
                <w:p w14:paraId="1B442C0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w:t>
                  </w:r>
                </w:p>
              </w:tc>
              <w:tc>
                <w:tcPr>
                  <w:tcW w:w="2255" w:type="dxa"/>
                  <w:tcBorders>
                    <w:bottom w:val="single" w:sz="8" w:space="0" w:color="000000"/>
                    <w:right w:val="single" w:sz="8" w:space="0" w:color="000000"/>
                  </w:tcBorders>
                  <w:tcMar>
                    <w:top w:w="15" w:type="dxa"/>
                    <w:left w:w="15" w:type="dxa"/>
                    <w:bottom w:w="15" w:type="dxa"/>
                    <w:right w:w="15" w:type="dxa"/>
                  </w:tcMar>
                  <w:vAlign w:val="center"/>
                </w:tcPr>
                <w:p w14:paraId="21594CA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Właściwa konstrukcja zespołu urządzeń</w:t>
                  </w:r>
                </w:p>
              </w:tc>
              <w:tc>
                <w:tcPr>
                  <w:tcW w:w="4101" w:type="dxa"/>
                  <w:tcBorders>
                    <w:bottom w:val="single" w:sz="8" w:space="0" w:color="000000"/>
                    <w:right w:val="single" w:sz="8" w:space="0" w:color="000000"/>
                  </w:tcBorders>
                  <w:tcMar>
                    <w:top w:w="15" w:type="dxa"/>
                    <w:left w:w="15" w:type="dxa"/>
                    <w:bottom w:w="15" w:type="dxa"/>
                    <w:right w:w="15" w:type="dxa"/>
                  </w:tcMar>
                  <w:vAlign w:val="center"/>
                </w:tcPr>
                <w:p w14:paraId="79DF5DA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Obejmuje to zapewnienie systemu odzysku gazu o wystarczającej przepustowości i wykorzystywanie zaworów bezpieczeństwa o wysokim poziomie integralności.</w:t>
                  </w:r>
                </w:p>
              </w:tc>
              <w:tc>
                <w:tcPr>
                  <w:tcW w:w="3076" w:type="dxa"/>
                  <w:tcBorders>
                    <w:bottom w:val="single" w:sz="8" w:space="0" w:color="000000"/>
                  </w:tcBorders>
                  <w:tcMar>
                    <w:top w:w="15" w:type="dxa"/>
                    <w:left w:w="15" w:type="dxa"/>
                    <w:bottom w:w="15" w:type="dxa"/>
                    <w:right w:w="15" w:type="dxa"/>
                  </w:tcMar>
                  <w:vAlign w:val="center"/>
                </w:tcPr>
                <w:p w14:paraId="0919344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Ogólne zastosowanie do nowych zespołów urządzeń. W istniejących zespołach urządzeń można zmodernizować system odzysku gazu.</w:t>
                  </w:r>
                </w:p>
              </w:tc>
            </w:tr>
            <w:tr w:rsidR="00E02F30" w:rsidRPr="00E02F30" w14:paraId="624A00CA" w14:textId="77777777" w:rsidTr="00A1631B">
              <w:trPr>
                <w:trHeight w:val="48"/>
                <w:tblCellSpacing w:w="0" w:type="auto"/>
              </w:trPr>
              <w:tc>
                <w:tcPr>
                  <w:tcW w:w="716" w:type="dxa"/>
                  <w:tcBorders>
                    <w:bottom w:val="single" w:sz="8" w:space="0" w:color="000000"/>
                    <w:right w:val="single" w:sz="8" w:space="0" w:color="000000"/>
                  </w:tcBorders>
                  <w:tcMar>
                    <w:top w:w="15" w:type="dxa"/>
                    <w:left w:w="15" w:type="dxa"/>
                    <w:bottom w:w="15" w:type="dxa"/>
                    <w:right w:w="15" w:type="dxa"/>
                  </w:tcMar>
                  <w:vAlign w:val="center"/>
                </w:tcPr>
                <w:p w14:paraId="76BD8B5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w:t>
                  </w:r>
                </w:p>
              </w:tc>
              <w:tc>
                <w:tcPr>
                  <w:tcW w:w="2255" w:type="dxa"/>
                  <w:tcBorders>
                    <w:bottom w:val="single" w:sz="8" w:space="0" w:color="000000"/>
                    <w:right w:val="single" w:sz="8" w:space="0" w:color="000000"/>
                  </w:tcBorders>
                  <w:tcMar>
                    <w:top w:w="15" w:type="dxa"/>
                    <w:left w:w="15" w:type="dxa"/>
                    <w:bottom w:w="15" w:type="dxa"/>
                    <w:right w:w="15" w:type="dxa"/>
                  </w:tcMar>
                  <w:vAlign w:val="center"/>
                </w:tcPr>
                <w:p w14:paraId="6096BC8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Zarządzanie zespołem urządzeń</w:t>
                  </w:r>
                </w:p>
              </w:tc>
              <w:tc>
                <w:tcPr>
                  <w:tcW w:w="4101" w:type="dxa"/>
                  <w:tcBorders>
                    <w:bottom w:val="single" w:sz="8" w:space="0" w:color="000000"/>
                    <w:right w:val="single" w:sz="8" w:space="0" w:color="000000"/>
                  </w:tcBorders>
                  <w:tcMar>
                    <w:top w:w="15" w:type="dxa"/>
                    <w:left w:w="15" w:type="dxa"/>
                    <w:bottom w:w="15" w:type="dxa"/>
                    <w:right w:w="15" w:type="dxa"/>
                  </w:tcMar>
                  <w:vAlign w:val="center"/>
                </w:tcPr>
                <w:p w14:paraId="11CC5F7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Obejmuje to bilansowanie systemu paliwa gazowego i stosowanie zaawansowanej kontroli procesu.</w:t>
                  </w:r>
                </w:p>
              </w:tc>
              <w:tc>
                <w:tcPr>
                  <w:tcW w:w="3076" w:type="dxa"/>
                  <w:tcBorders>
                    <w:bottom w:val="single" w:sz="8" w:space="0" w:color="000000"/>
                  </w:tcBorders>
                  <w:tcMar>
                    <w:top w:w="15" w:type="dxa"/>
                    <w:left w:w="15" w:type="dxa"/>
                    <w:bottom w:w="15" w:type="dxa"/>
                    <w:right w:w="15" w:type="dxa"/>
                  </w:tcMar>
                  <w:vAlign w:val="center"/>
                </w:tcPr>
                <w:p w14:paraId="6878185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ogólne</w:t>
                  </w:r>
                </w:p>
              </w:tc>
            </w:tr>
          </w:tbl>
          <w:p w14:paraId="4C0D4104"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3CA4EA79" w14:textId="77777777" w:rsidTr="00A1631B">
        <w:trPr>
          <w:trHeight w:val="284"/>
        </w:trPr>
        <w:tc>
          <w:tcPr>
            <w:tcW w:w="2552" w:type="dxa"/>
            <w:gridSpan w:val="3"/>
            <w:shd w:val="clear" w:color="auto" w:fill="auto"/>
          </w:tcPr>
          <w:p w14:paraId="6AC2B251"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A3FAB29"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080" w:type="dxa"/>
            <w:gridSpan w:val="2"/>
            <w:shd w:val="clear" w:color="auto" w:fill="auto"/>
          </w:tcPr>
          <w:p w14:paraId="079626A7"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26559795"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Cs/>
                <w:sz w:val="20"/>
                <w:szCs w:val="20"/>
                <w:lang w:eastAsia="pl-PL"/>
              </w:rPr>
              <w:t>W instalacjach nie jest eksploatowana pochodnia.</w:t>
            </w:r>
          </w:p>
        </w:tc>
      </w:tr>
      <w:tr w:rsidR="00E02F30" w:rsidRPr="00E02F30" w14:paraId="11C43FAE" w14:textId="77777777" w:rsidTr="00A1631B">
        <w:trPr>
          <w:trHeight w:val="284"/>
        </w:trPr>
        <w:tc>
          <w:tcPr>
            <w:tcW w:w="10632" w:type="dxa"/>
            <w:gridSpan w:val="5"/>
            <w:shd w:val="clear" w:color="auto" w:fill="auto"/>
          </w:tcPr>
          <w:p w14:paraId="1DC3F867"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18.</w:t>
            </w:r>
          </w:p>
          <w:p w14:paraId="021D561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Aby ograniczyć emisje do powietrza pochodzące z pochodni w przypadkach, w których spalanie w pochodni jest nieuniknione, w ramach BAT należy stosować jedną lub obydwie z poniższych technik.</w:t>
            </w:r>
          </w:p>
          <w:tbl>
            <w:tblPr>
              <w:tblW w:w="0" w:type="auto"/>
              <w:tblCellSpacing w:w="0" w:type="auto"/>
              <w:tblBorders>
                <w:top w:val="single" w:sz="8" w:space="0" w:color="000000"/>
                <w:bottom w:val="single" w:sz="8" w:space="0" w:color="000000"/>
              </w:tblBorders>
              <w:tblLayout w:type="fixed"/>
              <w:tblLook w:val="04A0" w:firstRow="1" w:lastRow="0" w:firstColumn="1" w:lastColumn="0" w:noHBand="0" w:noVBand="1"/>
            </w:tblPr>
            <w:tblGrid>
              <w:gridCol w:w="712"/>
              <w:gridCol w:w="2242"/>
              <w:gridCol w:w="4076"/>
              <w:gridCol w:w="3058"/>
            </w:tblGrid>
            <w:tr w:rsidR="00E02F30" w:rsidRPr="00E02F30" w14:paraId="5DC3827B" w14:textId="77777777" w:rsidTr="00A1631B">
              <w:trPr>
                <w:trHeight w:val="45"/>
                <w:tblCellSpacing w:w="0" w:type="auto"/>
              </w:trPr>
              <w:tc>
                <w:tcPr>
                  <w:tcW w:w="712" w:type="dxa"/>
                  <w:tcBorders>
                    <w:bottom w:val="single" w:sz="8" w:space="0" w:color="000000"/>
                    <w:right w:val="single" w:sz="8" w:space="0" w:color="000000"/>
                  </w:tcBorders>
                  <w:tcMar>
                    <w:top w:w="15" w:type="dxa"/>
                    <w:left w:w="15" w:type="dxa"/>
                    <w:bottom w:w="15" w:type="dxa"/>
                    <w:right w:w="15" w:type="dxa"/>
                  </w:tcMar>
                  <w:vAlign w:val="center"/>
                </w:tcPr>
                <w:p w14:paraId="3A7CA5EB" w14:textId="77777777" w:rsidR="00E02F30" w:rsidRPr="00E02F30" w:rsidRDefault="00E02F30" w:rsidP="00E02F30">
                  <w:pPr>
                    <w:spacing w:after="0" w:line="240" w:lineRule="auto"/>
                    <w:rPr>
                      <w:rFonts w:eastAsia="Times New Roman" w:cs="Arial"/>
                      <w:sz w:val="20"/>
                      <w:szCs w:val="20"/>
                      <w:lang w:eastAsia="pl-PL"/>
                    </w:rPr>
                  </w:pPr>
                </w:p>
              </w:tc>
              <w:tc>
                <w:tcPr>
                  <w:tcW w:w="2242" w:type="dxa"/>
                  <w:tcBorders>
                    <w:bottom w:val="single" w:sz="8" w:space="0" w:color="000000"/>
                    <w:right w:val="single" w:sz="8" w:space="0" w:color="000000"/>
                  </w:tcBorders>
                  <w:tcMar>
                    <w:top w:w="15" w:type="dxa"/>
                    <w:left w:w="15" w:type="dxa"/>
                    <w:bottom w:w="15" w:type="dxa"/>
                    <w:right w:w="15" w:type="dxa"/>
                  </w:tcMar>
                  <w:vAlign w:val="center"/>
                </w:tcPr>
                <w:p w14:paraId="5AF601F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Technika</w:t>
                  </w:r>
                </w:p>
              </w:tc>
              <w:tc>
                <w:tcPr>
                  <w:tcW w:w="4076" w:type="dxa"/>
                  <w:tcBorders>
                    <w:bottom w:val="single" w:sz="8" w:space="0" w:color="000000"/>
                    <w:right w:val="single" w:sz="8" w:space="0" w:color="000000"/>
                  </w:tcBorders>
                  <w:tcMar>
                    <w:top w:w="15" w:type="dxa"/>
                    <w:left w:w="15" w:type="dxa"/>
                    <w:bottom w:w="15" w:type="dxa"/>
                    <w:right w:w="15" w:type="dxa"/>
                  </w:tcMar>
                  <w:vAlign w:val="center"/>
                </w:tcPr>
                <w:p w14:paraId="2AB71AA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Opis</w:t>
                  </w:r>
                </w:p>
              </w:tc>
              <w:tc>
                <w:tcPr>
                  <w:tcW w:w="3058" w:type="dxa"/>
                  <w:tcBorders>
                    <w:bottom w:val="single" w:sz="8" w:space="0" w:color="000000"/>
                  </w:tcBorders>
                  <w:tcMar>
                    <w:top w:w="15" w:type="dxa"/>
                    <w:left w:w="15" w:type="dxa"/>
                    <w:bottom w:w="15" w:type="dxa"/>
                    <w:right w:w="15" w:type="dxa"/>
                  </w:tcMar>
                  <w:vAlign w:val="center"/>
                </w:tcPr>
                <w:p w14:paraId="4D8761E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w:t>
                  </w:r>
                </w:p>
              </w:tc>
            </w:tr>
            <w:tr w:rsidR="00E02F30" w:rsidRPr="00E02F30" w14:paraId="3E1B6663" w14:textId="77777777" w:rsidTr="00A1631B">
              <w:trPr>
                <w:trHeight w:val="45"/>
                <w:tblCellSpacing w:w="0" w:type="auto"/>
              </w:trPr>
              <w:tc>
                <w:tcPr>
                  <w:tcW w:w="712" w:type="dxa"/>
                  <w:tcBorders>
                    <w:bottom w:val="single" w:sz="8" w:space="0" w:color="000000"/>
                    <w:right w:val="single" w:sz="8" w:space="0" w:color="000000"/>
                  </w:tcBorders>
                  <w:tcMar>
                    <w:top w:w="15" w:type="dxa"/>
                    <w:left w:w="15" w:type="dxa"/>
                    <w:bottom w:w="15" w:type="dxa"/>
                    <w:right w:w="15" w:type="dxa"/>
                  </w:tcMar>
                  <w:vAlign w:val="center"/>
                </w:tcPr>
                <w:p w14:paraId="30717EE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w:t>
                  </w:r>
                </w:p>
              </w:tc>
              <w:tc>
                <w:tcPr>
                  <w:tcW w:w="2242" w:type="dxa"/>
                  <w:tcBorders>
                    <w:bottom w:val="single" w:sz="8" w:space="0" w:color="000000"/>
                    <w:right w:val="single" w:sz="8" w:space="0" w:color="000000"/>
                  </w:tcBorders>
                  <w:tcMar>
                    <w:top w:w="15" w:type="dxa"/>
                    <w:left w:w="15" w:type="dxa"/>
                    <w:bottom w:w="15" w:type="dxa"/>
                    <w:right w:w="15" w:type="dxa"/>
                  </w:tcMar>
                  <w:vAlign w:val="center"/>
                </w:tcPr>
                <w:p w14:paraId="0D1F2690"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Właściwa konstrukcja urządzeń do spalania w pochodni</w:t>
                  </w:r>
                </w:p>
              </w:tc>
              <w:tc>
                <w:tcPr>
                  <w:tcW w:w="4076" w:type="dxa"/>
                  <w:tcBorders>
                    <w:bottom w:val="single" w:sz="8" w:space="0" w:color="000000"/>
                    <w:right w:val="single" w:sz="8" w:space="0" w:color="000000"/>
                  </w:tcBorders>
                  <w:tcMar>
                    <w:top w:w="15" w:type="dxa"/>
                    <w:left w:w="15" w:type="dxa"/>
                    <w:bottom w:w="15" w:type="dxa"/>
                    <w:right w:w="15" w:type="dxa"/>
                  </w:tcMar>
                  <w:vAlign w:val="center"/>
                </w:tcPr>
                <w:p w14:paraId="7F171B5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Optymalizacja wysokości, ciśnienie, wspomaganie parą, powietrzem lub gazem, rodzaj końcówek pochodni (zamknięte lub osłonięte), itp. w celu umożliwienia przeprowadzania bezdymnych i skutecznych operacji oraz zapewnienia efektywnego spalania nadwyżek gazów.</w:t>
                  </w:r>
                </w:p>
              </w:tc>
              <w:tc>
                <w:tcPr>
                  <w:tcW w:w="3058" w:type="dxa"/>
                  <w:tcBorders>
                    <w:bottom w:val="single" w:sz="8" w:space="0" w:color="000000"/>
                  </w:tcBorders>
                  <w:tcMar>
                    <w:top w:w="15" w:type="dxa"/>
                    <w:left w:w="15" w:type="dxa"/>
                    <w:bottom w:w="15" w:type="dxa"/>
                    <w:right w:w="15" w:type="dxa"/>
                  </w:tcMar>
                  <w:vAlign w:val="center"/>
                </w:tcPr>
                <w:p w14:paraId="34806E7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Technika ma zastosowanie do nowych pochodni. W przypadku istniejących instalacji możliwość zastosowania może być ograniczona ze względu na np. czas obsługi technicznej podczas przerwy w eksploatacji zespołu urządzeń.</w:t>
                  </w:r>
                </w:p>
              </w:tc>
            </w:tr>
            <w:tr w:rsidR="00E02F30" w:rsidRPr="00E02F30" w14:paraId="58164949" w14:textId="77777777" w:rsidTr="00A1631B">
              <w:trPr>
                <w:trHeight w:val="45"/>
                <w:tblCellSpacing w:w="0" w:type="auto"/>
              </w:trPr>
              <w:tc>
                <w:tcPr>
                  <w:tcW w:w="712" w:type="dxa"/>
                  <w:tcBorders>
                    <w:bottom w:val="single" w:sz="8" w:space="0" w:color="000000"/>
                    <w:right w:val="single" w:sz="8" w:space="0" w:color="000000"/>
                  </w:tcBorders>
                  <w:tcMar>
                    <w:top w:w="15" w:type="dxa"/>
                    <w:left w:w="15" w:type="dxa"/>
                    <w:bottom w:w="15" w:type="dxa"/>
                    <w:right w:w="15" w:type="dxa"/>
                  </w:tcMar>
                  <w:vAlign w:val="center"/>
                </w:tcPr>
                <w:p w14:paraId="3C33A78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w:t>
                  </w:r>
                </w:p>
              </w:tc>
              <w:tc>
                <w:tcPr>
                  <w:tcW w:w="2242" w:type="dxa"/>
                  <w:tcBorders>
                    <w:bottom w:val="single" w:sz="8" w:space="0" w:color="000000"/>
                    <w:right w:val="single" w:sz="8" w:space="0" w:color="000000"/>
                  </w:tcBorders>
                  <w:tcMar>
                    <w:top w:w="15" w:type="dxa"/>
                    <w:left w:w="15" w:type="dxa"/>
                    <w:bottom w:w="15" w:type="dxa"/>
                    <w:right w:w="15" w:type="dxa"/>
                  </w:tcMar>
                  <w:vAlign w:val="center"/>
                </w:tcPr>
                <w:p w14:paraId="24AF9FE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Monitorowanie i rejestrowanie danych w ramach zarządzania pochodniami</w:t>
                  </w:r>
                </w:p>
              </w:tc>
              <w:tc>
                <w:tcPr>
                  <w:tcW w:w="4076" w:type="dxa"/>
                  <w:tcBorders>
                    <w:bottom w:val="single" w:sz="8" w:space="0" w:color="000000"/>
                    <w:right w:val="single" w:sz="8" w:space="0" w:color="000000"/>
                  </w:tcBorders>
                  <w:tcMar>
                    <w:top w:w="15" w:type="dxa"/>
                    <w:left w:w="15" w:type="dxa"/>
                    <w:bottom w:w="15" w:type="dxa"/>
                    <w:right w:w="15" w:type="dxa"/>
                  </w:tcMar>
                  <w:vAlign w:val="center"/>
                </w:tcPr>
                <w:p w14:paraId="0096D018"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Stałe monitorowanie gazu wysyłanego do pochodni, pomiary przepływu gazu i ocena innych parametrów (np. skład, zawartość ciepła, współczynnik wspomagania, prędkość, natężenie przepływu gazów odlotowych, emisje zanieczyszczeń (np. </w:t>
                  </w:r>
                  <w:proofErr w:type="spellStart"/>
                  <w:r w:rsidRPr="00E02F30">
                    <w:rPr>
                      <w:rFonts w:eastAsia="Times New Roman" w:cs="Arial"/>
                      <w:sz w:val="20"/>
                      <w:szCs w:val="20"/>
                      <w:lang w:eastAsia="pl-PL"/>
                    </w:rPr>
                    <w:t>NO</w:t>
                  </w:r>
                  <w:r w:rsidRPr="00E02F30">
                    <w:rPr>
                      <w:rFonts w:eastAsia="Times New Roman" w:cs="Arial"/>
                      <w:sz w:val="20"/>
                      <w:szCs w:val="20"/>
                      <w:vertAlign w:val="subscript"/>
                      <w:lang w:eastAsia="pl-PL"/>
                    </w:rPr>
                    <w:t>x</w:t>
                  </w:r>
                  <w:proofErr w:type="spellEnd"/>
                  <w:r w:rsidRPr="00E02F30">
                    <w:rPr>
                      <w:rFonts w:eastAsia="Times New Roman" w:cs="Arial"/>
                      <w:sz w:val="20"/>
                      <w:szCs w:val="20"/>
                      <w:lang w:eastAsia="pl-PL"/>
                    </w:rPr>
                    <w:t>, CO, węglowodorów, hałasu). Rejestrowanie przypadków spalania w pochodni obejmuje zazwyczaj oszacowany/ zmierzony skład gazu spalanego w pochodniach, oszacowaną/zmierzoną ilość gazu spalanego w pochodniach i czas trwania operacji. Rejestrowanie umożliwia ilościowe oznaczenie emisji i zapobieganie przyszłym przypadkom spalania.</w:t>
                  </w:r>
                </w:p>
              </w:tc>
              <w:tc>
                <w:tcPr>
                  <w:tcW w:w="3058" w:type="dxa"/>
                  <w:tcBorders>
                    <w:bottom w:val="single" w:sz="8" w:space="0" w:color="000000"/>
                  </w:tcBorders>
                  <w:tcMar>
                    <w:top w:w="15" w:type="dxa"/>
                    <w:left w:w="15" w:type="dxa"/>
                    <w:bottom w:w="15" w:type="dxa"/>
                    <w:right w:w="15" w:type="dxa"/>
                  </w:tcMar>
                  <w:vAlign w:val="center"/>
                </w:tcPr>
                <w:p w14:paraId="34B9D46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Zastosowanie ogólne</w:t>
                  </w:r>
                </w:p>
              </w:tc>
            </w:tr>
          </w:tbl>
          <w:p w14:paraId="6A066100"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0F816E10" w14:textId="77777777" w:rsidTr="00A1631B">
        <w:trPr>
          <w:trHeight w:val="284"/>
        </w:trPr>
        <w:tc>
          <w:tcPr>
            <w:tcW w:w="2552" w:type="dxa"/>
            <w:gridSpan w:val="3"/>
            <w:shd w:val="clear" w:color="auto" w:fill="auto"/>
          </w:tcPr>
          <w:p w14:paraId="30CBA14C"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0EF7A519"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080" w:type="dxa"/>
            <w:gridSpan w:val="2"/>
            <w:shd w:val="clear" w:color="auto" w:fill="auto"/>
          </w:tcPr>
          <w:p w14:paraId="4D85644E"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1165F555"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Cs/>
                <w:sz w:val="20"/>
                <w:szCs w:val="20"/>
                <w:lang w:eastAsia="pl-PL"/>
              </w:rPr>
              <w:t>W instalacjach nie jest eksploatowana pochodnia.</w:t>
            </w:r>
          </w:p>
        </w:tc>
      </w:tr>
      <w:tr w:rsidR="00E02F30" w:rsidRPr="00E02F30" w14:paraId="78F18921" w14:textId="77777777" w:rsidTr="00A1631B">
        <w:trPr>
          <w:trHeight w:val="284"/>
        </w:trPr>
        <w:tc>
          <w:tcPr>
            <w:tcW w:w="10632" w:type="dxa"/>
            <w:gridSpan w:val="5"/>
            <w:shd w:val="clear" w:color="auto" w:fill="auto"/>
          </w:tcPr>
          <w:p w14:paraId="7368076B"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Emisje rozproszone LZO do powietrza</w:t>
            </w:r>
          </w:p>
        </w:tc>
      </w:tr>
      <w:tr w:rsidR="00E02F30" w:rsidRPr="00E02F30" w14:paraId="681B99A2" w14:textId="77777777" w:rsidTr="00A1631B">
        <w:trPr>
          <w:trHeight w:val="284"/>
        </w:trPr>
        <w:tc>
          <w:tcPr>
            <w:tcW w:w="10632" w:type="dxa"/>
            <w:gridSpan w:val="5"/>
            <w:shd w:val="clear" w:color="auto" w:fill="auto"/>
          </w:tcPr>
          <w:p w14:paraId="6526C187" w14:textId="77777777" w:rsidR="00E02F30" w:rsidRPr="00E02F30" w:rsidRDefault="00E02F30" w:rsidP="00E02F30">
            <w:pPr>
              <w:spacing w:after="0" w:line="240" w:lineRule="auto"/>
              <w:rPr>
                <w:rFonts w:eastAsia="Times New Roman" w:cs="Arial"/>
                <w:b/>
                <w:bCs/>
                <w:sz w:val="20"/>
                <w:szCs w:val="20"/>
                <w:lang w:eastAsia="pl-PL"/>
              </w:rPr>
            </w:pPr>
            <w:r w:rsidRPr="00E02F30">
              <w:rPr>
                <w:rFonts w:eastAsia="Times New Roman" w:cs="Arial"/>
                <w:b/>
                <w:bCs/>
                <w:sz w:val="20"/>
                <w:szCs w:val="20"/>
                <w:lang w:eastAsia="pl-PL"/>
              </w:rPr>
              <w:t>BAT 19.</w:t>
            </w:r>
          </w:p>
          <w:p w14:paraId="1ADB52B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 celu zapobiegania emisjom rozproszonym LZO lub, jeżeli jest to niemożliwe, ich ograniczenia, w ramach BAT należy stosować jedną z następujących technik lub ich kombinację.</w:t>
            </w:r>
          </w:p>
          <w:tbl>
            <w:tblPr>
              <w:tblW w:w="0" w:type="auto"/>
              <w:tblCellSpacing w:w="0" w:type="auto"/>
              <w:tblBorders>
                <w:top w:val="single" w:sz="8" w:space="0" w:color="000000"/>
                <w:bottom w:val="single" w:sz="8" w:space="0" w:color="000000"/>
              </w:tblBorders>
              <w:tblLayout w:type="fixed"/>
              <w:tblLook w:val="04A0" w:firstRow="1" w:lastRow="0" w:firstColumn="1" w:lastColumn="0" w:noHBand="0" w:noVBand="1"/>
            </w:tblPr>
            <w:tblGrid>
              <w:gridCol w:w="714"/>
              <w:gridCol w:w="5620"/>
              <w:gridCol w:w="3782"/>
            </w:tblGrid>
            <w:tr w:rsidR="00E02F30" w:rsidRPr="00E02F30" w14:paraId="72CD51B2" w14:textId="77777777" w:rsidTr="00A1631B">
              <w:trPr>
                <w:trHeight w:val="46"/>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6B008420" w14:textId="77777777" w:rsidR="00E02F30" w:rsidRPr="00E02F30" w:rsidRDefault="00E02F30" w:rsidP="00E02F30">
                  <w:pPr>
                    <w:spacing w:after="0" w:line="240" w:lineRule="auto"/>
                    <w:rPr>
                      <w:rFonts w:eastAsia="Times New Roman" w:cs="Arial"/>
                      <w:sz w:val="20"/>
                      <w:szCs w:val="20"/>
                      <w:lang w:eastAsia="pl-PL"/>
                    </w:rPr>
                  </w:pPr>
                </w:p>
              </w:tc>
              <w:tc>
                <w:tcPr>
                  <w:tcW w:w="5620" w:type="dxa"/>
                  <w:tcBorders>
                    <w:bottom w:val="single" w:sz="8" w:space="0" w:color="000000"/>
                    <w:right w:val="single" w:sz="8" w:space="0" w:color="000000"/>
                  </w:tcBorders>
                  <w:tcMar>
                    <w:top w:w="15" w:type="dxa"/>
                    <w:left w:w="15" w:type="dxa"/>
                    <w:bottom w:w="15" w:type="dxa"/>
                    <w:right w:w="15" w:type="dxa"/>
                  </w:tcMar>
                  <w:vAlign w:val="center"/>
                </w:tcPr>
                <w:p w14:paraId="0DD9BD6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Technika</w:t>
                  </w:r>
                </w:p>
              </w:tc>
              <w:tc>
                <w:tcPr>
                  <w:tcW w:w="3781" w:type="dxa"/>
                  <w:tcBorders>
                    <w:bottom w:val="single" w:sz="8" w:space="0" w:color="000000"/>
                  </w:tcBorders>
                  <w:tcMar>
                    <w:top w:w="15" w:type="dxa"/>
                    <w:left w:w="15" w:type="dxa"/>
                    <w:bottom w:w="15" w:type="dxa"/>
                    <w:right w:w="15" w:type="dxa"/>
                  </w:tcMar>
                  <w:vAlign w:val="center"/>
                </w:tcPr>
                <w:p w14:paraId="7544FDE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w:t>
                  </w:r>
                </w:p>
              </w:tc>
            </w:tr>
            <w:tr w:rsidR="00E02F30" w:rsidRPr="00E02F30" w14:paraId="7EFF5AFC" w14:textId="77777777" w:rsidTr="00A1631B">
              <w:trPr>
                <w:trHeight w:val="46"/>
                <w:tblCellSpacing w:w="0" w:type="auto"/>
              </w:trPr>
              <w:tc>
                <w:tcPr>
                  <w:tcW w:w="10116" w:type="dxa"/>
                  <w:gridSpan w:val="3"/>
                  <w:tcBorders>
                    <w:bottom w:val="single" w:sz="8" w:space="0" w:color="000000"/>
                  </w:tcBorders>
                  <w:tcMar>
                    <w:top w:w="15" w:type="dxa"/>
                    <w:left w:w="15" w:type="dxa"/>
                    <w:bottom w:w="15" w:type="dxa"/>
                    <w:right w:w="15" w:type="dxa"/>
                  </w:tcMar>
                  <w:vAlign w:val="center"/>
                </w:tcPr>
                <w:p w14:paraId="49C3FE4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i/>
                      <w:sz w:val="20"/>
                      <w:szCs w:val="20"/>
                      <w:lang w:eastAsia="pl-PL"/>
                    </w:rPr>
                    <w:t>Techniki związane z konstrukcją zespołu urządzeń</w:t>
                  </w:r>
                </w:p>
              </w:tc>
            </w:tr>
            <w:tr w:rsidR="00E02F30" w:rsidRPr="00E02F30" w14:paraId="6DF86D1B" w14:textId="77777777" w:rsidTr="00A1631B">
              <w:trPr>
                <w:trHeight w:val="46"/>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25526A4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w:t>
                  </w:r>
                </w:p>
              </w:tc>
              <w:tc>
                <w:tcPr>
                  <w:tcW w:w="5620" w:type="dxa"/>
                  <w:tcBorders>
                    <w:bottom w:val="single" w:sz="8" w:space="0" w:color="000000"/>
                    <w:right w:val="single" w:sz="8" w:space="0" w:color="000000"/>
                  </w:tcBorders>
                  <w:tcMar>
                    <w:top w:w="15" w:type="dxa"/>
                    <w:left w:w="15" w:type="dxa"/>
                    <w:bottom w:w="15" w:type="dxa"/>
                    <w:right w:w="15" w:type="dxa"/>
                  </w:tcMar>
                  <w:vAlign w:val="center"/>
                </w:tcPr>
                <w:p w14:paraId="65C44C5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Ograniczenie liczby ewentualnych źródeł emisji</w:t>
                  </w:r>
                </w:p>
              </w:tc>
              <w:tc>
                <w:tcPr>
                  <w:tcW w:w="3781" w:type="dxa"/>
                  <w:vMerge w:val="restart"/>
                  <w:tcBorders>
                    <w:bottom w:val="single" w:sz="8" w:space="0" w:color="000000"/>
                  </w:tcBorders>
                  <w:tcMar>
                    <w:top w:w="15" w:type="dxa"/>
                    <w:left w:w="15" w:type="dxa"/>
                    <w:bottom w:w="15" w:type="dxa"/>
                    <w:right w:w="15" w:type="dxa"/>
                  </w:tcMar>
                  <w:vAlign w:val="center"/>
                </w:tcPr>
                <w:p w14:paraId="36B2371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Możliwość zastosowania może być ograniczona w przypadku istniejących zespołów urządzeń ze względu na wymagania eksploatacyjne.</w:t>
                  </w:r>
                </w:p>
              </w:tc>
            </w:tr>
            <w:tr w:rsidR="00E02F30" w:rsidRPr="00E02F30" w14:paraId="15D81D1B" w14:textId="77777777" w:rsidTr="00A1631B">
              <w:trPr>
                <w:trHeight w:val="46"/>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6E7E996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w:t>
                  </w:r>
                </w:p>
              </w:tc>
              <w:tc>
                <w:tcPr>
                  <w:tcW w:w="5620" w:type="dxa"/>
                  <w:tcBorders>
                    <w:bottom w:val="single" w:sz="8" w:space="0" w:color="000000"/>
                    <w:right w:val="single" w:sz="8" w:space="0" w:color="000000"/>
                  </w:tcBorders>
                  <w:tcMar>
                    <w:top w:w="15" w:type="dxa"/>
                    <w:left w:w="15" w:type="dxa"/>
                    <w:bottom w:w="15" w:type="dxa"/>
                    <w:right w:w="15" w:type="dxa"/>
                  </w:tcMar>
                  <w:vAlign w:val="center"/>
                </w:tcPr>
                <w:p w14:paraId="09CFA9D0"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Zmaksymalizowanie środków uszczelniających właściwych dla procesu</w:t>
                  </w:r>
                </w:p>
              </w:tc>
              <w:tc>
                <w:tcPr>
                  <w:tcW w:w="3781" w:type="dxa"/>
                  <w:vMerge/>
                  <w:tcBorders>
                    <w:top w:val="nil"/>
                    <w:bottom w:val="single" w:sz="8" w:space="0" w:color="000000"/>
                  </w:tcBorders>
                </w:tcPr>
                <w:p w14:paraId="7EB2363F" w14:textId="77777777" w:rsidR="00E02F30" w:rsidRPr="00E02F30" w:rsidRDefault="00E02F30" w:rsidP="00E02F30">
                  <w:pPr>
                    <w:spacing w:after="0" w:line="240" w:lineRule="auto"/>
                    <w:rPr>
                      <w:rFonts w:eastAsia="Times New Roman" w:cs="Arial"/>
                      <w:sz w:val="20"/>
                      <w:szCs w:val="20"/>
                      <w:lang w:eastAsia="pl-PL"/>
                    </w:rPr>
                  </w:pPr>
                </w:p>
              </w:tc>
            </w:tr>
            <w:tr w:rsidR="00E02F30" w:rsidRPr="00E02F30" w14:paraId="5840D3E2" w14:textId="77777777" w:rsidTr="00A1631B">
              <w:trPr>
                <w:trHeight w:val="46"/>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1EE13EF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c)</w:t>
                  </w:r>
                </w:p>
              </w:tc>
              <w:tc>
                <w:tcPr>
                  <w:tcW w:w="5620" w:type="dxa"/>
                  <w:tcBorders>
                    <w:bottom w:val="single" w:sz="8" w:space="0" w:color="000000"/>
                    <w:right w:val="single" w:sz="8" w:space="0" w:color="000000"/>
                  </w:tcBorders>
                  <w:tcMar>
                    <w:top w:w="15" w:type="dxa"/>
                    <w:left w:w="15" w:type="dxa"/>
                    <w:bottom w:w="15" w:type="dxa"/>
                    <w:right w:w="15" w:type="dxa"/>
                  </w:tcMar>
                  <w:vAlign w:val="center"/>
                </w:tcPr>
                <w:p w14:paraId="423A7A3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Wybór urządzeń o wysokim poziomie integralności (zob. opis w pkt 6.2)</w:t>
                  </w:r>
                </w:p>
              </w:tc>
              <w:tc>
                <w:tcPr>
                  <w:tcW w:w="3781" w:type="dxa"/>
                  <w:vMerge/>
                  <w:tcBorders>
                    <w:top w:val="nil"/>
                    <w:bottom w:val="single" w:sz="8" w:space="0" w:color="000000"/>
                  </w:tcBorders>
                </w:tcPr>
                <w:p w14:paraId="586FE8BF" w14:textId="77777777" w:rsidR="00E02F30" w:rsidRPr="00E02F30" w:rsidRDefault="00E02F30" w:rsidP="00E02F30">
                  <w:pPr>
                    <w:spacing w:after="0" w:line="240" w:lineRule="auto"/>
                    <w:rPr>
                      <w:rFonts w:eastAsia="Times New Roman" w:cs="Arial"/>
                      <w:sz w:val="20"/>
                      <w:szCs w:val="20"/>
                      <w:lang w:eastAsia="pl-PL"/>
                    </w:rPr>
                  </w:pPr>
                </w:p>
              </w:tc>
            </w:tr>
            <w:tr w:rsidR="00E02F30" w:rsidRPr="00E02F30" w14:paraId="61A1E001" w14:textId="77777777" w:rsidTr="00A1631B">
              <w:trPr>
                <w:trHeight w:val="46"/>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4A0D5F8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d)</w:t>
                  </w:r>
                </w:p>
              </w:tc>
              <w:tc>
                <w:tcPr>
                  <w:tcW w:w="5620" w:type="dxa"/>
                  <w:tcBorders>
                    <w:bottom w:val="single" w:sz="8" w:space="0" w:color="000000"/>
                    <w:right w:val="single" w:sz="8" w:space="0" w:color="000000"/>
                  </w:tcBorders>
                  <w:tcMar>
                    <w:top w:w="15" w:type="dxa"/>
                    <w:left w:w="15" w:type="dxa"/>
                    <w:bottom w:w="15" w:type="dxa"/>
                    <w:right w:w="15" w:type="dxa"/>
                  </w:tcMar>
                  <w:vAlign w:val="center"/>
                </w:tcPr>
                <w:p w14:paraId="7E17142F" w14:textId="77777777" w:rsidR="00E02F30" w:rsidRPr="00E02F30" w:rsidRDefault="00E02F30" w:rsidP="00E02F30">
                  <w:pPr>
                    <w:keepNext/>
                    <w:widowControl w:val="0"/>
                    <w:suppressAutoHyphens/>
                    <w:snapToGrid w:val="0"/>
                    <w:spacing w:after="0" w:line="240" w:lineRule="auto"/>
                    <w:rPr>
                      <w:rFonts w:eastAsia="Times New Roman" w:cs="Arial"/>
                      <w:sz w:val="20"/>
                      <w:szCs w:val="20"/>
                      <w:lang w:eastAsia="pl-PL"/>
                    </w:rPr>
                  </w:pPr>
                  <w:r w:rsidRPr="00E02F30">
                    <w:rPr>
                      <w:rFonts w:eastAsia="Times New Roman" w:cs="Arial"/>
                      <w:sz w:val="20"/>
                      <w:szCs w:val="20"/>
                      <w:lang w:eastAsia="pl-PL"/>
                    </w:rPr>
                    <w:t>Poprawa działań związanych z obsługą techniczną dzięki zapewnieniu dostępu do elementów, w których mogą potencjalnie występować nieszczelności</w:t>
                  </w:r>
                </w:p>
              </w:tc>
              <w:tc>
                <w:tcPr>
                  <w:tcW w:w="3781" w:type="dxa"/>
                  <w:vMerge/>
                  <w:tcBorders>
                    <w:top w:val="nil"/>
                    <w:bottom w:val="single" w:sz="8" w:space="0" w:color="000000"/>
                  </w:tcBorders>
                </w:tcPr>
                <w:p w14:paraId="566E5439" w14:textId="77777777" w:rsidR="00E02F30" w:rsidRPr="00E02F30" w:rsidRDefault="00E02F30" w:rsidP="00E02F30">
                  <w:pPr>
                    <w:spacing w:after="0" w:line="240" w:lineRule="auto"/>
                    <w:rPr>
                      <w:rFonts w:eastAsia="Times New Roman" w:cs="Arial"/>
                      <w:sz w:val="20"/>
                      <w:szCs w:val="20"/>
                      <w:lang w:eastAsia="pl-PL"/>
                    </w:rPr>
                  </w:pPr>
                </w:p>
              </w:tc>
            </w:tr>
            <w:tr w:rsidR="00E02F30" w:rsidRPr="00E02F30" w14:paraId="27BC5743" w14:textId="77777777" w:rsidTr="00A1631B">
              <w:trPr>
                <w:trHeight w:val="46"/>
                <w:tblCellSpacing w:w="0" w:type="auto"/>
              </w:trPr>
              <w:tc>
                <w:tcPr>
                  <w:tcW w:w="10116" w:type="dxa"/>
                  <w:gridSpan w:val="3"/>
                  <w:tcBorders>
                    <w:bottom w:val="single" w:sz="8" w:space="0" w:color="000000"/>
                  </w:tcBorders>
                  <w:tcMar>
                    <w:top w:w="15" w:type="dxa"/>
                    <w:left w:w="15" w:type="dxa"/>
                    <w:bottom w:w="15" w:type="dxa"/>
                    <w:right w:w="15" w:type="dxa"/>
                  </w:tcMar>
                  <w:vAlign w:val="center"/>
                </w:tcPr>
                <w:p w14:paraId="1A1B634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i/>
                      <w:sz w:val="20"/>
                      <w:szCs w:val="20"/>
                      <w:lang w:eastAsia="pl-PL"/>
                    </w:rPr>
                    <w:t>Techniki związane z budową zespołu urządzeń/wyposażenia, jego montażem i uruchomieniem</w:t>
                  </w:r>
                </w:p>
              </w:tc>
            </w:tr>
            <w:tr w:rsidR="00E02F30" w:rsidRPr="00E02F30" w14:paraId="5315CC41" w14:textId="77777777" w:rsidTr="00A1631B">
              <w:trPr>
                <w:trHeight w:val="46"/>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7F6C6F3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e)</w:t>
                  </w:r>
                </w:p>
              </w:tc>
              <w:tc>
                <w:tcPr>
                  <w:tcW w:w="5620" w:type="dxa"/>
                  <w:tcBorders>
                    <w:bottom w:val="single" w:sz="8" w:space="0" w:color="000000"/>
                    <w:right w:val="single" w:sz="8" w:space="0" w:color="000000"/>
                  </w:tcBorders>
                  <w:tcMar>
                    <w:top w:w="15" w:type="dxa"/>
                    <w:left w:w="15" w:type="dxa"/>
                    <w:bottom w:w="15" w:type="dxa"/>
                    <w:right w:w="15" w:type="dxa"/>
                  </w:tcMar>
                  <w:vAlign w:val="center"/>
                </w:tcPr>
                <w:p w14:paraId="7DF394E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Zapewnienie ściśle określonych i kompleksowych procedur dotyczących budowy i montażu zespołu urządzeń/wyposażenia. Obejmuje to wykorzystanie projektowanego naprężenia uszczelki dla połączenia kołnierzowego (zob. opis w pkt 6.2)</w:t>
                  </w:r>
                </w:p>
              </w:tc>
              <w:tc>
                <w:tcPr>
                  <w:tcW w:w="3781" w:type="dxa"/>
                  <w:vMerge w:val="restart"/>
                  <w:tcBorders>
                    <w:bottom w:val="single" w:sz="8" w:space="0" w:color="000000"/>
                  </w:tcBorders>
                  <w:tcMar>
                    <w:top w:w="15" w:type="dxa"/>
                    <w:left w:w="15" w:type="dxa"/>
                    <w:bottom w:w="15" w:type="dxa"/>
                    <w:right w:w="15" w:type="dxa"/>
                  </w:tcMar>
                  <w:vAlign w:val="center"/>
                </w:tcPr>
                <w:p w14:paraId="04A5435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 ogólne</w:t>
                  </w:r>
                </w:p>
              </w:tc>
            </w:tr>
            <w:tr w:rsidR="00E02F30" w:rsidRPr="00E02F30" w14:paraId="191207D6" w14:textId="77777777" w:rsidTr="00A1631B">
              <w:trPr>
                <w:trHeight w:val="46"/>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0649BD6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f)</w:t>
                  </w:r>
                </w:p>
              </w:tc>
              <w:tc>
                <w:tcPr>
                  <w:tcW w:w="5620" w:type="dxa"/>
                  <w:tcBorders>
                    <w:bottom w:val="single" w:sz="8" w:space="0" w:color="000000"/>
                    <w:right w:val="single" w:sz="8" w:space="0" w:color="000000"/>
                  </w:tcBorders>
                  <w:tcMar>
                    <w:top w:w="15" w:type="dxa"/>
                    <w:left w:w="15" w:type="dxa"/>
                    <w:bottom w:w="15" w:type="dxa"/>
                    <w:right w:w="15" w:type="dxa"/>
                  </w:tcMar>
                  <w:vAlign w:val="center"/>
                </w:tcPr>
                <w:p w14:paraId="55F4899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Zapewnienie solidnych procedur uruchamiania zespołu urządzeń/wyposażenia i procedury przekazywania kontroli zgodnie z wymogami konstrukcyjnymi</w:t>
                  </w:r>
                </w:p>
              </w:tc>
              <w:tc>
                <w:tcPr>
                  <w:tcW w:w="3781" w:type="dxa"/>
                  <w:vMerge/>
                  <w:tcBorders>
                    <w:top w:val="nil"/>
                    <w:bottom w:val="single" w:sz="8" w:space="0" w:color="000000"/>
                  </w:tcBorders>
                </w:tcPr>
                <w:p w14:paraId="21501A6A" w14:textId="77777777" w:rsidR="00E02F30" w:rsidRPr="00E02F30" w:rsidRDefault="00E02F30" w:rsidP="00E02F30">
                  <w:pPr>
                    <w:spacing w:after="0" w:line="240" w:lineRule="auto"/>
                    <w:rPr>
                      <w:rFonts w:eastAsia="Times New Roman" w:cs="Arial"/>
                      <w:sz w:val="20"/>
                      <w:szCs w:val="20"/>
                      <w:lang w:eastAsia="pl-PL"/>
                    </w:rPr>
                  </w:pPr>
                </w:p>
              </w:tc>
            </w:tr>
            <w:tr w:rsidR="00E02F30" w:rsidRPr="00E02F30" w14:paraId="595909F3" w14:textId="77777777" w:rsidTr="00A1631B">
              <w:trPr>
                <w:trHeight w:val="46"/>
                <w:tblCellSpacing w:w="0" w:type="auto"/>
              </w:trPr>
              <w:tc>
                <w:tcPr>
                  <w:tcW w:w="10116" w:type="dxa"/>
                  <w:gridSpan w:val="3"/>
                  <w:tcBorders>
                    <w:bottom w:val="single" w:sz="8" w:space="0" w:color="000000"/>
                  </w:tcBorders>
                  <w:tcMar>
                    <w:top w:w="15" w:type="dxa"/>
                    <w:left w:w="15" w:type="dxa"/>
                    <w:bottom w:w="15" w:type="dxa"/>
                    <w:right w:w="15" w:type="dxa"/>
                  </w:tcMar>
                  <w:vAlign w:val="center"/>
                </w:tcPr>
                <w:p w14:paraId="63C3607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i/>
                      <w:sz w:val="20"/>
                      <w:szCs w:val="20"/>
                      <w:lang w:eastAsia="pl-PL"/>
                    </w:rPr>
                    <w:t>Techniki związane z eksploatacją zespołu urządzeń</w:t>
                  </w:r>
                </w:p>
              </w:tc>
            </w:tr>
            <w:tr w:rsidR="00E02F30" w:rsidRPr="00E02F30" w14:paraId="44D50F8C" w14:textId="77777777" w:rsidTr="00A1631B">
              <w:trPr>
                <w:trHeight w:val="46"/>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47DFA31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g)</w:t>
                  </w:r>
                </w:p>
              </w:tc>
              <w:tc>
                <w:tcPr>
                  <w:tcW w:w="5620" w:type="dxa"/>
                  <w:tcBorders>
                    <w:bottom w:val="single" w:sz="8" w:space="0" w:color="000000"/>
                    <w:right w:val="single" w:sz="8" w:space="0" w:color="000000"/>
                  </w:tcBorders>
                  <w:tcMar>
                    <w:top w:w="15" w:type="dxa"/>
                    <w:left w:w="15" w:type="dxa"/>
                    <w:bottom w:w="15" w:type="dxa"/>
                    <w:right w:w="15" w:type="dxa"/>
                  </w:tcMar>
                  <w:vAlign w:val="center"/>
                </w:tcPr>
                <w:p w14:paraId="698188B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Zapewnienie odpowiedniej obsługi technicznej i terminowej wymiany wyposażenia</w:t>
                  </w:r>
                </w:p>
              </w:tc>
              <w:tc>
                <w:tcPr>
                  <w:tcW w:w="3781" w:type="dxa"/>
                  <w:vMerge w:val="restart"/>
                  <w:tcBorders>
                    <w:bottom w:val="single" w:sz="8" w:space="0" w:color="000000"/>
                  </w:tcBorders>
                  <w:tcMar>
                    <w:top w:w="15" w:type="dxa"/>
                    <w:left w:w="15" w:type="dxa"/>
                    <w:bottom w:w="15" w:type="dxa"/>
                    <w:right w:w="15" w:type="dxa"/>
                  </w:tcMar>
                  <w:vAlign w:val="center"/>
                </w:tcPr>
                <w:p w14:paraId="2965E37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 ogólne</w:t>
                  </w:r>
                </w:p>
              </w:tc>
            </w:tr>
            <w:tr w:rsidR="00E02F30" w:rsidRPr="00E02F30" w14:paraId="55D6132F" w14:textId="77777777" w:rsidTr="00A1631B">
              <w:trPr>
                <w:trHeight w:val="46"/>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3CC23F3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h)</w:t>
                  </w:r>
                </w:p>
              </w:tc>
              <w:tc>
                <w:tcPr>
                  <w:tcW w:w="5620" w:type="dxa"/>
                  <w:tcBorders>
                    <w:bottom w:val="single" w:sz="8" w:space="0" w:color="000000"/>
                    <w:right w:val="single" w:sz="8" w:space="0" w:color="000000"/>
                  </w:tcBorders>
                  <w:tcMar>
                    <w:top w:w="15" w:type="dxa"/>
                    <w:left w:w="15" w:type="dxa"/>
                    <w:bottom w:w="15" w:type="dxa"/>
                    <w:right w:w="15" w:type="dxa"/>
                  </w:tcMar>
                  <w:vAlign w:val="center"/>
                </w:tcPr>
                <w:p w14:paraId="03009E5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Stosowanie programu wykrywania i naprawy nieszczelności (LDAR), opierającego się na analizie ryzyka (zob. opis w pkt 6.2)</w:t>
                  </w:r>
                </w:p>
              </w:tc>
              <w:tc>
                <w:tcPr>
                  <w:tcW w:w="3781" w:type="dxa"/>
                  <w:vMerge/>
                  <w:tcBorders>
                    <w:top w:val="nil"/>
                    <w:bottom w:val="single" w:sz="8" w:space="0" w:color="000000"/>
                  </w:tcBorders>
                </w:tcPr>
                <w:p w14:paraId="49C641C6" w14:textId="77777777" w:rsidR="00E02F30" w:rsidRPr="00E02F30" w:rsidRDefault="00E02F30" w:rsidP="00E02F30">
                  <w:pPr>
                    <w:spacing w:after="0" w:line="240" w:lineRule="auto"/>
                    <w:rPr>
                      <w:rFonts w:eastAsia="Times New Roman" w:cs="Arial"/>
                      <w:sz w:val="20"/>
                      <w:szCs w:val="20"/>
                      <w:lang w:eastAsia="pl-PL"/>
                    </w:rPr>
                  </w:pPr>
                </w:p>
              </w:tc>
            </w:tr>
            <w:tr w:rsidR="00E02F30" w:rsidRPr="00E02F30" w14:paraId="21192608" w14:textId="77777777" w:rsidTr="00A1631B">
              <w:trPr>
                <w:trHeight w:val="46"/>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10AAE32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w:t>
                  </w:r>
                </w:p>
              </w:tc>
              <w:tc>
                <w:tcPr>
                  <w:tcW w:w="5620" w:type="dxa"/>
                  <w:tcBorders>
                    <w:bottom w:val="single" w:sz="8" w:space="0" w:color="000000"/>
                    <w:right w:val="single" w:sz="8" w:space="0" w:color="000000"/>
                  </w:tcBorders>
                  <w:tcMar>
                    <w:top w:w="15" w:type="dxa"/>
                    <w:left w:w="15" w:type="dxa"/>
                    <w:bottom w:w="15" w:type="dxa"/>
                    <w:right w:w="15" w:type="dxa"/>
                  </w:tcMar>
                  <w:vAlign w:val="center"/>
                </w:tcPr>
                <w:p w14:paraId="06D8B99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 stopniu, w jakim jest to rozsądne, zapobieganie powstawaniu emisji rozproszonych LZO, zbieranie ich u źródła oraz poddawanie ich oczyszczeniu</w:t>
                  </w:r>
                </w:p>
              </w:tc>
              <w:tc>
                <w:tcPr>
                  <w:tcW w:w="3781" w:type="dxa"/>
                  <w:vMerge/>
                  <w:tcBorders>
                    <w:top w:val="nil"/>
                    <w:bottom w:val="single" w:sz="8" w:space="0" w:color="000000"/>
                  </w:tcBorders>
                </w:tcPr>
                <w:p w14:paraId="4354A3B5" w14:textId="77777777" w:rsidR="00E02F30" w:rsidRPr="00E02F30" w:rsidRDefault="00E02F30" w:rsidP="00E02F30">
                  <w:pPr>
                    <w:spacing w:after="0" w:line="240" w:lineRule="auto"/>
                    <w:rPr>
                      <w:rFonts w:eastAsia="Times New Roman" w:cs="Arial"/>
                      <w:sz w:val="20"/>
                      <w:szCs w:val="20"/>
                      <w:lang w:eastAsia="pl-PL"/>
                    </w:rPr>
                  </w:pPr>
                </w:p>
              </w:tc>
            </w:tr>
          </w:tbl>
          <w:p w14:paraId="5CD4BB20"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sz w:val="20"/>
                <w:szCs w:val="20"/>
                <w:lang w:eastAsia="pl-PL"/>
              </w:rPr>
              <w:t>Powiązany monitoring jest opisany w BAT 5.</w:t>
            </w:r>
          </w:p>
        </w:tc>
      </w:tr>
      <w:tr w:rsidR="00E02F30" w:rsidRPr="00E02F30" w14:paraId="4AA3E7DD" w14:textId="77777777" w:rsidTr="00A1631B">
        <w:trPr>
          <w:trHeight w:val="284"/>
        </w:trPr>
        <w:tc>
          <w:tcPr>
            <w:tcW w:w="2411" w:type="dxa"/>
            <w:gridSpan w:val="2"/>
            <w:shd w:val="clear" w:color="auto" w:fill="auto"/>
            <w:vAlign w:val="center"/>
          </w:tcPr>
          <w:p w14:paraId="05E1C1FC"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0DB83C3"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405AB7EA"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Zgodne</w:t>
            </w:r>
          </w:p>
          <w:p w14:paraId="734E714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 instalacji stosowane są techniki zapobiegania emisjom rozproszonym LZO do powietrza: </w:t>
            </w:r>
          </w:p>
          <w:p w14:paraId="235DD3B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 ograniczenie liczby źródeł, emisji i połączeń (minimalizacja długości rur, liczby złączy i zaworów, stosowanie spawanych kształtek i połączeń, stosowanie sprężonego powietrza do przemieszczania materiałów),</w:t>
            </w:r>
          </w:p>
          <w:p w14:paraId="61900299"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c) zastosowanie urządzeń o wysokim poziomie integralności (urządzenia takie jak pompy, sprężarki we wspólnej obudowie, zastosowanie certyfikowanych uszczelek wysokiej jakości, hermetyzacja procesów, praca instalacji w podciśnieniu),</w:t>
            </w:r>
          </w:p>
          <w:p w14:paraId="6CC08FB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g) odpowiednio przeszkolona załoga oraz nadzór nad procesami, urządzeniami uprawnionych pracowników, elementy instalacji są poddawane systematycznym kontrolom i przeglądom, a prowadzone procesy są monitorowane w sposób ciągły</w:t>
            </w:r>
          </w:p>
          <w:p w14:paraId="3256E53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Hermetyzacja wszystkich urządzeń, rurociągów i procesów oparta jest na podciśnieniu i ewentualne nieszczelności nie powodują emisji niezorganizowanej. </w:t>
            </w:r>
            <w:proofErr w:type="spellStart"/>
            <w:r w:rsidRPr="00E02F30">
              <w:rPr>
                <w:rFonts w:eastAsia="Times New Roman" w:cs="Arial"/>
                <w:bCs/>
                <w:sz w:val="20"/>
                <w:szCs w:val="20"/>
                <w:lang w:eastAsia="pl-PL"/>
              </w:rPr>
              <w:t>Odgazy</w:t>
            </w:r>
            <w:proofErr w:type="spellEnd"/>
            <w:r w:rsidRPr="00E02F30">
              <w:rPr>
                <w:rFonts w:eastAsia="Times New Roman" w:cs="Arial"/>
                <w:bCs/>
                <w:sz w:val="20"/>
                <w:szCs w:val="20"/>
                <w:lang w:eastAsia="pl-PL"/>
              </w:rPr>
              <w:t xml:space="preserve"> znad reaktorów, mieszalników, oraz zbiorników są kierowane do różnych środków technicznych i urządzeń oczyszczających. Prowadzony jest systematyczny nadzór instalacji pozwalający na szybkie rozpoznanie i reagowanie w przypadku wycieków. Prowadzone są również regularne przeglądy i konserwacje instalacji zgodnie z ustalonymi harmonogramami.</w:t>
            </w:r>
          </w:p>
        </w:tc>
      </w:tr>
      <w:tr w:rsidR="00E02F30" w:rsidRPr="00E02F30" w14:paraId="4157853D" w14:textId="77777777" w:rsidTr="00A1631B">
        <w:trPr>
          <w:trHeight w:val="284"/>
        </w:trPr>
        <w:tc>
          <w:tcPr>
            <w:tcW w:w="10632" w:type="dxa"/>
            <w:gridSpan w:val="5"/>
            <w:shd w:val="clear" w:color="auto" w:fill="auto"/>
          </w:tcPr>
          <w:p w14:paraId="0D02D950"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sz w:val="20"/>
                <w:szCs w:val="20"/>
                <w:lang w:eastAsia="pl-PL"/>
              </w:rPr>
              <w:t>Emisje odorów</w:t>
            </w:r>
          </w:p>
        </w:tc>
      </w:tr>
      <w:tr w:rsidR="00E02F30" w:rsidRPr="00E02F30" w14:paraId="1DAA7C17" w14:textId="77777777" w:rsidTr="00A1631B">
        <w:trPr>
          <w:trHeight w:val="284"/>
        </w:trPr>
        <w:tc>
          <w:tcPr>
            <w:tcW w:w="10632" w:type="dxa"/>
            <w:gridSpan w:val="5"/>
            <w:shd w:val="clear" w:color="auto" w:fill="auto"/>
          </w:tcPr>
          <w:p w14:paraId="559F5152"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20</w:t>
            </w:r>
          </w:p>
          <w:p w14:paraId="5BFFA0A9"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 xml:space="preserve">W celu zapobiegania występowaniu emisji odorów lub, jeżeli jest to niemożliwe, ich ograniczenia, w ramach BAT należy opracować, wdrożyć i regularnie przeglądać plan zarządzania odorami, jako część systemu zarządzania środowiskowego (zob. BAT </w:t>
            </w:r>
            <w:proofErr w:type="spellStart"/>
            <w:r w:rsidRPr="00E02F30">
              <w:rPr>
                <w:rFonts w:eastAsia="Times New Roman" w:cs="Arial"/>
                <w:bCs/>
                <w:sz w:val="20"/>
                <w:szCs w:val="20"/>
                <w:lang w:eastAsia="pl-PL"/>
              </w:rPr>
              <w:t>BAT</w:t>
            </w:r>
            <w:proofErr w:type="spellEnd"/>
            <w:r w:rsidRPr="00E02F30">
              <w:rPr>
                <w:rFonts w:eastAsia="Times New Roman" w:cs="Arial"/>
                <w:bCs/>
                <w:sz w:val="20"/>
                <w:szCs w:val="20"/>
                <w:lang w:eastAsia="pl-PL"/>
              </w:rPr>
              <w:t xml:space="preserve"> 1), który obejmuje wszystkie następujące elementy:</w:t>
            </w:r>
          </w:p>
          <w:p w14:paraId="78C3667B"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(i) protokół zawierający odpowiednie działania i harmonogram;</w:t>
            </w:r>
          </w:p>
          <w:p w14:paraId="7B3F7CE2"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(ii) protokół monitorowania odorów;</w:t>
            </w:r>
          </w:p>
          <w:p w14:paraId="4DA6E236"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(iii) protokół reagowania na stwierdzone przypadki wystąpienia odorów;</w:t>
            </w:r>
          </w:p>
          <w:p w14:paraId="1641120E"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(iv) program zapobiegania występowaniu odorów i ich ograniczania mający na celu określenie ich źródeł, pomiar/ oszacowanie narażenia na odory, określenie udziału poszczególnych źródeł, oraz wprowadzanie środków w zakresie zapobiegania lub ograniczania.</w:t>
            </w:r>
          </w:p>
          <w:p w14:paraId="595E4DCB"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Powiązany monitoring jest opisany w BAT 6.</w:t>
            </w:r>
          </w:p>
          <w:p w14:paraId="11DB531E"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Zastosowanie</w:t>
            </w:r>
          </w:p>
          <w:p w14:paraId="26106EBB"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Możliwość zastosowania jest ograniczona do przypadków, gdy można spodziewać się uciążliwego odoru lub gdy jego występowanie zostało stwierdzone.</w:t>
            </w:r>
          </w:p>
          <w:p w14:paraId="5F74C4B0"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7B87CE2D" w14:textId="77777777" w:rsidTr="00A1631B">
        <w:trPr>
          <w:trHeight w:val="284"/>
        </w:trPr>
        <w:tc>
          <w:tcPr>
            <w:tcW w:w="2552" w:type="dxa"/>
            <w:gridSpan w:val="3"/>
            <w:shd w:val="clear" w:color="auto" w:fill="auto"/>
          </w:tcPr>
          <w:p w14:paraId="30674444"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04B2AA3E"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080" w:type="dxa"/>
            <w:gridSpan w:val="2"/>
            <w:shd w:val="clear" w:color="auto" w:fill="auto"/>
          </w:tcPr>
          <w:p w14:paraId="5539AF37" w14:textId="77777777" w:rsidR="00E02F30" w:rsidRPr="00E02F30" w:rsidRDefault="00E02F30" w:rsidP="00E02F30">
            <w:pPr>
              <w:tabs>
                <w:tab w:val="left" w:pos="4700"/>
              </w:tabs>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2103AEA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 czasie eksploatacji przedmiotowych instalacji nie zachodzi emisja odorów.</w:t>
            </w:r>
          </w:p>
          <w:p w14:paraId="254FA55E" w14:textId="77777777" w:rsidR="00E02F30" w:rsidRPr="00E02F30" w:rsidRDefault="00E02F30" w:rsidP="00E02F30">
            <w:pPr>
              <w:spacing w:after="0" w:line="240" w:lineRule="auto"/>
              <w:rPr>
                <w:rFonts w:eastAsia="Times New Roman" w:cs="Arial"/>
                <w:b/>
                <w:sz w:val="20"/>
                <w:szCs w:val="20"/>
                <w:lang w:eastAsia="pl-PL"/>
              </w:rPr>
            </w:pPr>
          </w:p>
        </w:tc>
      </w:tr>
      <w:tr w:rsidR="00E02F30" w:rsidRPr="00E02F30" w14:paraId="43E56634" w14:textId="77777777" w:rsidTr="00A1631B">
        <w:trPr>
          <w:trHeight w:val="284"/>
        </w:trPr>
        <w:tc>
          <w:tcPr>
            <w:tcW w:w="10632" w:type="dxa"/>
            <w:gridSpan w:val="5"/>
            <w:shd w:val="clear" w:color="auto" w:fill="auto"/>
          </w:tcPr>
          <w:p w14:paraId="23FD9C0B"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21</w:t>
            </w:r>
          </w:p>
          <w:p w14:paraId="53582A0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 celu zapobiegania występowaniu emisji odorów w trakcie zbierania i oczyszczania ścieków i oczyszczania osadu lub, jeżeli jest to niemożliwe, ich ograniczenia, w ramach BAT należy stosować jedną z następujących technik lub ich kombinację:</w:t>
            </w:r>
          </w:p>
          <w:tbl>
            <w:tblPr>
              <w:tblW w:w="0" w:type="auto"/>
              <w:tblCellSpacing w:w="0" w:type="auto"/>
              <w:tblBorders>
                <w:top w:val="single" w:sz="8" w:space="0" w:color="000000"/>
                <w:bottom w:val="single" w:sz="8" w:space="0" w:color="000000"/>
              </w:tblBorders>
              <w:tblLayout w:type="fixed"/>
              <w:tblLook w:val="04A0" w:firstRow="1" w:lastRow="0" w:firstColumn="1" w:lastColumn="0" w:noHBand="0" w:noVBand="1"/>
            </w:tblPr>
            <w:tblGrid>
              <w:gridCol w:w="713"/>
              <w:gridCol w:w="2756"/>
              <w:gridCol w:w="3368"/>
              <w:gridCol w:w="3267"/>
            </w:tblGrid>
            <w:tr w:rsidR="00E02F30" w:rsidRPr="00E02F30" w14:paraId="0C51D643" w14:textId="77777777" w:rsidTr="00A1631B">
              <w:trPr>
                <w:trHeight w:val="45"/>
                <w:tblCellSpacing w:w="0" w:type="auto"/>
              </w:trPr>
              <w:tc>
                <w:tcPr>
                  <w:tcW w:w="713" w:type="dxa"/>
                  <w:tcBorders>
                    <w:bottom w:val="single" w:sz="8" w:space="0" w:color="000000"/>
                    <w:right w:val="single" w:sz="8" w:space="0" w:color="000000"/>
                  </w:tcBorders>
                  <w:tcMar>
                    <w:top w:w="15" w:type="dxa"/>
                    <w:left w:w="15" w:type="dxa"/>
                    <w:bottom w:w="15" w:type="dxa"/>
                    <w:right w:w="15" w:type="dxa"/>
                  </w:tcMar>
                  <w:vAlign w:val="center"/>
                </w:tcPr>
                <w:p w14:paraId="78518584" w14:textId="77777777" w:rsidR="00E02F30" w:rsidRPr="00E02F30" w:rsidRDefault="00E02F30" w:rsidP="00E02F30">
                  <w:pPr>
                    <w:spacing w:after="0" w:line="240" w:lineRule="auto"/>
                    <w:rPr>
                      <w:rFonts w:eastAsia="Times New Roman" w:cs="Arial"/>
                      <w:sz w:val="20"/>
                      <w:szCs w:val="20"/>
                      <w:lang w:eastAsia="pl-PL"/>
                    </w:rPr>
                  </w:pPr>
                </w:p>
              </w:tc>
              <w:tc>
                <w:tcPr>
                  <w:tcW w:w="2756" w:type="dxa"/>
                  <w:tcBorders>
                    <w:bottom w:val="single" w:sz="8" w:space="0" w:color="000000"/>
                    <w:right w:val="single" w:sz="8" w:space="0" w:color="000000"/>
                  </w:tcBorders>
                  <w:tcMar>
                    <w:top w:w="15" w:type="dxa"/>
                    <w:left w:w="15" w:type="dxa"/>
                    <w:bottom w:w="15" w:type="dxa"/>
                    <w:right w:w="15" w:type="dxa"/>
                  </w:tcMar>
                  <w:vAlign w:val="center"/>
                </w:tcPr>
                <w:p w14:paraId="6A7C088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Technika</w:t>
                  </w:r>
                </w:p>
              </w:tc>
              <w:tc>
                <w:tcPr>
                  <w:tcW w:w="3368" w:type="dxa"/>
                  <w:tcBorders>
                    <w:bottom w:val="single" w:sz="8" w:space="0" w:color="000000"/>
                    <w:right w:val="single" w:sz="8" w:space="0" w:color="000000"/>
                  </w:tcBorders>
                  <w:tcMar>
                    <w:top w:w="15" w:type="dxa"/>
                    <w:left w:w="15" w:type="dxa"/>
                    <w:bottom w:w="15" w:type="dxa"/>
                    <w:right w:w="15" w:type="dxa"/>
                  </w:tcMar>
                  <w:vAlign w:val="center"/>
                </w:tcPr>
                <w:p w14:paraId="335FC1F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Opis</w:t>
                  </w:r>
                </w:p>
              </w:tc>
              <w:tc>
                <w:tcPr>
                  <w:tcW w:w="3267" w:type="dxa"/>
                  <w:tcBorders>
                    <w:bottom w:val="single" w:sz="8" w:space="0" w:color="000000"/>
                  </w:tcBorders>
                  <w:tcMar>
                    <w:top w:w="15" w:type="dxa"/>
                    <w:left w:w="15" w:type="dxa"/>
                    <w:bottom w:w="15" w:type="dxa"/>
                    <w:right w:w="15" w:type="dxa"/>
                  </w:tcMar>
                  <w:vAlign w:val="center"/>
                </w:tcPr>
                <w:p w14:paraId="7BA1E16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w:t>
                  </w:r>
                </w:p>
              </w:tc>
            </w:tr>
            <w:tr w:rsidR="00E02F30" w:rsidRPr="00E02F30" w14:paraId="635993C1" w14:textId="77777777" w:rsidTr="00A1631B">
              <w:trPr>
                <w:trHeight w:val="45"/>
                <w:tblCellSpacing w:w="0" w:type="auto"/>
              </w:trPr>
              <w:tc>
                <w:tcPr>
                  <w:tcW w:w="713" w:type="dxa"/>
                  <w:tcBorders>
                    <w:bottom w:val="single" w:sz="8" w:space="0" w:color="000000"/>
                    <w:right w:val="single" w:sz="8" w:space="0" w:color="000000"/>
                  </w:tcBorders>
                  <w:tcMar>
                    <w:top w:w="15" w:type="dxa"/>
                    <w:left w:w="15" w:type="dxa"/>
                    <w:bottom w:w="15" w:type="dxa"/>
                    <w:right w:w="15" w:type="dxa"/>
                  </w:tcMar>
                  <w:vAlign w:val="center"/>
                </w:tcPr>
                <w:p w14:paraId="3A957CB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w:t>
                  </w:r>
                </w:p>
              </w:tc>
              <w:tc>
                <w:tcPr>
                  <w:tcW w:w="2756" w:type="dxa"/>
                  <w:tcBorders>
                    <w:bottom w:val="single" w:sz="8" w:space="0" w:color="000000"/>
                    <w:right w:val="single" w:sz="8" w:space="0" w:color="000000"/>
                  </w:tcBorders>
                  <w:tcMar>
                    <w:top w:w="15" w:type="dxa"/>
                    <w:left w:w="15" w:type="dxa"/>
                    <w:bottom w:w="15" w:type="dxa"/>
                    <w:right w:w="15" w:type="dxa"/>
                  </w:tcMar>
                  <w:vAlign w:val="center"/>
                </w:tcPr>
                <w:p w14:paraId="13DE510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Minimalizacja czasu przebywania</w:t>
                  </w:r>
                </w:p>
              </w:tc>
              <w:tc>
                <w:tcPr>
                  <w:tcW w:w="3368" w:type="dxa"/>
                  <w:tcBorders>
                    <w:bottom w:val="single" w:sz="8" w:space="0" w:color="000000"/>
                    <w:right w:val="single" w:sz="8" w:space="0" w:color="000000"/>
                  </w:tcBorders>
                  <w:tcMar>
                    <w:top w:w="15" w:type="dxa"/>
                    <w:left w:w="15" w:type="dxa"/>
                    <w:bottom w:w="15" w:type="dxa"/>
                    <w:right w:w="15" w:type="dxa"/>
                  </w:tcMar>
                  <w:vAlign w:val="center"/>
                </w:tcPr>
                <w:p w14:paraId="52D807A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Minimalizacja czasu przebywania ścieków i osadów w systemach zbierania i magazynowania, w szczególności w warunkach beztlenowych.</w:t>
                  </w:r>
                </w:p>
              </w:tc>
              <w:tc>
                <w:tcPr>
                  <w:tcW w:w="3267" w:type="dxa"/>
                  <w:tcBorders>
                    <w:bottom w:val="single" w:sz="8" w:space="0" w:color="000000"/>
                  </w:tcBorders>
                  <w:tcMar>
                    <w:top w:w="15" w:type="dxa"/>
                    <w:left w:w="15" w:type="dxa"/>
                    <w:bottom w:w="15" w:type="dxa"/>
                    <w:right w:w="15" w:type="dxa"/>
                  </w:tcMar>
                  <w:vAlign w:val="center"/>
                </w:tcPr>
                <w:p w14:paraId="44AAB11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Możliwość zastosowania może być ograniczona w przypadku istniejących systemów zbierania i magazynowania.</w:t>
                  </w:r>
                </w:p>
              </w:tc>
            </w:tr>
            <w:tr w:rsidR="00E02F30" w:rsidRPr="00E02F30" w14:paraId="5EF1C131" w14:textId="77777777" w:rsidTr="00A1631B">
              <w:trPr>
                <w:trHeight w:val="45"/>
                <w:tblCellSpacing w:w="0" w:type="auto"/>
              </w:trPr>
              <w:tc>
                <w:tcPr>
                  <w:tcW w:w="713" w:type="dxa"/>
                  <w:tcBorders>
                    <w:bottom w:val="single" w:sz="8" w:space="0" w:color="000000"/>
                    <w:right w:val="single" w:sz="8" w:space="0" w:color="000000"/>
                  </w:tcBorders>
                  <w:tcMar>
                    <w:top w:w="15" w:type="dxa"/>
                    <w:left w:w="15" w:type="dxa"/>
                    <w:bottom w:w="15" w:type="dxa"/>
                    <w:right w:w="15" w:type="dxa"/>
                  </w:tcMar>
                  <w:vAlign w:val="center"/>
                </w:tcPr>
                <w:p w14:paraId="7E86345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w:t>
                  </w:r>
                </w:p>
              </w:tc>
              <w:tc>
                <w:tcPr>
                  <w:tcW w:w="2756" w:type="dxa"/>
                  <w:tcBorders>
                    <w:bottom w:val="single" w:sz="8" w:space="0" w:color="000000"/>
                    <w:right w:val="single" w:sz="8" w:space="0" w:color="000000"/>
                  </w:tcBorders>
                  <w:tcMar>
                    <w:top w:w="15" w:type="dxa"/>
                    <w:left w:w="15" w:type="dxa"/>
                    <w:bottom w:w="15" w:type="dxa"/>
                    <w:right w:w="15" w:type="dxa"/>
                  </w:tcMar>
                  <w:vAlign w:val="center"/>
                </w:tcPr>
                <w:p w14:paraId="7D93F18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Zabiegi chemiczne</w:t>
                  </w:r>
                </w:p>
              </w:tc>
              <w:tc>
                <w:tcPr>
                  <w:tcW w:w="3368" w:type="dxa"/>
                  <w:tcBorders>
                    <w:bottom w:val="single" w:sz="8" w:space="0" w:color="000000"/>
                    <w:right w:val="single" w:sz="8" w:space="0" w:color="000000"/>
                  </w:tcBorders>
                  <w:tcMar>
                    <w:top w:w="15" w:type="dxa"/>
                    <w:left w:w="15" w:type="dxa"/>
                    <w:bottom w:w="15" w:type="dxa"/>
                    <w:right w:w="15" w:type="dxa"/>
                  </w:tcMar>
                  <w:vAlign w:val="center"/>
                </w:tcPr>
                <w:p w14:paraId="2FA4EFB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Stosowanie chemikaliów w celu niszczenia związków złowonnych lub ograniczenia ich powstawania (np. utlenianie lub wytrącanie siarkowodoru).</w:t>
                  </w:r>
                </w:p>
              </w:tc>
              <w:tc>
                <w:tcPr>
                  <w:tcW w:w="3267" w:type="dxa"/>
                  <w:tcBorders>
                    <w:bottom w:val="single" w:sz="8" w:space="0" w:color="000000"/>
                  </w:tcBorders>
                  <w:tcMar>
                    <w:top w:w="15" w:type="dxa"/>
                    <w:left w:w="15" w:type="dxa"/>
                    <w:bottom w:w="15" w:type="dxa"/>
                    <w:right w:w="15" w:type="dxa"/>
                  </w:tcMar>
                  <w:vAlign w:val="center"/>
                </w:tcPr>
                <w:p w14:paraId="658CA06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 ogólne</w:t>
                  </w:r>
                </w:p>
              </w:tc>
            </w:tr>
            <w:tr w:rsidR="00E02F30" w:rsidRPr="00E02F30" w14:paraId="32101EC6" w14:textId="77777777" w:rsidTr="00A1631B">
              <w:trPr>
                <w:trHeight w:val="45"/>
                <w:tblCellSpacing w:w="0" w:type="auto"/>
              </w:trPr>
              <w:tc>
                <w:tcPr>
                  <w:tcW w:w="713" w:type="dxa"/>
                  <w:tcBorders>
                    <w:bottom w:val="single" w:sz="8" w:space="0" w:color="000000"/>
                    <w:right w:val="single" w:sz="8" w:space="0" w:color="000000"/>
                  </w:tcBorders>
                  <w:tcMar>
                    <w:top w:w="15" w:type="dxa"/>
                    <w:left w:w="15" w:type="dxa"/>
                    <w:bottom w:w="15" w:type="dxa"/>
                    <w:right w:w="15" w:type="dxa"/>
                  </w:tcMar>
                  <w:vAlign w:val="center"/>
                </w:tcPr>
                <w:p w14:paraId="7B8D5CB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c)</w:t>
                  </w:r>
                </w:p>
              </w:tc>
              <w:tc>
                <w:tcPr>
                  <w:tcW w:w="2756" w:type="dxa"/>
                  <w:tcBorders>
                    <w:bottom w:val="single" w:sz="8" w:space="0" w:color="000000"/>
                    <w:right w:val="single" w:sz="8" w:space="0" w:color="000000"/>
                  </w:tcBorders>
                  <w:tcMar>
                    <w:top w:w="15" w:type="dxa"/>
                    <w:left w:w="15" w:type="dxa"/>
                    <w:bottom w:w="15" w:type="dxa"/>
                    <w:right w:w="15" w:type="dxa"/>
                  </w:tcMar>
                  <w:vAlign w:val="center"/>
                </w:tcPr>
                <w:p w14:paraId="792B22E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Zoptymalizowanie rozkładu aerobowego</w:t>
                  </w:r>
                </w:p>
              </w:tc>
              <w:tc>
                <w:tcPr>
                  <w:tcW w:w="3368" w:type="dxa"/>
                  <w:tcBorders>
                    <w:bottom w:val="single" w:sz="8" w:space="0" w:color="000000"/>
                    <w:right w:val="single" w:sz="8" w:space="0" w:color="000000"/>
                  </w:tcBorders>
                  <w:tcMar>
                    <w:top w:w="15" w:type="dxa"/>
                    <w:left w:w="15" w:type="dxa"/>
                    <w:bottom w:w="15" w:type="dxa"/>
                    <w:right w:w="15" w:type="dxa"/>
                  </w:tcMar>
                  <w:vAlign w:val="center"/>
                </w:tcPr>
                <w:p w14:paraId="06E8233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Może to obejmować:</w:t>
                  </w:r>
                </w:p>
                <w:p w14:paraId="129C8AB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 kontrolowanie zawartości tlenu;</w:t>
                  </w:r>
                </w:p>
                <w:p w14:paraId="1A835B9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(ii) częstą obsługę techniczną systemu napowietrzania;</w:t>
                  </w:r>
                </w:p>
                <w:p w14:paraId="3C5E5F8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(iii) stosowanie czystego tlenu;</w:t>
                  </w:r>
                </w:p>
                <w:p w14:paraId="0B84123E"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(iv) usuwanie piany w zbiornikach.</w:t>
                  </w:r>
                </w:p>
              </w:tc>
              <w:tc>
                <w:tcPr>
                  <w:tcW w:w="3267" w:type="dxa"/>
                  <w:tcBorders>
                    <w:bottom w:val="single" w:sz="8" w:space="0" w:color="000000"/>
                  </w:tcBorders>
                  <w:tcMar>
                    <w:top w:w="15" w:type="dxa"/>
                    <w:left w:w="15" w:type="dxa"/>
                    <w:bottom w:w="15" w:type="dxa"/>
                    <w:right w:w="15" w:type="dxa"/>
                  </w:tcMar>
                  <w:vAlign w:val="center"/>
                </w:tcPr>
                <w:p w14:paraId="64BC979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 ogólne</w:t>
                  </w:r>
                </w:p>
              </w:tc>
            </w:tr>
            <w:tr w:rsidR="00E02F30" w:rsidRPr="00E02F30" w14:paraId="5998705F" w14:textId="77777777" w:rsidTr="00A1631B">
              <w:trPr>
                <w:trHeight w:val="45"/>
                <w:tblCellSpacing w:w="0" w:type="auto"/>
              </w:trPr>
              <w:tc>
                <w:tcPr>
                  <w:tcW w:w="713" w:type="dxa"/>
                  <w:tcBorders>
                    <w:bottom w:val="single" w:sz="8" w:space="0" w:color="000000"/>
                    <w:right w:val="single" w:sz="8" w:space="0" w:color="000000"/>
                  </w:tcBorders>
                  <w:tcMar>
                    <w:top w:w="15" w:type="dxa"/>
                    <w:left w:w="15" w:type="dxa"/>
                    <w:bottom w:w="15" w:type="dxa"/>
                    <w:right w:w="15" w:type="dxa"/>
                  </w:tcMar>
                  <w:vAlign w:val="center"/>
                </w:tcPr>
                <w:p w14:paraId="2F795E22"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d)</w:t>
                  </w:r>
                </w:p>
              </w:tc>
              <w:tc>
                <w:tcPr>
                  <w:tcW w:w="2756" w:type="dxa"/>
                  <w:tcBorders>
                    <w:bottom w:val="single" w:sz="8" w:space="0" w:color="000000"/>
                    <w:right w:val="single" w:sz="8" w:space="0" w:color="000000"/>
                  </w:tcBorders>
                  <w:tcMar>
                    <w:top w:w="15" w:type="dxa"/>
                    <w:left w:w="15" w:type="dxa"/>
                    <w:bottom w:w="15" w:type="dxa"/>
                    <w:right w:w="15" w:type="dxa"/>
                  </w:tcMar>
                  <w:vAlign w:val="center"/>
                </w:tcPr>
                <w:p w14:paraId="5E1D0DC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Obudowanie</w:t>
                  </w:r>
                </w:p>
              </w:tc>
              <w:tc>
                <w:tcPr>
                  <w:tcW w:w="3368" w:type="dxa"/>
                  <w:tcBorders>
                    <w:bottom w:val="single" w:sz="8" w:space="0" w:color="000000"/>
                    <w:right w:val="single" w:sz="8" w:space="0" w:color="000000"/>
                  </w:tcBorders>
                  <w:tcMar>
                    <w:top w:w="15" w:type="dxa"/>
                    <w:left w:w="15" w:type="dxa"/>
                    <w:bottom w:w="15" w:type="dxa"/>
                    <w:right w:w="15" w:type="dxa"/>
                  </w:tcMar>
                  <w:vAlign w:val="center"/>
                </w:tcPr>
                <w:p w14:paraId="1BA6537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Pokrycie lub obudowanie urządzeń do zbierania i oczyszczania ścieków i osadu w celu zbierania gazów złowonnych do dalszej obróbki.</w:t>
                  </w:r>
                </w:p>
              </w:tc>
              <w:tc>
                <w:tcPr>
                  <w:tcW w:w="3267" w:type="dxa"/>
                  <w:tcBorders>
                    <w:bottom w:val="single" w:sz="8" w:space="0" w:color="000000"/>
                  </w:tcBorders>
                  <w:tcMar>
                    <w:top w:w="15" w:type="dxa"/>
                    <w:left w:w="15" w:type="dxa"/>
                    <w:bottom w:w="15" w:type="dxa"/>
                    <w:right w:w="15" w:type="dxa"/>
                  </w:tcMar>
                  <w:vAlign w:val="center"/>
                </w:tcPr>
                <w:p w14:paraId="56DC398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 ogólne</w:t>
                  </w:r>
                </w:p>
              </w:tc>
            </w:tr>
            <w:tr w:rsidR="00E02F30" w:rsidRPr="00E02F30" w14:paraId="3658067D" w14:textId="77777777" w:rsidTr="00A1631B">
              <w:trPr>
                <w:trHeight w:val="45"/>
                <w:tblCellSpacing w:w="0" w:type="auto"/>
              </w:trPr>
              <w:tc>
                <w:tcPr>
                  <w:tcW w:w="713" w:type="dxa"/>
                  <w:tcBorders>
                    <w:bottom w:val="single" w:sz="8" w:space="0" w:color="000000"/>
                    <w:right w:val="single" w:sz="8" w:space="0" w:color="000000"/>
                  </w:tcBorders>
                  <w:tcMar>
                    <w:top w:w="15" w:type="dxa"/>
                    <w:left w:w="15" w:type="dxa"/>
                    <w:bottom w:w="15" w:type="dxa"/>
                    <w:right w:w="15" w:type="dxa"/>
                  </w:tcMar>
                  <w:vAlign w:val="center"/>
                </w:tcPr>
                <w:p w14:paraId="481BD56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e)</w:t>
                  </w:r>
                </w:p>
              </w:tc>
              <w:tc>
                <w:tcPr>
                  <w:tcW w:w="2756" w:type="dxa"/>
                  <w:tcBorders>
                    <w:bottom w:val="single" w:sz="8" w:space="0" w:color="000000"/>
                    <w:right w:val="single" w:sz="8" w:space="0" w:color="000000"/>
                  </w:tcBorders>
                  <w:tcMar>
                    <w:top w:w="15" w:type="dxa"/>
                    <w:left w:w="15" w:type="dxa"/>
                    <w:bottom w:w="15" w:type="dxa"/>
                    <w:right w:w="15" w:type="dxa"/>
                  </w:tcMar>
                  <w:vAlign w:val="center"/>
                </w:tcPr>
                <w:p w14:paraId="6ED7025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Techniki końca rury</w:t>
                  </w:r>
                </w:p>
              </w:tc>
              <w:tc>
                <w:tcPr>
                  <w:tcW w:w="3368" w:type="dxa"/>
                  <w:tcBorders>
                    <w:bottom w:val="single" w:sz="8" w:space="0" w:color="000000"/>
                    <w:right w:val="single" w:sz="8" w:space="0" w:color="000000"/>
                  </w:tcBorders>
                  <w:tcMar>
                    <w:top w:w="15" w:type="dxa"/>
                    <w:left w:w="15" w:type="dxa"/>
                    <w:bottom w:w="15" w:type="dxa"/>
                    <w:right w:w="15" w:type="dxa"/>
                  </w:tcMar>
                  <w:vAlign w:val="center"/>
                </w:tcPr>
                <w:p w14:paraId="4982DF90"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Może to obejmować:</w:t>
                  </w:r>
                </w:p>
                <w:p w14:paraId="3CC7644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 oczyszczanie biologiczne;</w:t>
                  </w:r>
                </w:p>
                <w:p w14:paraId="485E4D1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(ii) utlenianie termiczne.</w:t>
                  </w:r>
                </w:p>
              </w:tc>
              <w:tc>
                <w:tcPr>
                  <w:tcW w:w="3267" w:type="dxa"/>
                  <w:tcBorders>
                    <w:bottom w:val="single" w:sz="8" w:space="0" w:color="000000"/>
                  </w:tcBorders>
                  <w:tcMar>
                    <w:top w:w="15" w:type="dxa"/>
                    <w:left w:w="15" w:type="dxa"/>
                    <w:bottom w:w="15" w:type="dxa"/>
                    <w:right w:w="15" w:type="dxa"/>
                  </w:tcMar>
                  <w:vAlign w:val="center"/>
                </w:tcPr>
                <w:p w14:paraId="64C00A4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Oczyszczanie biologiczne ma zastosowanie tylko do związków, które są łatwo rozpuszczalne w wodzie i łatwo ulegające rozkładowi biologicznemu.</w:t>
                  </w:r>
                </w:p>
              </w:tc>
            </w:tr>
          </w:tbl>
          <w:p w14:paraId="69FDAD11"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5480EBC6" w14:textId="77777777" w:rsidTr="00A1631B">
        <w:trPr>
          <w:trHeight w:val="284"/>
        </w:trPr>
        <w:tc>
          <w:tcPr>
            <w:tcW w:w="2411" w:type="dxa"/>
            <w:gridSpan w:val="2"/>
            <w:shd w:val="clear" w:color="auto" w:fill="auto"/>
          </w:tcPr>
          <w:p w14:paraId="528EAA7D"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62F4FD5"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201670BA"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17EF5AF3"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Cs/>
                <w:sz w:val="20"/>
                <w:szCs w:val="20"/>
                <w:lang w:eastAsia="pl-PL"/>
              </w:rPr>
              <w:t xml:space="preserve">W instalacjach nie występuje emisja </w:t>
            </w:r>
            <w:r w:rsidRPr="00E02F30">
              <w:rPr>
                <w:rFonts w:eastAsia="Times New Roman" w:cs="Arial"/>
                <w:sz w:val="20"/>
                <w:szCs w:val="20"/>
                <w:lang w:eastAsia="pl-PL"/>
              </w:rPr>
              <w:t>odorów.</w:t>
            </w:r>
          </w:p>
        </w:tc>
      </w:tr>
      <w:tr w:rsidR="00E02F30" w:rsidRPr="00E02F30" w14:paraId="2936DB85" w14:textId="77777777" w:rsidTr="00A1631B">
        <w:trPr>
          <w:trHeight w:val="284"/>
        </w:trPr>
        <w:tc>
          <w:tcPr>
            <w:tcW w:w="10632" w:type="dxa"/>
            <w:gridSpan w:val="5"/>
            <w:shd w:val="clear" w:color="auto" w:fill="auto"/>
          </w:tcPr>
          <w:p w14:paraId="70E2006A"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Emisje hałasu</w:t>
            </w:r>
          </w:p>
        </w:tc>
      </w:tr>
      <w:tr w:rsidR="00E02F30" w:rsidRPr="00E02F30" w14:paraId="6C18CA24" w14:textId="77777777" w:rsidTr="00A1631B">
        <w:trPr>
          <w:trHeight w:val="284"/>
        </w:trPr>
        <w:tc>
          <w:tcPr>
            <w:tcW w:w="10632" w:type="dxa"/>
            <w:gridSpan w:val="5"/>
            <w:shd w:val="clear" w:color="auto" w:fill="auto"/>
          </w:tcPr>
          <w:p w14:paraId="38903E48"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22</w:t>
            </w:r>
          </w:p>
          <w:p w14:paraId="10B2162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celu zapobiegania występowaniu emisji hałasu lub, jeżeli jest to niemożliwe, ich ograniczenia, w ramach BAT należy opracować i wdrożyć plan zarządzania hałasem, jako część systemu zarządzania środowiskowego (zob. BAT 1), który obejmuje wszystkie następujące elementy:</w:t>
            </w:r>
          </w:p>
          <w:p w14:paraId="1B082F9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(i) protokół zawierający odpowiednie działania i harmonogram;</w:t>
            </w:r>
          </w:p>
          <w:p w14:paraId="24162C11"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(ii) protokół monitorowania hałasu;</w:t>
            </w:r>
          </w:p>
          <w:p w14:paraId="01A53FD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(iii) protokół reagowania na stwierdzone przypadki wystąpienia hałasu;</w:t>
            </w:r>
          </w:p>
          <w:p w14:paraId="3B8F4019"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(iv) program zapobiegania hałasowi i ograniczania hałasu mający na celu identyfikację źródeł, pomiar lub szacowanie narażenia na hałas, określenie udziału poszczególnych źródeł i wdrożenie środków zapobiegawczych lub ograniczających.</w:t>
            </w:r>
          </w:p>
          <w:p w14:paraId="019AD7E1"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Zastosowanie</w:t>
            </w:r>
          </w:p>
          <w:p w14:paraId="2C5874A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Możliwość zastosowania jest ograniczona do przypadków, gdy można spodziewać się uciążliwego hałasu lub gdy jego występowanie zostało stwierdzone.</w:t>
            </w:r>
          </w:p>
          <w:p w14:paraId="58811BEA"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5AF9B3DF" w14:textId="77777777" w:rsidTr="00A1631B">
        <w:trPr>
          <w:trHeight w:val="284"/>
        </w:trPr>
        <w:tc>
          <w:tcPr>
            <w:tcW w:w="2411" w:type="dxa"/>
            <w:gridSpan w:val="2"/>
            <w:shd w:val="clear" w:color="auto" w:fill="auto"/>
          </w:tcPr>
          <w:p w14:paraId="0E0FBF6B"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0D2F1490"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62347DA0"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12C44E80"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Instalacje IPPC nie przekraczają norm emisji hałasu, co potwierdzają wyniki pomiarów wykonywanych zgodnie z obowiązującym prawem. </w:t>
            </w:r>
          </w:p>
          <w:p w14:paraId="1004432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Wdrożony system ISO 14 001 obejmuje harmonogram badań hałasu do środowiska. Zapobieganie hałasowi realizowane jest systematycznie - w trakcie wymiany urządzeń zakład uwzględnia kryterium niższej emisyjności hałasu. </w:t>
            </w:r>
          </w:p>
          <w:p w14:paraId="0E90903A" w14:textId="77777777" w:rsidR="00E02F30" w:rsidRPr="00E02F30" w:rsidRDefault="00E02F30" w:rsidP="00E02F30">
            <w:pPr>
              <w:spacing w:after="0" w:line="240" w:lineRule="auto"/>
              <w:rPr>
                <w:rFonts w:eastAsia="Times New Roman" w:cs="Arial"/>
                <w:b/>
                <w:sz w:val="20"/>
                <w:szCs w:val="20"/>
                <w:lang w:eastAsia="pl-PL"/>
              </w:rPr>
            </w:pPr>
          </w:p>
        </w:tc>
      </w:tr>
      <w:tr w:rsidR="00E02F30" w:rsidRPr="00E02F30" w14:paraId="0040E7BB" w14:textId="77777777" w:rsidTr="00A1631B">
        <w:trPr>
          <w:trHeight w:val="284"/>
        </w:trPr>
        <w:tc>
          <w:tcPr>
            <w:tcW w:w="10632" w:type="dxa"/>
            <w:gridSpan w:val="5"/>
            <w:shd w:val="clear" w:color="auto" w:fill="auto"/>
          </w:tcPr>
          <w:p w14:paraId="387651B2"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23</w:t>
            </w:r>
          </w:p>
          <w:p w14:paraId="2E28F1C8"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W celu zapobiegania emisjom hałasu lub, jeżeli jest to niemożliwe, ich ograniczenia, w ramach BAT należy stosować jedną z następujących technik lub ich kombinację:</w:t>
            </w:r>
          </w:p>
          <w:tbl>
            <w:tblPr>
              <w:tblW w:w="0" w:type="auto"/>
              <w:tblCellSpacing w:w="0" w:type="auto"/>
              <w:tblBorders>
                <w:top w:val="single" w:sz="8" w:space="0" w:color="000000"/>
                <w:bottom w:val="single" w:sz="8" w:space="0" w:color="000000"/>
              </w:tblBorders>
              <w:tblLayout w:type="fixed"/>
              <w:tblLook w:val="04A0" w:firstRow="1" w:lastRow="0" w:firstColumn="1" w:lastColumn="0" w:noHBand="0" w:noVBand="1"/>
            </w:tblPr>
            <w:tblGrid>
              <w:gridCol w:w="714"/>
              <w:gridCol w:w="2761"/>
              <w:gridCol w:w="3374"/>
              <w:gridCol w:w="3273"/>
            </w:tblGrid>
            <w:tr w:rsidR="00E02F30" w:rsidRPr="00E02F30" w14:paraId="4A22F05D" w14:textId="77777777" w:rsidTr="00A1631B">
              <w:trPr>
                <w:trHeight w:val="44"/>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73D05082" w14:textId="77777777" w:rsidR="00E02F30" w:rsidRPr="00E02F30" w:rsidRDefault="00E02F30" w:rsidP="00E02F30">
                  <w:pPr>
                    <w:spacing w:after="0" w:line="240" w:lineRule="auto"/>
                    <w:rPr>
                      <w:rFonts w:eastAsia="Times New Roman" w:cs="Arial"/>
                      <w:sz w:val="20"/>
                      <w:szCs w:val="20"/>
                      <w:lang w:eastAsia="pl-PL"/>
                    </w:rPr>
                  </w:pPr>
                </w:p>
              </w:tc>
              <w:tc>
                <w:tcPr>
                  <w:tcW w:w="2761" w:type="dxa"/>
                  <w:tcBorders>
                    <w:bottom w:val="single" w:sz="8" w:space="0" w:color="000000"/>
                    <w:right w:val="single" w:sz="8" w:space="0" w:color="000000"/>
                  </w:tcBorders>
                  <w:tcMar>
                    <w:top w:w="15" w:type="dxa"/>
                    <w:left w:w="15" w:type="dxa"/>
                    <w:bottom w:w="15" w:type="dxa"/>
                    <w:right w:w="15" w:type="dxa"/>
                  </w:tcMar>
                  <w:vAlign w:val="center"/>
                </w:tcPr>
                <w:p w14:paraId="19AD76A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Technika</w:t>
                  </w: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2EAE909B"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Opis</w:t>
                  </w:r>
                </w:p>
              </w:tc>
              <w:tc>
                <w:tcPr>
                  <w:tcW w:w="3273" w:type="dxa"/>
                  <w:tcBorders>
                    <w:bottom w:val="single" w:sz="8" w:space="0" w:color="000000"/>
                  </w:tcBorders>
                  <w:tcMar>
                    <w:top w:w="15" w:type="dxa"/>
                    <w:left w:w="15" w:type="dxa"/>
                    <w:bottom w:w="15" w:type="dxa"/>
                    <w:right w:w="15" w:type="dxa"/>
                  </w:tcMar>
                  <w:vAlign w:val="center"/>
                </w:tcPr>
                <w:p w14:paraId="79EE6844"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w:t>
                  </w:r>
                </w:p>
              </w:tc>
            </w:tr>
            <w:tr w:rsidR="00E02F30" w:rsidRPr="00E02F30" w14:paraId="0D50AFB2" w14:textId="77777777" w:rsidTr="00A1631B">
              <w:trPr>
                <w:trHeight w:val="44"/>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396BFCC6"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a)</w:t>
                  </w:r>
                </w:p>
              </w:tc>
              <w:tc>
                <w:tcPr>
                  <w:tcW w:w="2761" w:type="dxa"/>
                  <w:tcBorders>
                    <w:bottom w:val="single" w:sz="8" w:space="0" w:color="000000"/>
                    <w:right w:val="single" w:sz="8" w:space="0" w:color="000000"/>
                  </w:tcBorders>
                  <w:tcMar>
                    <w:top w:w="15" w:type="dxa"/>
                    <w:left w:w="15" w:type="dxa"/>
                    <w:bottom w:w="15" w:type="dxa"/>
                    <w:right w:w="15" w:type="dxa"/>
                  </w:tcMar>
                  <w:vAlign w:val="center"/>
                </w:tcPr>
                <w:p w14:paraId="7ECCFB5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Właściwe umiejscowienie wyposażenia i budynków</w:t>
                  </w: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18D40AE9"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Zwiększenie odległości między źródłem emisji a odbiornikiem oraz wykorzystywanie budynków jako ekranów chroniących przed hałasem</w:t>
                  </w:r>
                </w:p>
              </w:tc>
              <w:tc>
                <w:tcPr>
                  <w:tcW w:w="3273" w:type="dxa"/>
                  <w:tcBorders>
                    <w:bottom w:val="single" w:sz="8" w:space="0" w:color="000000"/>
                  </w:tcBorders>
                  <w:tcMar>
                    <w:top w:w="15" w:type="dxa"/>
                    <w:left w:w="15" w:type="dxa"/>
                    <w:bottom w:w="15" w:type="dxa"/>
                    <w:right w:w="15" w:type="dxa"/>
                  </w:tcMar>
                  <w:vAlign w:val="center"/>
                </w:tcPr>
                <w:p w14:paraId="19B3445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przypadku istniejących zespołów urządzeń zmiana położenia urządzeń może być ograniczona ze względu na brak miejsca lub nadmierne koszty</w:t>
                  </w:r>
                </w:p>
              </w:tc>
            </w:tr>
            <w:tr w:rsidR="00E02F30" w:rsidRPr="00E02F30" w14:paraId="10293E9A" w14:textId="77777777" w:rsidTr="00A1631B">
              <w:trPr>
                <w:trHeight w:val="44"/>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6B70F217"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b)</w:t>
                  </w:r>
                </w:p>
              </w:tc>
              <w:tc>
                <w:tcPr>
                  <w:tcW w:w="2761" w:type="dxa"/>
                  <w:tcBorders>
                    <w:bottom w:val="single" w:sz="8" w:space="0" w:color="000000"/>
                    <w:right w:val="single" w:sz="8" w:space="0" w:color="000000"/>
                  </w:tcBorders>
                  <w:tcMar>
                    <w:top w:w="15" w:type="dxa"/>
                    <w:left w:w="15" w:type="dxa"/>
                    <w:bottom w:w="15" w:type="dxa"/>
                    <w:right w:w="15" w:type="dxa"/>
                  </w:tcMar>
                  <w:vAlign w:val="center"/>
                </w:tcPr>
                <w:p w14:paraId="67043F8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Środki operacyjne</w:t>
                  </w: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29073DA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Obejmuje to:</w:t>
                  </w:r>
                </w:p>
                <w:p w14:paraId="15D5B878"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 udoskonaloną kontrolę i lepsze utrzymanie urządzeń;</w:t>
                  </w:r>
                </w:p>
                <w:p w14:paraId="431283E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(ii) w miarę możliwości, zamykanie drzwi i okien na terenach zamkniętych;</w:t>
                  </w:r>
                </w:p>
                <w:p w14:paraId="385BD4A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(iii) obsługę urządzeń przez doświadczony personel;</w:t>
                  </w:r>
                </w:p>
                <w:p w14:paraId="35F9849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(iv) w miarę możliwości, unikanie przeprowadzania hałaśliwych działań w nocy;</w:t>
                  </w:r>
                </w:p>
                <w:p w14:paraId="4060C670"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(v) zapewnienie kontroli hałasu podczas czynności konserwacyjnych.</w:t>
                  </w:r>
                </w:p>
              </w:tc>
              <w:tc>
                <w:tcPr>
                  <w:tcW w:w="3273" w:type="dxa"/>
                  <w:tcBorders>
                    <w:bottom w:val="single" w:sz="8" w:space="0" w:color="000000"/>
                  </w:tcBorders>
                  <w:tcMar>
                    <w:top w:w="15" w:type="dxa"/>
                    <w:left w:w="15" w:type="dxa"/>
                    <w:bottom w:w="15" w:type="dxa"/>
                    <w:right w:w="15" w:type="dxa"/>
                  </w:tcMar>
                  <w:vAlign w:val="center"/>
                </w:tcPr>
                <w:p w14:paraId="5BA97CE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Zastosowanie ogólne</w:t>
                  </w:r>
                </w:p>
              </w:tc>
            </w:tr>
            <w:tr w:rsidR="00E02F30" w:rsidRPr="00E02F30" w14:paraId="17B62CF7" w14:textId="77777777" w:rsidTr="00A1631B">
              <w:trPr>
                <w:trHeight w:val="44"/>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19535285"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c)</w:t>
                  </w:r>
                </w:p>
              </w:tc>
              <w:tc>
                <w:tcPr>
                  <w:tcW w:w="2761" w:type="dxa"/>
                  <w:tcBorders>
                    <w:bottom w:val="single" w:sz="8" w:space="0" w:color="000000"/>
                    <w:right w:val="single" w:sz="8" w:space="0" w:color="000000"/>
                  </w:tcBorders>
                  <w:tcMar>
                    <w:top w:w="15" w:type="dxa"/>
                    <w:left w:w="15" w:type="dxa"/>
                    <w:bottom w:w="15" w:type="dxa"/>
                    <w:right w:w="15" w:type="dxa"/>
                  </w:tcMar>
                  <w:vAlign w:val="center"/>
                </w:tcPr>
                <w:p w14:paraId="2C91711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Mało hałaśliwy sprzęt</w:t>
                  </w: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62AD333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Obejmuje to ciche sprężarki, pompy i pochodnie.</w:t>
                  </w:r>
                </w:p>
              </w:tc>
              <w:tc>
                <w:tcPr>
                  <w:tcW w:w="3273" w:type="dxa"/>
                  <w:tcBorders>
                    <w:bottom w:val="single" w:sz="8" w:space="0" w:color="000000"/>
                  </w:tcBorders>
                  <w:tcMar>
                    <w:top w:w="15" w:type="dxa"/>
                    <w:left w:w="15" w:type="dxa"/>
                    <w:bottom w:w="15" w:type="dxa"/>
                    <w:right w:w="15" w:type="dxa"/>
                  </w:tcMar>
                  <w:vAlign w:val="center"/>
                </w:tcPr>
                <w:p w14:paraId="29936C8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Stosuje się tylko w przypadku, gdy urządzenie jest nowe lub zastąpione.</w:t>
                  </w:r>
                </w:p>
              </w:tc>
            </w:tr>
            <w:tr w:rsidR="00E02F30" w:rsidRPr="00E02F30" w14:paraId="451390B8" w14:textId="77777777" w:rsidTr="00A1631B">
              <w:trPr>
                <w:trHeight w:val="44"/>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42E7B7A1"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d)</w:t>
                  </w:r>
                </w:p>
              </w:tc>
              <w:tc>
                <w:tcPr>
                  <w:tcW w:w="2761" w:type="dxa"/>
                  <w:tcBorders>
                    <w:bottom w:val="single" w:sz="8" w:space="0" w:color="000000"/>
                    <w:right w:val="single" w:sz="8" w:space="0" w:color="000000"/>
                  </w:tcBorders>
                  <w:tcMar>
                    <w:top w:w="15" w:type="dxa"/>
                    <w:left w:w="15" w:type="dxa"/>
                    <w:bottom w:w="15" w:type="dxa"/>
                    <w:right w:w="15" w:type="dxa"/>
                  </w:tcMar>
                  <w:vAlign w:val="center"/>
                </w:tcPr>
                <w:p w14:paraId="4E7C624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Urządzenia do kontroli hałasu</w:t>
                  </w: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14D3CA0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Obejmuje to:</w:t>
                  </w:r>
                </w:p>
                <w:p w14:paraId="1BFA9F9A"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 tłumiki;</w:t>
                  </w:r>
                </w:p>
                <w:p w14:paraId="78C992B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(ii) izolację urządzeń;</w:t>
                  </w:r>
                </w:p>
                <w:p w14:paraId="680F348D"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(iii) obudowanie hałaśliwych urządzeń;</w:t>
                  </w:r>
                </w:p>
                <w:p w14:paraId="2A5FE19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(iv) izolację dźwiękoszczelną budynków.</w:t>
                  </w:r>
                </w:p>
              </w:tc>
              <w:tc>
                <w:tcPr>
                  <w:tcW w:w="3273" w:type="dxa"/>
                  <w:tcBorders>
                    <w:bottom w:val="single" w:sz="8" w:space="0" w:color="000000"/>
                  </w:tcBorders>
                  <w:tcMar>
                    <w:top w:w="15" w:type="dxa"/>
                    <w:left w:w="15" w:type="dxa"/>
                    <w:bottom w:w="15" w:type="dxa"/>
                    <w:right w:w="15" w:type="dxa"/>
                  </w:tcMar>
                  <w:vAlign w:val="center"/>
                </w:tcPr>
                <w:p w14:paraId="3B5EF61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Możliwość zastosowania może być ograniczona ze względu na wymagania dotyczące przestrzeni (w przypadku istniejących zespołów urządzeń), względy zdrowia i bezpieczeństwa.</w:t>
                  </w:r>
                </w:p>
              </w:tc>
            </w:tr>
            <w:tr w:rsidR="00E02F30" w:rsidRPr="00E02F30" w14:paraId="79B8611A" w14:textId="77777777" w:rsidTr="00A1631B">
              <w:trPr>
                <w:trHeight w:val="44"/>
                <w:tblCellSpacing w:w="0" w:type="auto"/>
              </w:trPr>
              <w:tc>
                <w:tcPr>
                  <w:tcW w:w="714" w:type="dxa"/>
                  <w:tcBorders>
                    <w:bottom w:val="single" w:sz="8" w:space="0" w:color="000000"/>
                    <w:right w:val="single" w:sz="8" w:space="0" w:color="000000"/>
                  </w:tcBorders>
                  <w:tcMar>
                    <w:top w:w="15" w:type="dxa"/>
                    <w:left w:w="15" w:type="dxa"/>
                    <w:bottom w:w="15" w:type="dxa"/>
                    <w:right w:w="15" w:type="dxa"/>
                  </w:tcMar>
                  <w:vAlign w:val="center"/>
                </w:tcPr>
                <w:p w14:paraId="1AA3BDC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e)</w:t>
                  </w:r>
                </w:p>
              </w:tc>
              <w:tc>
                <w:tcPr>
                  <w:tcW w:w="2761" w:type="dxa"/>
                  <w:tcBorders>
                    <w:bottom w:val="single" w:sz="8" w:space="0" w:color="000000"/>
                    <w:right w:val="single" w:sz="8" w:space="0" w:color="000000"/>
                  </w:tcBorders>
                  <w:tcMar>
                    <w:top w:w="15" w:type="dxa"/>
                    <w:left w:w="15" w:type="dxa"/>
                    <w:bottom w:w="15" w:type="dxa"/>
                    <w:right w:w="15" w:type="dxa"/>
                  </w:tcMar>
                  <w:vAlign w:val="center"/>
                </w:tcPr>
                <w:p w14:paraId="16B5754F"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Redukcja hałasu</w:t>
                  </w:r>
                </w:p>
              </w:tc>
              <w:tc>
                <w:tcPr>
                  <w:tcW w:w="3374" w:type="dxa"/>
                  <w:tcBorders>
                    <w:bottom w:val="single" w:sz="8" w:space="0" w:color="000000"/>
                    <w:right w:val="single" w:sz="8" w:space="0" w:color="000000"/>
                  </w:tcBorders>
                  <w:tcMar>
                    <w:top w:w="15" w:type="dxa"/>
                    <w:left w:w="15" w:type="dxa"/>
                    <w:bottom w:w="15" w:type="dxa"/>
                    <w:right w:w="15" w:type="dxa"/>
                  </w:tcMar>
                  <w:vAlign w:val="center"/>
                </w:tcPr>
                <w:p w14:paraId="4A6219A3"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Umieszczenie bariery między źródłami emisji a odbiornikami (na przykład chroniące przed hałasem ściany, wały i budynki).</w:t>
                  </w:r>
                </w:p>
              </w:tc>
              <w:tc>
                <w:tcPr>
                  <w:tcW w:w="3273" w:type="dxa"/>
                  <w:tcBorders>
                    <w:bottom w:val="single" w:sz="8" w:space="0" w:color="000000"/>
                  </w:tcBorders>
                  <w:tcMar>
                    <w:top w:w="15" w:type="dxa"/>
                    <w:left w:w="15" w:type="dxa"/>
                    <w:bottom w:w="15" w:type="dxa"/>
                    <w:right w:w="15" w:type="dxa"/>
                  </w:tcMar>
                  <w:vAlign w:val="center"/>
                </w:tcPr>
                <w:p w14:paraId="307E561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Ma zastosowanie jedynie do istniejących zespołów urządzeń, ponieważ konstrukcja nowych zespołów urządzeń powinna sprawić, że technika ta stanie się zbędna. W przypadku istniejących zespołów urządzeń umieszczenie barier może być ograniczone ze względu na brak miejsca.</w:t>
                  </w:r>
                </w:p>
              </w:tc>
            </w:tr>
          </w:tbl>
          <w:p w14:paraId="3172129D"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7FA1A490" w14:textId="77777777" w:rsidTr="00A1631B">
        <w:trPr>
          <w:trHeight w:val="284"/>
        </w:trPr>
        <w:tc>
          <w:tcPr>
            <w:tcW w:w="2411" w:type="dxa"/>
            <w:gridSpan w:val="2"/>
            <w:shd w:val="clear" w:color="auto" w:fill="auto"/>
            <w:vAlign w:val="center"/>
          </w:tcPr>
          <w:p w14:paraId="5506AA7A"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7BC6F757" w14:textId="77777777" w:rsidR="00E02F30" w:rsidRPr="00E02F30" w:rsidRDefault="00E02F30" w:rsidP="00E02F30">
            <w:pPr>
              <w:spacing w:after="0" w:line="240" w:lineRule="auto"/>
              <w:jc w:val="center"/>
              <w:rPr>
                <w:rFonts w:eastAsia="Times New Roman" w:cs="Arial"/>
                <w:bCs/>
                <w:sz w:val="20"/>
                <w:szCs w:val="20"/>
                <w:lang w:eastAsia="pl-PL"/>
              </w:rPr>
            </w:pPr>
            <w:r w:rsidRPr="00E02F30">
              <w:rPr>
                <w:rFonts w:eastAsia="Times New Roman" w:cs="Arial"/>
                <w:b/>
                <w:sz w:val="20"/>
                <w:szCs w:val="20"/>
                <w:lang w:eastAsia="pl-PL"/>
              </w:rPr>
              <w:t>(zgodne / niezgodne / uwaga / nie dotyczy</w:t>
            </w:r>
          </w:p>
        </w:tc>
        <w:tc>
          <w:tcPr>
            <w:tcW w:w="8221" w:type="dxa"/>
            <w:gridSpan w:val="3"/>
            <w:shd w:val="clear" w:color="auto" w:fill="auto"/>
          </w:tcPr>
          <w:p w14:paraId="1B0BB7D9"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2B98C16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We wszystkich instalacjach stosowane są techniki zapobiegania emisjom hałasu: </w:t>
            </w:r>
          </w:p>
          <w:p w14:paraId="1E40170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w:t>
            </w:r>
            <w:r w:rsidRPr="00E02F30">
              <w:rPr>
                <w:rFonts w:eastAsia="Times New Roman" w:cs="Arial"/>
                <w:sz w:val="20"/>
                <w:szCs w:val="20"/>
                <w:lang w:eastAsia="pl-PL"/>
              </w:rPr>
              <w:t xml:space="preserve"> </w:t>
            </w:r>
            <w:r w:rsidRPr="00E02F30">
              <w:rPr>
                <w:rFonts w:eastAsia="Times New Roman" w:cs="Arial"/>
                <w:bCs/>
                <w:sz w:val="20"/>
                <w:szCs w:val="20"/>
                <w:lang w:eastAsia="pl-PL"/>
              </w:rPr>
              <w:t>Właściwe umiejscowienie wyposażenia i budynków – obiekty i urządzania zostały zaprojektowane z uwzględnienie minimalizacji oddziaływania akustycznego,</w:t>
            </w:r>
          </w:p>
          <w:p w14:paraId="1BC16C59"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 Środki operacyjne – wszystkie urządzenia podlegają systematycznym przeglądom i naprawom, ich eksploatacja prowadzona jest zgodnie z instrukcjami technologicznymi przez odpowiednio przeszkolony personel</w:t>
            </w:r>
          </w:p>
          <w:p w14:paraId="66665A4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c) Mało hałaśliwy sprzęt - w trakcie stawiania nowych maszyn  bądź wymiany urządzeń zakład uwzględnia kryterium niższej emisyjności hałasu</w:t>
            </w:r>
          </w:p>
        </w:tc>
      </w:tr>
    </w:tbl>
    <w:p w14:paraId="77331B8D" w14:textId="77777777" w:rsidR="00E02F30" w:rsidRPr="00E02F30" w:rsidRDefault="00E02F30" w:rsidP="00E02F30">
      <w:pPr>
        <w:spacing w:after="0" w:line="240" w:lineRule="auto"/>
        <w:ind w:hanging="567"/>
        <w:jc w:val="both"/>
        <w:rPr>
          <w:rFonts w:eastAsia="Times New Roman" w:cs="Times New Roman"/>
          <w:szCs w:val="24"/>
          <w:lang w:eastAsia="pl-PL"/>
        </w:rPr>
      </w:pPr>
    </w:p>
    <w:p w14:paraId="7EB4D825" w14:textId="77777777" w:rsidR="00E02F30" w:rsidRPr="00E02F30" w:rsidRDefault="00E02F30" w:rsidP="00E02F30">
      <w:pPr>
        <w:spacing w:after="0" w:line="240" w:lineRule="auto"/>
        <w:ind w:hanging="567"/>
        <w:jc w:val="both"/>
        <w:rPr>
          <w:rFonts w:eastAsia="Times New Roman" w:cs="Times New Roman"/>
          <w:szCs w:val="24"/>
          <w:lang w:eastAsia="pl-PL"/>
        </w:rPr>
      </w:pPr>
    </w:p>
    <w:p w14:paraId="7AD5013E" w14:textId="77777777" w:rsidR="00E02F30" w:rsidRPr="00E02F30" w:rsidRDefault="00E02F30" w:rsidP="00E02F30">
      <w:pPr>
        <w:keepNext/>
        <w:widowControl w:val="0"/>
        <w:adjustRightInd w:val="0"/>
        <w:spacing w:after="0" w:line="276" w:lineRule="auto"/>
        <w:ind w:left="-567"/>
        <w:jc w:val="both"/>
        <w:textAlignment w:val="baseline"/>
        <w:outlineLvl w:val="3"/>
        <w:rPr>
          <w:rFonts w:eastAsia="Times New Roman" w:cs="Times New Roman"/>
          <w:b/>
          <w:szCs w:val="20"/>
          <w:lang w:eastAsia="pl-PL"/>
        </w:rPr>
      </w:pPr>
      <w:r w:rsidRPr="00E02F30">
        <w:rPr>
          <w:rFonts w:eastAsia="Times New Roman" w:cs="Times New Roman"/>
          <w:b/>
          <w:szCs w:val="20"/>
          <w:lang w:eastAsia="pl-PL"/>
        </w:rPr>
        <w:t>Analizę spełnienia wymogów najlepszej dostępnej techniki (BAT) zawiera poniższa tabela (konkluzje WGC):</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Zawiera komórki scalone oraz zagnieżdżone. Przedstawia analizę spełnienia wymogów najlepszej dostępnej techniki (BAT) określonych w konkluzjach WGC."/>
      </w:tblPr>
      <w:tblGrid>
        <w:gridCol w:w="1695"/>
        <w:gridCol w:w="290"/>
        <w:gridCol w:w="1747"/>
        <w:gridCol w:w="136"/>
        <w:gridCol w:w="17"/>
        <w:gridCol w:w="6747"/>
      </w:tblGrid>
      <w:tr w:rsidR="00E02F30" w:rsidRPr="00E02F30" w14:paraId="68ED7918" w14:textId="77777777" w:rsidTr="00A1631B">
        <w:trPr>
          <w:trHeight w:val="284"/>
        </w:trPr>
        <w:tc>
          <w:tcPr>
            <w:tcW w:w="10632" w:type="dxa"/>
            <w:gridSpan w:val="6"/>
            <w:shd w:val="clear" w:color="auto" w:fill="auto"/>
            <w:vAlign w:val="center"/>
          </w:tcPr>
          <w:p w14:paraId="589DA6D3"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KONKLUZJE BAT W ODNIESIENIU DO SPÓLNYCH SYSTEMÓW GOSPODAROWANIA GAZAMI ODLOTOWYMI I OCZYSZCZANIA GAZÓW ODLOTOWYCH W SEKTORZE CHEMICZNYM </w:t>
            </w:r>
          </w:p>
          <w:p w14:paraId="3315DDDF"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WYMAGANIA I OCENA STANU ZGODNOŚCI W INSTALACJACH </w:t>
            </w:r>
            <w:r w:rsidRPr="00E02F30">
              <w:rPr>
                <w:rFonts w:eastAsia="Times New Roman" w:cs="Arial"/>
                <w:b/>
                <w:bCs/>
                <w:sz w:val="20"/>
                <w:szCs w:val="20"/>
                <w:lang w:eastAsia="pl-PL"/>
              </w:rPr>
              <w:t>SARZYNA CHEMICAL SP. Z O.O.</w:t>
            </w:r>
          </w:p>
        </w:tc>
      </w:tr>
      <w:tr w:rsidR="00E02F30" w:rsidRPr="00E02F30" w14:paraId="5F884B53" w14:textId="77777777" w:rsidTr="00A1631B">
        <w:trPr>
          <w:trHeight w:val="284"/>
        </w:trPr>
        <w:tc>
          <w:tcPr>
            <w:tcW w:w="10632" w:type="dxa"/>
            <w:gridSpan w:val="6"/>
            <w:shd w:val="clear" w:color="auto" w:fill="auto"/>
            <w:vAlign w:val="center"/>
          </w:tcPr>
          <w:p w14:paraId="794B79B0"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OGÓLNE KONKLUZJE BAT</w:t>
            </w:r>
          </w:p>
        </w:tc>
      </w:tr>
      <w:tr w:rsidR="00E02F30" w:rsidRPr="00E02F30" w14:paraId="4A8ECA76" w14:textId="77777777" w:rsidTr="00A1631B">
        <w:trPr>
          <w:trHeight w:val="284"/>
        </w:trPr>
        <w:tc>
          <w:tcPr>
            <w:tcW w:w="10632" w:type="dxa"/>
            <w:gridSpan w:val="6"/>
            <w:shd w:val="clear" w:color="auto" w:fill="auto"/>
          </w:tcPr>
          <w:p w14:paraId="0ABE88B2"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Systemy zarządzania środowiskowego</w:t>
            </w:r>
          </w:p>
        </w:tc>
      </w:tr>
      <w:tr w:rsidR="00E02F30" w:rsidRPr="00E02F30" w14:paraId="1D1B376E" w14:textId="77777777" w:rsidTr="00A1631B">
        <w:trPr>
          <w:trHeight w:val="284"/>
        </w:trPr>
        <w:tc>
          <w:tcPr>
            <w:tcW w:w="10632" w:type="dxa"/>
            <w:gridSpan w:val="6"/>
            <w:shd w:val="clear" w:color="auto" w:fill="auto"/>
          </w:tcPr>
          <w:p w14:paraId="62F9FABD"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BAT 1</w:t>
            </w:r>
          </w:p>
          <w:p w14:paraId="2B1517C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Aby poprawić ogólną efektywność środowiskową, w ramach BAT należy zapewniać wdrażanie i przestrzeganie systemu zarządzania środowiskowego zawierającego w sobie wszystkie następujące cechy:</w:t>
            </w:r>
          </w:p>
          <w:p w14:paraId="633CFA9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(i) </w:t>
            </w:r>
            <w:r w:rsidRPr="00E02F30">
              <w:rPr>
                <w:rFonts w:eastAsia="Times New Roman" w:cs="Arial"/>
                <w:sz w:val="20"/>
                <w:szCs w:val="20"/>
                <w:lang w:eastAsia="pl-PL"/>
              </w:rPr>
              <w:tab/>
              <w:t xml:space="preserve">zaangażowanie kierownictwa, w tym kadry kierowniczej wyższego szczebla; </w:t>
            </w:r>
          </w:p>
          <w:p w14:paraId="35664487" w14:textId="77777777" w:rsidR="00E02F30" w:rsidRPr="00E02F30" w:rsidRDefault="00E02F30" w:rsidP="00E02F30">
            <w:pPr>
              <w:spacing w:after="0" w:line="240" w:lineRule="auto"/>
              <w:ind w:left="731" w:hanging="731"/>
              <w:jc w:val="both"/>
              <w:rPr>
                <w:rFonts w:eastAsia="Times New Roman" w:cs="Arial"/>
                <w:sz w:val="20"/>
                <w:szCs w:val="20"/>
                <w:lang w:eastAsia="pl-PL"/>
              </w:rPr>
            </w:pPr>
            <w:r w:rsidRPr="00E02F30">
              <w:rPr>
                <w:rFonts w:eastAsia="Times New Roman" w:cs="Arial"/>
                <w:sz w:val="20"/>
                <w:szCs w:val="20"/>
                <w:lang w:eastAsia="pl-PL"/>
              </w:rPr>
              <w:t xml:space="preserve">(ii) </w:t>
            </w:r>
            <w:r w:rsidRPr="00E02F30">
              <w:rPr>
                <w:rFonts w:eastAsia="Times New Roman" w:cs="Arial"/>
                <w:sz w:val="20"/>
                <w:szCs w:val="20"/>
                <w:lang w:eastAsia="pl-PL"/>
              </w:rPr>
              <w:tab/>
              <w:t>analizę obejmującą określenie kontekstu organizacji, określenie potrzeb i oczekiwań zainteresowanych stron, określenie cech instalacji, które wiążą się z możliwym ryzykiem dla środowiska (lub zdrowia ludzkiego), jak również mających zastosowanie wymogów prawnych dotyczących środowiska;</w:t>
            </w:r>
          </w:p>
          <w:p w14:paraId="2F5FC86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(iii) </w:t>
            </w:r>
            <w:r w:rsidRPr="00E02F30">
              <w:rPr>
                <w:rFonts w:eastAsia="Times New Roman" w:cs="Arial"/>
                <w:sz w:val="20"/>
                <w:szCs w:val="20"/>
                <w:lang w:eastAsia="pl-PL"/>
              </w:rPr>
              <w:tab/>
              <w:t>opracowanie polityki ochrony środowiska, która obejmuje ciągłą poprawę efektywności środowiskowej instalacji;</w:t>
            </w:r>
          </w:p>
          <w:p w14:paraId="0899188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(iv)</w:t>
            </w:r>
            <w:r w:rsidRPr="00E02F30">
              <w:rPr>
                <w:rFonts w:eastAsia="Times New Roman" w:cs="Arial"/>
                <w:sz w:val="20"/>
                <w:szCs w:val="20"/>
                <w:lang w:eastAsia="pl-PL"/>
              </w:rPr>
              <w:tab/>
              <w:t>określenie celów i wskaźników efektywności w odniesieniu do znaczących aspektów środowiskowych, w tym zagwarantowanie zgodności z mającymi zastosowanie wymogami prawnymi;</w:t>
            </w:r>
          </w:p>
          <w:p w14:paraId="744FA4F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(v)</w:t>
            </w:r>
            <w:r w:rsidRPr="00E02F30">
              <w:rPr>
                <w:rFonts w:eastAsia="Times New Roman" w:cs="Arial"/>
                <w:sz w:val="20"/>
                <w:szCs w:val="20"/>
                <w:lang w:eastAsia="pl-PL"/>
              </w:rPr>
              <w:tab/>
              <w:t>planowanie i wdrażanie niezbędnych procedur i działań (w tym w razie potrzeby działań naprawczych i zapobiegawczych), aby osiągnąć cele środowiskowe i uniknąć ryzyka środowiskowego;</w:t>
            </w:r>
          </w:p>
          <w:p w14:paraId="2E78D6CD"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(vi)</w:t>
            </w:r>
            <w:r w:rsidRPr="00E02F30">
              <w:rPr>
                <w:rFonts w:eastAsia="Times New Roman" w:cs="Arial"/>
                <w:sz w:val="20"/>
                <w:szCs w:val="20"/>
                <w:lang w:eastAsia="pl-PL"/>
              </w:rPr>
              <w:tab/>
              <w:t>określenie struktur, ról i obowiązków w odniesieniu do aspektów i celów środowiskowych oraz zapewnienie niezbędnych zasobów finansowych i ludzkich;</w:t>
            </w:r>
          </w:p>
          <w:p w14:paraId="6CD5312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(vii)</w:t>
            </w:r>
            <w:r w:rsidRPr="00E02F30">
              <w:rPr>
                <w:rFonts w:eastAsia="Times New Roman" w:cs="Arial"/>
                <w:sz w:val="20"/>
                <w:szCs w:val="20"/>
                <w:lang w:eastAsia="pl-PL"/>
              </w:rPr>
              <w:tab/>
              <w:t>zapewnienie niezbędnych kompetencji i świadomości pracowników, których praca może mieć wpływ na efektywność środowiskową danej instalacji (np. przez przekazywanie informacji i szkolenia);</w:t>
            </w:r>
          </w:p>
          <w:p w14:paraId="49CB148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(viii)</w:t>
            </w:r>
            <w:r w:rsidRPr="00E02F30">
              <w:rPr>
                <w:rFonts w:eastAsia="Times New Roman" w:cs="Arial"/>
                <w:sz w:val="20"/>
                <w:szCs w:val="20"/>
                <w:lang w:eastAsia="pl-PL"/>
              </w:rPr>
              <w:tab/>
              <w:t>komunikację wewnętrzną i zewnętrzną;</w:t>
            </w:r>
          </w:p>
          <w:p w14:paraId="0EDF995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(ix)</w:t>
            </w:r>
            <w:r w:rsidRPr="00E02F30">
              <w:rPr>
                <w:rFonts w:eastAsia="Times New Roman" w:cs="Arial"/>
                <w:sz w:val="20"/>
                <w:szCs w:val="20"/>
                <w:lang w:eastAsia="pl-PL"/>
              </w:rPr>
              <w:tab/>
              <w:t>wspieranie zaangażowania pracowników w dobre praktyki zarządzania środowiskowego;</w:t>
            </w:r>
          </w:p>
          <w:p w14:paraId="3309B88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w:t>
            </w:r>
            <w:r w:rsidRPr="00E02F30">
              <w:rPr>
                <w:rFonts w:eastAsia="Times New Roman" w:cs="Arial"/>
                <w:sz w:val="20"/>
                <w:szCs w:val="20"/>
                <w:lang w:eastAsia="pl-PL"/>
              </w:rPr>
              <w:tab/>
              <w:t>opracowanie i stosowanie podręcznika zarządzania oraz pisemnych procedur w celu kontroli działalności o znaczącym wpływie na środowisko, jak również odpowiednich zapisów;</w:t>
            </w:r>
          </w:p>
          <w:p w14:paraId="16F9EA4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(xi)</w:t>
            </w:r>
            <w:r w:rsidRPr="00E02F30">
              <w:rPr>
                <w:rFonts w:eastAsia="Times New Roman" w:cs="Arial"/>
                <w:sz w:val="20"/>
                <w:szCs w:val="20"/>
                <w:lang w:eastAsia="pl-PL"/>
              </w:rPr>
              <w:tab/>
              <w:t>skuteczne planowanie operacyjne i kontrolę procesu;</w:t>
            </w:r>
          </w:p>
          <w:p w14:paraId="0C9DF66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(xii)</w:t>
            </w:r>
            <w:r w:rsidRPr="00E02F30">
              <w:rPr>
                <w:rFonts w:eastAsia="Times New Roman" w:cs="Arial"/>
                <w:sz w:val="20"/>
                <w:szCs w:val="20"/>
                <w:lang w:eastAsia="pl-PL"/>
              </w:rPr>
              <w:tab/>
              <w:t>wdrożenie odpowiednich programów konserwacji;</w:t>
            </w:r>
          </w:p>
          <w:p w14:paraId="23024E8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(xiii)</w:t>
            </w:r>
            <w:r w:rsidRPr="00E02F30">
              <w:rPr>
                <w:rFonts w:eastAsia="Times New Roman" w:cs="Arial"/>
                <w:sz w:val="20"/>
                <w:szCs w:val="20"/>
                <w:lang w:eastAsia="pl-PL"/>
              </w:rPr>
              <w:tab/>
              <w:t>protokoły gotowości i reagowania na wypadek sytuacji wyjątkowej, w tym zapobieganie niekorzystnemu oddziaływaniu (na środowisko) sytuacji wyjątkowych lub ograniczanie ich negatywnych skutków;</w:t>
            </w:r>
          </w:p>
          <w:p w14:paraId="2A8BF9C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(xiv)</w:t>
            </w:r>
            <w:r w:rsidRPr="00E02F30">
              <w:rPr>
                <w:rFonts w:eastAsia="Times New Roman" w:cs="Arial"/>
                <w:sz w:val="20"/>
                <w:szCs w:val="20"/>
                <w:lang w:eastAsia="pl-PL"/>
              </w:rPr>
              <w:tab/>
              <w:t>w przypadku (ponownego) zaprojektowania (nowej) instalacji lub jej części, uwzględnienie jej wpływu na środowisko w trakcie użytkowania, co obejmuje budowę, konserwację, eksploatację i likwidację;</w:t>
            </w:r>
          </w:p>
          <w:p w14:paraId="56F9DB2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(xv)</w:t>
            </w:r>
            <w:r w:rsidRPr="00E02F30">
              <w:rPr>
                <w:rFonts w:eastAsia="Times New Roman" w:cs="Arial"/>
                <w:sz w:val="20"/>
                <w:szCs w:val="20"/>
                <w:lang w:eastAsia="pl-PL"/>
              </w:rPr>
              <w:tab/>
              <w:t>wdrożenie programu monitorowania i pomiarów; w razie potrzeby informacje można znaleźć w sprawozdaniu referencyjnym dotyczącym monitorowania emisji do powietrza i wody z instalacji stacjonarnych;</w:t>
            </w:r>
          </w:p>
          <w:p w14:paraId="4A591FD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(xvi)</w:t>
            </w:r>
            <w:r w:rsidRPr="00E02F30">
              <w:rPr>
                <w:rFonts w:eastAsia="Times New Roman" w:cs="Arial"/>
                <w:sz w:val="20"/>
                <w:szCs w:val="20"/>
                <w:lang w:eastAsia="pl-PL"/>
              </w:rPr>
              <w:tab/>
              <w:t>regularne stosowanie sektorowej analizy porównawczej;</w:t>
            </w:r>
          </w:p>
          <w:p w14:paraId="582654B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(xvii)</w:t>
            </w:r>
            <w:r w:rsidRPr="00E02F30">
              <w:rPr>
                <w:rFonts w:eastAsia="Times New Roman" w:cs="Arial"/>
                <w:sz w:val="20"/>
                <w:szCs w:val="20"/>
                <w:lang w:eastAsia="pl-PL"/>
              </w:rPr>
              <w:tab/>
              <w:t>okresowe niezależne (na tyle, na ile to możliwe) audyty wewnętrzne i okresowe niezależne audyty zewnętrzne w celu oceny efektywności środowiskowej i ustalenia, czy EMS jest zgodny z zaplanowanymi rozwiązaniami i czy odpowiednio go wdrożono i utrzymywano;</w:t>
            </w:r>
          </w:p>
          <w:p w14:paraId="518BD3E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(xviii)</w:t>
            </w:r>
            <w:r w:rsidRPr="00E02F30">
              <w:rPr>
                <w:rFonts w:eastAsia="Times New Roman" w:cs="Arial"/>
                <w:sz w:val="20"/>
                <w:szCs w:val="20"/>
                <w:lang w:eastAsia="pl-PL"/>
              </w:rPr>
              <w:tab/>
              <w:t>ocenę przyczyn niezgodności, wdrażanie działań naprawczych w odpowiedzi na przypadki niezgodności, przegląd skuteczności działań naprawczych oraz ustalenie, czy podobne niezgodności istnieją lub mogą potencjalnie wystąpić;</w:t>
            </w:r>
          </w:p>
          <w:p w14:paraId="7C4C46C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(xix)</w:t>
            </w:r>
            <w:r w:rsidRPr="00E02F30">
              <w:rPr>
                <w:rFonts w:eastAsia="Times New Roman" w:cs="Arial"/>
                <w:sz w:val="20"/>
                <w:szCs w:val="20"/>
                <w:lang w:eastAsia="pl-PL"/>
              </w:rPr>
              <w:tab/>
              <w:t>okresowy przegląd EMS przeprowadzany przez kadrę kierowniczą najwyższego szczebla pod kątem jego stałej przydatności, adekwatności i skuteczności;</w:t>
            </w:r>
          </w:p>
          <w:p w14:paraId="15457ED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(xx)</w:t>
            </w:r>
            <w:r w:rsidRPr="00E02F30">
              <w:rPr>
                <w:rFonts w:eastAsia="Times New Roman" w:cs="Arial"/>
                <w:sz w:val="20"/>
                <w:szCs w:val="20"/>
                <w:lang w:eastAsia="pl-PL"/>
              </w:rPr>
              <w:tab/>
              <w:t>monitorowanie i uwzględnianie rozwoju czystszych technik.</w:t>
            </w:r>
          </w:p>
          <w:p w14:paraId="2620D44E" w14:textId="77777777" w:rsidR="00E02F30" w:rsidRPr="00E02F30" w:rsidRDefault="00E02F30" w:rsidP="00E02F30">
            <w:pPr>
              <w:spacing w:after="0" w:line="240" w:lineRule="auto"/>
              <w:jc w:val="both"/>
              <w:rPr>
                <w:rFonts w:eastAsia="Times New Roman" w:cs="Arial"/>
                <w:sz w:val="20"/>
                <w:szCs w:val="20"/>
                <w:lang w:eastAsia="pl-PL"/>
              </w:rPr>
            </w:pPr>
          </w:p>
          <w:p w14:paraId="547D7D0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Szczególnie w przypadku sektora chemicznego w ramach BAT należy również uwzględnić w EMS następujące elementy:</w:t>
            </w:r>
          </w:p>
          <w:p w14:paraId="6D31E3A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(xxi)</w:t>
            </w:r>
            <w:r w:rsidRPr="00E02F30">
              <w:rPr>
                <w:rFonts w:eastAsia="Times New Roman" w:cs="Arial"/>
                <w:sz w:val="20"/>
                <w:szCs w:val="20"/>
                <w:lang w:eastAsia="pl-PL"/>
              </w:rPr>
              <w:tab/>
              <w:t>wykaz emisji zorganizowanych i rozproszonych do powietrza (zob. BAT 2);</w:t>
            </w:r>
          </w:p>
          <w:p w14:paraId="2DF6AE3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(xxii)</w:t>
            </w:r>
            <w:r w:rsidRPr="00E02F30">
              <w:rPr>
                <w:rFonts w:eastAsia="Times New Roman" w:cs="Arial"/>
                <w:sz w:val="20"/>
                <w:szCs w:val="20"/>
                <w:lang w:eastAsia="pl-PL"/>
              </w:rPr>
              <w:tab/>
              <w:t>plan zarządzania w warunkach innych niż normalne warunki eksploatacji w zakresie emisji do powietrza (zob. BAT 3);</w:t>
            </w:r>
          </w:p>
          <w:p w14:paraId="6B876C0B"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(xxiii)</w:t>
            </w:r>
            <w:r w:rsidRPr="00E02F30">
              <w:rPr>
                <w:rFonts w:eastAsia="Times New Roman" w:cs="Arial"/>
                <w:sz w:val="20"/>
                <w:szCs w:val="20"/>
                <w:lang w:eastAsia="pl-PL"/>
              </w:rPr>
              <w:tab/>
              <w:t>zintegrowaną strategię zarządzania gazami odlotowymi i ich oczyszczania w odniesieniu do emisji zorganizowanych do powietrza (zob. BAT 4);</w:t>
            </w:r>
          </w:p>
          <w:p w14:paraId="4548D4F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(xxiv)</w:t>
            </w:r>
            <w:r w:rsidRPr="00E02F30">
              <w:rPr>
                <w:rFonts w:eastAsia="Times New Roman" w:cs="Arial"/>
                <w:sz w:val="20"/>
                <w:szCs w:val="20"/>
                <w:lang w:eastAsia="pl-PL"/>
              </w:rPr>
              <w:tab/>
              <w:t>system zarządzania emisjami rozproszonymi LZO do powietrza (zob. BAT 19);</w:t>
            </w:r>
          </w:p>
          <w:p w14:paraId="161DC73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(xxv)</w:t>
            </w:r>
            <w:r w:rsidRPr="00E02F30">
              <w:rPr>
                <w:rFonts w:eastAsia="Times New Roman" w:cs="Arial"/>
                <w:sz w:val="20"/>
                <w:szCs w:val="20"/>
                <w:lang w:eastAsia="pl-PL"/>
              </w:rPr>
              <w:tab/>
              <w:t>system zarządzania chemikaliami obejmujący wykaz substancji stwarzających zagrożenie i substancji stanowiących bardzo duże zagrożenie, wykorzystywanych w procesie lub procesach; potencjał zastąpienia substancji wymienionych w tym wykazie, ze szczególnym uwzględnieniem substancji innych niż surowce, analizuje się okresowo (np. co roku) w celu zidentyfikowania ewentualnych nowych dostępnych i bezpieczniejszych rozwiązań alternatywnych, które nie mają wpływu na środowisko lub mają mniejszy wpływ na środowisko.</w:t>
            </w:r>
          </w:p>
          <w:p w14:paraId="0F715704" w14:textId="77777777" w:rsidR="00E02F30" w:rsidRPr="00E02F30" w:rsidRDefault="00E02F30" w:rsidP="00E02F30">
            <w:pPr>
              <w:spacing w:after="0" w:line="240" w:lineRule="auto"/>
              <w:jc w:val="both"/>
              <w:rPr>
                <w:rFonts w:eastAsia="Times New Roman" w:cs="Arial"/>
                <w:sz w:val="20"/>
                <w:szCs w:val="20"/>
                <w:lang w:eastAsia="pl-PL"/>
              </w:rPr>
            </w:pPr>
          </w:p>
          <w:p w14:paraId="0A23DE7E" w14:textId="77777777" w:rsidR="00E02F30" w:rsidRPr="00E02F30" w:rsidRDefault="00E02F30" w:rsidP="00E02F30">
            <w:pPr>
              <w:spacing w:after="0" w:line="240" w:lineRule="auto"/>
              <w:jc w:val="both"/>
              <w:rPr>
                <w:rFonts w:eastAsia="Times New Roman" w:cs="Arial"/>
                <w:sz w:val="20"/>
                <w:szCs w:val="20"/>
                <w:lang w:eastAsia="pl-PL"/>
              </w:rPr>
            </w:pPr>
          </w:p>
        </w:tc>
      </w:tr>
      <w:tr w:rsidR="00E02F30" w:rsidRPr="00E02F30" w14:paraId="727D0A02" w14:textId="77777777" w:rsidTr="00A1631B">
        <w:trPr>
          <w:trHeight w:val="6435"/>
        </w:trPr>
        <w:tc>
          <w:tcPr>
            <w:tcW w:w="3885" w:type="dxa"/>
            <w:gridSpan w:val="5"/>
            <w:shd w:val="clear" w:color="auto" w:fill="auto"/>
          </w:tcPr>
          <w:p w14:paraId="382A3E85"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7AD39B3"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6747" w:type="dxa"/>
            <w:shd w:val="clear" w:color="auto" w:fill="auto"/>
          </w:tcPr>
          <w:p w14:paraId="5B8B6982" w14:textId="77777777" w:rsidR="00E02F30" w:rsidRPr="00E02F30" w:rsidRDefault="00E02F30" w:rsidP="00E02F30">
            <w:pPr>
              <w:tabs>
                <w:tab w:val="left" w:pos="4700"/>
              </w:tabs>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0E5B862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 zakładzie 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o.o.  jest wdrożony:</w:t>
            </w:r>
          </w:p>
          <w:p w14:paraId="68357B0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System Zarządzania Jakością ISO 9001:2015, </w:t>
            </w:r>
          </w:p>
          <w:p w14:paraId="66BD899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System Zarządzania Środowiskowego oparty na wymaganiach normy PN – EN ISO 14001:2015 </w:t>
            </w:r>
          </w:p>
          <w:p w14:paraId="1055569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System Zarządzania Bezpieczeństwem oparty na wymaganiach normy PN ISO 45001:2018.</w:t>
            </w:r>
          </w:p>
          <w:p w14:paraId="34E73FF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 </w:t>
            </w:r>
          </w:p>
          <w:p w14:paraId="268E86A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System Zarządzania Środowiskowego zawiera wszystkie wymagane w BAT 1 elementy:</w:t>
            </w:r>
          </w:p>
          <w:p w14:paraId="44D19CC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(i) zaangażowanie kierownictwa, w tym kadry kierowniczej wyższego szczebla,</w:t>
            </w:r>
          </w:p>
          <w:p w14:paraId="3878306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(ii) kontekst organizacji, określenie potrzeb i oczekiwań zainteresowanych stron, określenie cech instalacji,</w:t>
            </w:r>
          </w:p>
          <w:p w14:paraId="75E6669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(iv) cele i wskaźniki efektywności w odniesieniu do znaczących aspektów środowiskowych,</w:t>
            </w:r>
          </w:p>
          <w:p w14:paraId="22F99F8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(v) procedury i działania (w tym w razie potrzeby działania naprawcze i zapobiegawcze), aby osiągnąć cele środowiskowe i uniknąć ryzyka środowiskowego,</w:t>
            </w:r>
          </w:p>
          <w:p w14:paraId="5D6978D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(vi) struktury, role i obowiązki w odniesieniu do aspektów i celów środowiskowych,</w:t>
            </w:r>
          </w:p>
          <w:p w14:paraId="324EEEC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 procedury i instrukcje środowiskowe,</w:t>
            </w:r>
          </w:p>
          <w:p w14:paraId="192A69F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(xi) planowanie operacyjne i kontrolę procesu, w tym programy konserwacji (xii),</w:t>
            </w:r>
          </w:p>
          <w:p w14:paraId="0B2FC1E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(xiii) protokoły gotowości i reagowania na wypadek sytuacji wyjątkowej,</w:t>
            </w:r>
          </w:p>
          <w:p w14:paraId="422EBC5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(xv) program monitorowania i pomiarów,</w:t>
            </w:r>
          </w:p>
          <w:p w14:paraId="15FB63D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(xvii) audyty wewnętrzne i okresowe audyty zewnętrzne,</w:t>
            </w:r>
          </w:p>
          <w:p w14:paraId="6832F97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(xviii) oceny przyczyn niezgodności, wdrażanie działań naprawczych, przegląd ich skuteczności,</w:t>
            </w:r>
          </w:p>
          <w:p w14:paraId="06991E7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(xvi) stosowanie sektorowej analizy porównawczej i uwzględnianie rozwoju czystszych technik (xx),</w:t>
            </w:r>
          </w:p>
          <w:p w14:paraId="3B3201E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(xix) okresowe przeglądy systemu zarządzania przeprowadzane przez kadrę kierowniczą najwyższego szczebla,</w:t>
            </w:r>
          </w:p>
          <w:p w14:paraId="0880233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(xxi) wykaz emisji zorganizowanych do powietrza (brak emisji niezorganizowanych w instalacjach)</w:t>
            </w:r>
          </w:p>
          <w:p w14:paraId="36D380B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(xxii) plan zarządzania w warunkach innych niż normalne warunki eksploatacji w zakresie emisji do powietrza,</w:t>
            </w:r>
          </w:p>
          <w:p w14:paraId="6AFEE6B7"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(xxiii) zintegrowana strategia zarządzania gazami odlotowymi i ich oczyszczania w odniesieniu do emisji zorganizowanych do powietrza,</w:t>
            </w:r>
          </w:p>
          <w:p w14:paraId="4FE5F7A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(xxiv) system zarządzania emisjami rozproszonymi LZO do powietrza (na etapie analizy i wdrażania),</w:t>
            </w:r>
          </w:p>
          <w:p w14:paraId="445BE27E"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(xxv) system zarządzania chemikaliami obejmujący wykaz substancji stwarzających zagrożenie i substancji stanowiących bardzo duże zagrożenie, wykorzystywanych w procesie lub procesach.</w:t>
            </w:r>
          </w:p>
          <w:p w14:paraId="140CE786" w14:textId="77777777" w:rsidR="00E02F30" w:rsidRPr="00E02F30" w:rsidRDefault="00E02F30" w:rsidP="00E02F30">
            <w:pPr>
              <w:spacing w:after="0" w:line="240" w:lineRule="auto"/>
              <w:jc w:val="both"/>
              <w:rPr>
                <w:rFonts w:eastAsia="Times New Roman" w:cs="Arial"/>
                <w:sz w:val="20"/>
                <w:szCs w:val="20"/>
                <w:lang w:eastAsia="pl-PL"/>
              </w:rPr>
            </w:pPr>
          </w:p>
          <w:p w14:paraId="4E1ABACC"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firmie jest ustanowiona Polityka Środowiskowa (iii) oraz są przypisane odpowiedzialności dla realizacji celów środowiskowych i ciągłego doskonalenia procesów. Istnieje system dokumentacji zgodny z wymaganiami normy ISO 14001. W ramach systemu są wdrożone narzędzia do jego monitorowania, system szkoleń (vii) i wspierania zaangażowania pracowników w dobre praktyki zarządzania środowiskowego (ix), system komunikacji zewnętrznej i wewnętrznej (viii), system działań zapobiegawczych w odniesieniu do urządzeń i procesów. W obszarach, gdzie wymagane było opracowanie dokumentacji lokalnej, została ona stworzona i wdrożona do stosowania. Są prowadzone zapisy z realizacji zadań środowiskowych.</w:t>
            </w:r>
          </w:p>
        </w:tc>
      </w:tr>
      <w:tr w:rsidR="00E02F30" w:rsidRPr="00E02F30" w14:paraId="2BAD73EA" w14:textId="77777777" w:rsidTr="00A1631B">
        <w:trPr>
          <w:trHeight w:val="284"/>
        </w:trPr>
        <w:tc>
          <w:tcPr>
            <w:tcW w:w="10632" w:type="dxa"/>
            <w:gridSpan w:val="6"/>
            <w:shd w:val="clear" w:color="auto" w:fill="auto"/>
          </w:tcPr>
          <w:p w14:paraId="41F5F021"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2</w:t>
            </w:r>
          </w:p>
          <w:p w14:paraId="1309F024"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W celu łatwiejszego ograniczenia emisji do powietrza w ramach BAT należy ustanowić, prowadzić i regularnie rewidować (w tym w przypadku wystąpienia istotnej zmiany) wykaz emisji zorganizowanych i rozproszonych do powietrza, jako część systemu zarządzania środowiskowego (zob. BAT 1), obejmujący wszystkie następujące elementy:</w:t>
            </w:r>
          </w:p>
          <w:p w14:paraId="7F4E59DC" w14:textId="77777777" w:rsidR="00E02F30" w:rsidRPr="00E02F30" w:rsidRDefault="00E02F30">
            <w:pPr>
              <w:numPr>
                <w:ilvl w:val="0"/>
                <w:numId w:val="59"/>
              </w:numPr>
              <w:spacing w:before="120" w:after="120" w:line="240" w:lineRule="auto"/>
              <w:ind w:left="539" w:hanging="501"/>
              <w:jc w:val="both"/>
              <w:rPr>
                <w:rFonts w:eastAsia="Times New Roman" w:cs="Arial"/>
                <w:bCs/>
                <w:sz w:val="20"/>
                <w:szCs w:val="20"/>
                <w:lang w:eastAsia="pl-PL"/>
              </w:rPr>
            </w:pPr>
            <w:r w:rsidRPr="00E02F30">
              <w:rPr>
                <w:rFonts w:eastAsia="Times New Roman" w:cs="Arial"/>
                <w:bCs/>
                <w:sz w:val="20"/>
                <w:szCs w:val="20"/>
                <w:lang w:eastAsia="pl-PL"/>
              </w:rPr>
              <w:t>informacje na tyle wyczerpujące, na ile jest to racjonalnie możliwe, o procesie produkcji chemicznej, w tym:</w:t>
            </w:r>
          </w:p>
          <w:p w14:paraId="7BDA4361" w14:textId="77777777" w:rsidR="00E02F30" w:rsidRPr="00E02F30" w:rsidRDefault="00E02F30">
            <w:pPr>
              <w:numPr>
                <w:ilvl w:val="1"/>
                <w:numId w:val="59"/>
              </w:numPr>
              <w:tabs>
                <w:tab w:val="left" w:pos="625"/>
              </w:tabs>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równania reakcji chemicznych, ze wskazaniem również produktów ubocznych;</w:t>
            </w:r>
          </w:p>
          <w:p w14:paraId="7F57E72E" w14:textId="77777777" w:rsidR="00E02F30" w:rsidRPr="00E02F30" w:rsidRDefault="00E02F30">
            <w:pPr>
              <w:numPr>
                <w:ilvl w:val="1"/>
                <w:numId w:val="59"/>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uproszczone schematy sekwencji procesów pokazujące pochodzenie emisji;</w:t>
            </w:r>
          </w:p>
          <w:p w14:paraId="6A4CD528" w14:textId="77777777" w:rsidR="00E02F30" w:rsidRPr="00E02F30" w:rsidRDefault="00E02F30">
            <w:pPr>
              <w:numPr>
                <w:ilvl w:val="0"/>
                <w:numId w:val="59"/>
              </w:numPr>
              <w:spacing w:before="120" w:after="120" w:line="240" w:lineRule="auto"/>
              <w:ind w:left="501" w:hanging="501"/>
              <w:jc w:val="both"/>
              <w:rPr>
                <w:rFonts w:eastAsia="Times New Roman" w:cs="Arial"/>
                <w:bCs/>
                <w:sz w:val="20"/>
                <w:szCs w:val="20"/>
                <w:lang w:eastAsia="pl-PL"/>
              </w:rPr>
            </w:pPr>
            <w:r w:rsidRPr="00E02F30">
              <w:rPr>
                <w:rFonts w:eastAsia="Times New Roman" w:cs="Arial"/>
                <w:bCs/>
                <w:sz w:val="20"/>
                <w:szCs w:val="20"/>
                <w:lang w:eastAsia="pl-PL"/>
              </w:rPr>
              <w:t>informacje na tyle wyczerpujące, na ile jest to racjonalnie możliwe, o emisjach zorganizowanych do powietrza, takie jak:</w:t>
            </w:r>
          </w:p>
          <w:p w14:paraId="209A4CB4" w14:textId="77777777" w:rsidR="00E02F30" w:rsidRPr="00E02F30" w:rsidRDefault="00E02F30">
            <w:pPr>
              <w:numPr>
                <w:ilvl w:val="1"/>
                <w:numId w:val="59"/>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punktowe źródła emisji;</w:t>
            </w:r>
          </w:p>
          <w:p w14:paraId="5A7D61D1" w14:textId="77777777" w:rsidR="00E02F30" w:rsidRPr="00E02F30" w:rsidRDefault="00E02F30">
            <w:pPr>
              <w:numPr>
                <w:ilvl w:val="1"/>
                <w:numId w:val="59"/>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wartości średnie i zmienność przepływu oraz temperatury;</w:t>
            </w:r>
          </w:p>
          <w:p w14:paraId="171E7342" w14:textId="77777777" w:rsidR="00E02F30" w:rsidRPr="00E02F30" w:rsidRDefault="00E02F30">
            <w:pPr>
              <w:numPr>
                <w:ilvl w:val="1"/>
                <w:numId w:val="59"/>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średnie stężenie i wartości przepływu masowego odpowiednich substancji/parametrów i ich zmienność (np. TVOC, CO, NOX, SOX, Cl2, HCl);</w:t>
            </w:r>
          </w:p>
          <w:p w14:paraId="063866C6" w14:textId="77777777" w:rsidR="00E02F30" w:rsidRPr="00E02F30" w:rsidRDefault="00E02F30">
            <w:pPr>
              <w:numPr>
                <w:ilvl w:val="1"/>
                <w:numId w:val="59"/>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obecność innych substancji mogących wpływać na układ lub układy oczyszczania gazów odlotowych lub bezpieczeństwo zespołu urządzeń (np. tlenu, azotu, pary wodnej, pyłu);</w:t>
            </w:r>
          </w:p>
          <w:p w14:paraId="3CCB6B75" w14:textId="77777777" w:rsidR="00E02F30" w:rsidRPr="00E02F30" w:rsidRDefault="00E02F30">
            <w:pPr>
              <w:numPr>
                <w:ilvl w:val="1"/>
                <w:numId w:val="59"/>
              </w:numPr>
              <w:spacing w:before="120" w:after="120" w:line="240" w:lineRule="auto"/>
              <w:ind w:left="605"/>
              <w:jc w:val="both"/>
              <w:rPr>
                <w:rFonts w:eastAsia="Times New Roman" w:cs="Arial"/>
                <w:bCs/>
                <w:sz w:val="20"/>
                <w:szCs w:val="20"/>
                <w:lang w:eastAsia="pl-PL"/>
              </w:rPr>
            </w:pPr>
            <w:r w:rsidRPr="00E02F30">
              <w:rPr>
                <w:rFonts w:eastAsia="Times New Roman" w:cs="Arial"/>
                <w:bCs/>
                <w:sz w:val="20"/>
                <w:szCs w:val="20"/>
                <w:lang w:eastAsia="pl-PL"/>
              </w:rPr>
              <w:t>techniki stosowane w celu zapobiegania emisjom zorganizowanym do powietrza lub ich ograniczania;</w:t>
            </w:r>
          </w:p>
          <w:p w14:paraId="62E643D0" w14:textId="77777777" w:rsidR="00E02F30" w:rsidRPr="00E02F30" w:rsidRDefault="00E02F30">
            <w:pPr>
              <w:numPr>
                <w:ilvl w:val="1"/>
                <w:numId w:val="59"/>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palność, górna i dolna granica wybuchowości, reaktywność;</w:t>
            </w:r>
          </w:p>
          <w:p w14:paraId="36C47A60" w14:textId="77777777" w:rsidR="00E02F30" w:rsidRPr="00E02F30" w:rsidRDefault="00E02F30">
            <w:pPr>
              <w:numPr>
                <w:ilvl w:val="1"/>
                <w:numId w:val="59"/>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metody monitorowania (zob. BAT 8);</w:t>
            </w:r>
          </w:p>
          <w:p w14:paraId="2A97795C" w14:textId="77777777" w:rsidR="00E02F30" w:rsidRPr="00E02F30" w:rsidRDefault="00E02F30">
            <w:pPr>
              <w:numPr>
                <w:ilvl w:val="1"/>
                <w:numId w:val="59"/>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obecność substancji sklasyfikowanych jako substancje CMR kategorii 1 A, 1B lub 2; obecność takich substancji można na przykład oceniać zgodnie z kryteriami określonymi w rozporządzeniu (WE) 1272/2008 w sprawie klasyfikacji, oznakowania i pakowania (rozporządzenie CLP);</w:t>
            </w:r>
          </w:p>
          <w:p w14:paraId="10179903" w14:textId="77777777" w:rsidR="00E02F30" w:rsidRPr="00E02F30" w:rsidRDefault="00E02F30">
            <w:pPr>
              <w:numPr>
                <w:ilvl w:val="0"/>
                <w:numId w:val="59"/>
              </w:numPr>
              <w:spacing w:before="120" w:after="120" w:line="240" w:lineRule="auto"/>
              <w:ind w:left="463" w:hanging="425"/>
              <w:jc w:val="both"/>
              <w:rPr>
                <w:rFonts w:eastAsia="Times New Roman" w:cs="Arial"/>
                <w:bCs/>
                <w:sz w:val="20"/>
                <w:szCs w:val="20"/>
                <w:lang w:eastAsia="pl-PL"/>
              </w:rPr>
            </w:pPr>
            <w:r w:rsidRPr="00E02F30">
              <w:rPr>
                <w:rFonts w:eastAsia="Times New Roman" w:cs="Arial"/>
                <w:bCs/>
                <w:sz w:val="20"/>
                <w:szCs w:val="20"/>
                <w:lang w:eastAsia="pl-PL"/>
              </w:rPr>
              <w:t xml:space="preserve">informacje na tyle wyczerpujące, na ile jest to racjonalnie możliwe, o emisjach rozproszonych, takie jak: </w:t>
            </w:r>
          </w:p>
          <w:p w14:paraId="7455D2B7" w14:textId="77777777" w:rsidR="00E02F30" w:rsidRPr="00E02F30" w:rsidRDefault="00E02F30">
            <w:pPr>
              <w:numPr>
                <w:ilvl w:val="0"/>
                <w:numId w:val="68"/>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identyfikacja źródła lub źródeł emisji;</w:t>
            </w:r>
          </w:p>
          <w:p w14:paraId="1B81B363" w14:textId="77777777" w:rsidR="00E02F30" w:rsidRPr="00E02F30" w:rsidRDefault="00E02F30">
            <w:pPr>
              <w:numPr>
                <w:ilvl w:val="0"/>
                <w:numId w:val="68"/>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charakterystyka każdego źródła emisji (np. ulotne lub nieulotne; statyczne lub ruchome; dostępność źródła emisji; objęte programem LDAR lub nie);</w:t>
            </w:r>
          </w:p>
          <w:p w14:paraId="59CBAF03" w14:textId="77777777" w:rsidR="00E02F30" w:rsidRPr="00E02F30" w:rsidRDefault="00E02F30">
            <w:pPr>
              <w:numPr>
                <w:ilvl w:val="0"/>
                <w:numId w:val="68"/>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charakterystyka gazu lub cieczy w kontakcie ze źródłem lub źródłami emisji, w tym:</w:t>
            </w:r>
          </w:p>
          <w:p w14:paraId="7605DBF4" w14:textId="77777777" w:rsidR="00E02F30" w:rsidRPr="00E02F30" w:rsidRDefault="00E02F30">
            <w:pPr>
              <w:numPr>
                <w:ilvl w:val="2"/>
                <w:numId w:val="59"/>
              </w:numPr>
              <w:spacing w:before="120" w:after="120" w:line="240" w:lineRule="auto"/>
              <w:ind w:hanging="737"/>
              <w:jc w:val="both"/>
              <w:rPr>
                <w:rFonts w:eastAsia="Times New Roman" w:cs="Arial"/>
                <w:bCs/>
                <w:sz w:val="20"/>
                <w:szCs w:val="20"/>
                <w:lang w:eastAsia="pl-PL"/>
              </w:rPr>
            </w:pPr>
            <w:r w:rsidRPr="00E02F30">
              <w:rPr>
                <w:rFonts w:eastAsia="Times New Roman" w:cs="Arial"/>
                <w:bCs/>
                <w:sz w:val="20"/>
                <w:szCs w:val="20"/>
                <w:lang w:eastAsia="pl-PL"/>
              </w:rPr>
              <w:t>stan skupienia;</w:t>
            </w:r>
          </w:p>
          <w:p w14:paraId="59D425FC" w14:textId="77777777" w:rsidR="00E02F30" w:rsidRPr="00E02F30" w:rsidRDefault="00E02F30">
            <w:pPr>
              <w:numPr>
                <w:ilvl w:val="2"/>
                <w:numId w:val="59"/>
              </w:numPr>
              <w:spacing w:before="120" w:after="120" w:line="240" w:lineRule="auto"/>
              <w:ind w:hanging="737"/>
              <w:jc w:val="both"/>
              <w:rPr>
                <w:rFonts w:eastAsia="Times New Roman" w:cs="Arial"/>
                <w:bCs/>
                <w:sz w:val="20"/>
                <w:szCs w:val="20"/>
                <w:lang w:eastAsia="pl-PL"/>
              </w:rPr>
            </w:pPr>
            <w:r w:rsidRPr="00E02F30">
              <w:rPr>
                <w:rFonts w:eastAsia="Times New Roman" w:cs="Arial"/>
                <w:bCs/>
                <w:sz w:val="20"/>
                <w:szCs w:val="20"/>
                <w:lang w:eastAsia="pl-PL"/>
              </w:rPr>
              <w:t>prężność par substancji w płynie, ciśnienie gazu;</w:t>
            </w:r>
          </w:p>
          <w:p w14:paraId="3AC2289D" w14:textId="77777777" w:rsidR="00E02F30" w:rsidRPr="00E02F30" w:rsidRDefault="00E02F30">
            <w:pPr>
              <w:numPr>
                <w:ilvl w:val="2"/>
                <w:numId w:val="59"/>
              </w:numPr>
              <w:spacing w:before="120" w:after="120" w:line="240" w:lineRule="auto"/>
              <w:ind w:hanging="737"/>
              <w:jc w:val="both"/>
              <w:rPr>
                <w:rFonts w:eastAsia="Times New Roman" w:cs="Arial"/>
                <w:bCs/>
                <w:sz w:val="20"/>
                <w:szCs w:val="20"/>
                <w:lang w:eastAsia="pl-PL"/>
              </w:rPr>
            </w:pPr>
            <w:r w:rsidRPr="00E02F30">
              <w:rPr>
                <w:rFonts w:eastAsia="Times New Roman" w:cs="Arial"/>
                <w:bCs/>
                <w:sz w:val="20"/>
                <w:szCs w:val="20"/>
                <w:lang w:eastAsia="pl-PL"/>
              </w:rPr>
              <w:t>temperatura;</w:t>
            </w:r>
          </w:p>
          <w:p w14:paraId="459CD05F" w14:textId="77777777" w:rsidR="00E02F30" w:rsidRPr="00E02F30" w:rsidRDefault="00E02F30">
            <w:pPr>
              <w:numPr>
                <w:ilvl w:val="2"/>
                <w:numId w:val="59"/>
              </w:numPr>
              <w:spacing w:before="120" w:after="120" w:line="240" w:lineRule="auto"/>
              <w:ind w:hanging="737"/>
              <w:jc w:val="both"/>
              <w:rPr>
                <w:rFonts w:eastAsia="Times New Roman" w:cs="Arial"/>
                <w:bCs/>
                <w:sz w:val="20"/>
                <w:szCs w:val="20"/>
                <w:lang w:eastAsia="pl-PL"/>
              </w:rPr>
            </w:pPr>
            <w:r w:rsidRPr="00E02F30">
              <w:rPr>
                <w:rFonts w:eastAsia="Times New Roman" w:cs="Arial"/>
                <w:bCs/>
                <w:sz w:val="20"/>
                <w:szCs w:val="20"/>
                <w:lang w:eastAsia="pl-PL"/>
              </w:rPr>
              <w:t>skład (wagowy w przypadku cieczy lub objętościowy w przypadku gazów);</w:t>
            </w:r>
          </w:p>
          <w:p w14:paraId="2BF2B557" w14:textId="77777777" w:rsidR="00E02F30" w:rsidRPr="00E02F30" w:rsidRDefault="00E02F30">
            <w:pPr>
              <w:numPr>
                <w:ilvl w:val="2"/>
                <w:numId w:val="59"/>
              </w:numPr>
              <w:spacing w:before="120" w:after="120" w:line="240" w:lineRule="auto"/>
              <w:ind w:hanging="737"/>
              <w:jc w:val="both"/>
              <w:rPr>
                <w:rFonts w:eastAsia="Times New Roman" w:cs="Arial"/>
                <w:bCs/>
                <w:sz w:val="20"/>
                <w:szCs w:val="20"/>
                <w:lang w:eastAsia="pl-PL"/>
              </w:rPr>
            </w:pPr>
            <w:r w:rsidRPr="00E02F30">
              <w:rPr>
                <w:rFonts w:eastAsia="Times New Roman" w:cs="Arial"/>
                <w:bCs/>
                <w:sz w:val="20"/>
                <w:szCs w:val="20"/>
                <w:lang w:eastAsia="pl-PL"/>
              </w:rPr>
              <w:t>niebezpieczne właściwości substancji lub mieszanin, w tym substancji lub mieszanin sklasyfikowanych jako substancje CMR kategorii 1 A, 1B lub 2;</w:t>
            </w:r>
          </w:p>
          <w:p w14:paraId="19238281" w14:textId="77777777" w:rsidR="00E02F30" w:rsidRPr="00E02F30" w:rsidRDefault="00E02F30">
            <w:pPr>
              <w:numPr>
                <w:ilvl w:val="1"/>
                <w:numId w:val="60"/>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techniki stosowane w celu zapobiegania emisjom rozproszonym do powietrza lub ich ograniczania;</w:t>
            </w:r>
          </w:p>
          <w:p w14:paraId="025255AD" w14:textId="77777777" w:rsidR="00E02F30" w:rsidRPr="00E02F30" w:rsidRDefault="00E02F30">
            <w:pPr>
              <w:numPr>
                <w:ilvl w:val="1"/>
                <w:numId w:val="60"/>
              </w:numPr>
              <w:spacing w:before="120" w:after="120" w:line="240" w:lineRule="auto"/>
              <w:ind w:left="889" w:hanging="284"/>
              <w:jc w:val="both"/>
              <w:rPr>
                <w:rFonts w:eastAsia="Times New Roman" w:cs="Arial"/>
                <w:bCs/>
                <w:sz w:val="20"/>
                <w:szCs w:val="20"/>
                <w:lang w:eastAsia="pl-PL"/>
              </w:rPr>
            </w:pPr>
            <w:r w:rsidRPr="00E02F30">
              <w:rPr>
                <w:rFonts w:eastAsia="Times New Roman" w:cs="Arial"/>
                <w:bCs/>
                <w:sz w:val="20"/>
                <w:szCs w:val="20"/>
                <w:lang w:eastAsia="pl-PL"/>
              </w:rPr>
              <w:t>monitorowanie (zob. BAT 20, BAT 21 i BAT 22).</w:t>
            </w:r>
          </w:p>
        </w:tc>
      </w:tr>
      <w:tr w:rsidR="00E02F30" w:rsidRPr="00E02F30" w14:paraId="2DBDB99F" w14:textId="77777777" w:rsidTr="00A1631B">
        <w:trPr>
          <w:trHeight w:val="284"/>
        </w:trPr>
        <w:tc>
          <w:tcPr>
            <w:tcW w:w="3868" w:type="dxa"/>
            <w:gridSpan w:val="4"/>
            <w:shd w:val="clear" w:color="auto" w:fill="auto"/>
          </w:tcPr>
          <w:p w14:paraId="384495FA"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3A3A6A9E"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6764" w:type="dxa"/>
            <w:gridSpan w:val="2"/>
            <w:shd w:val="clear" w:color="auto" w:fill="auto"/>
          </w:tcPr>
          <w:p w14:paraId="6E18FE38" w14:textId="77777777" w:rsidR="00E02F30" w:rsidRPr="00E02F30" w:rsidRDefault="00E02F30" w:rsidP="00E02F30">
            <w:pPr>
              <w:tabs>
                <w:tab w:val="left" w:pos="4700"/>
              </w:tabs>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4FDDADD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System zarządzania środowiskowego obejmuje wykaz emisji zorganizowanych i rozproszonych do powietrza, który zawiera m.in.:</w:t>
            </w:r>
          </w:p>
          <w:p w14:paraId="066308E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(i) informacje o procesach chemicznych, w tym równania reakcji chemicznych oraz schematy procesów z uwzględnieniem pochodzenia emisji – informacje te są zawarte w Instrukcjach Ruchowych IR i Arkuszach Technologicznych AT oraz w Opisach Procesów Technologicznych OPT,</w:t>
            </w:r>
          </w:p>
          <w:p w14:paraId="2059E3D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(ii) informacje o emisjach zorganizowanych do powietrza, w tym punktowe źródła emisji, zmienność przepływu i temperatury, średnie stężenie emitowanych substancji, techniki zapobiegania emisjom lub ich ograniczenie, charakterystyka substancji, metody monitorowania,</w:t>
            </w:r>
          </w:p>
          <w:p w14:paraId="33872326"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(iii) informacje dotyczące emisji rozproszonych, w tym analiza i przegląd poszczególnych elementów instalacji w celu identyfikacji potencjalnych miejsc emisji rozproszonych (w czasie normalnej eksploatacji instalacji nie występuje emisja rozproszona).</w:t>
            </w:r>
          </w:p>
          <w:p w14:paraId="625C336E" w14:textId="77777777" w:rsidR="00E02F30" w:rsidRPr="00E02F30" w:rsidRDefault="00E02F30" w:rsidP="00E02F30">
            <w:pPr>
              <w:spacing w:after="0" w:line="240" w:lineRule="auto"/>
              <w:jc w:val="both"/>
              <w:rPr>
                <w:rFonts w:eastAsia="Times New Roman" w:cs="Arial"/>
                <w:bCs/>
                <w:sz w:val="20"/>
                <w:szCs w:val="20"/>
                <w:lang w:eastAsia="pl-PL"/>
              </w:rPr>
            </w:pPr>
          </w:p>
          <w:p w14:paraId="062DFFD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Potencjalne źródła emisji rozproszonych są zidentyfikowane w ramach scenariuszy awaryjnych w Wewnętrznym Planie Operacyjno-Ratowniczym. </w:t>
            </w:r>
            <w:proofErr w:type="spellStart"/>
            <w:r w:rsidRPr="00E02F30">
              <w:rPr>
                <w:rFonts w:eastAsia="Times New Roman" w:cs="Arial"/>
                <w:bCs/>
                <w:sz w:val="20"/>
                <w:szCs w:val="20"/>
                <w:lang w:eastAsia="pl-PL"/>
              </w:rPr>
              <w:t>Odgazy</w:t>
            </w:r>
            <w:proofErr w:type="spellEnd"/>
            <w:r w:rsidRPr="00E02F30">
              <w:rPr>
                <w:rFonts w:eastAsia="Times New Roman" w:cs="Arial"/>
                <w:bCs/>
                <w:sz w:val="20"/>
                <w:szCs w:val="20"/>
                <w:lang w:eastAsia="pl-PL"/>
              </w:rPr>
              <w:t xml:space="preserve"> znad reaktorów, mieszalników, homogenizatorów, wyparek oraz zbiorników są kierowane do różnych środków technicznych i urządzeń oczyszczających tj. filtry (przeciwpyłowy, tkaninowy) oraz adsorbery. Prowadzony jest systematyczny nadzór instalacji pozwalający na szybkie rozpoznanie i reagowanie w przypadku wycieków. Prowadzone są również regularne przeglądy i konserwacje instalacji zgodnie z  ustalonymi harmonogramami.</w:t>
            </w:r>
          </w:p>
        </w:tc>
      </w:tr>
      <w:tr w:rsidR="00E02F30" w:rsidRPr="00E02F30" w14:paraId="6A0C527F" w14:textId="77777777" w:rsidTr="00A1631B">
        <w:trPr>
          <w:trHeight w:val="284"/>
        </w:trPr>
        <w:tc>
          <w:tcPr>
            <w:tcW w:w="10632" w:type="dxa"/>
            <w:gridSpan w:val="6"/>
            <w:shd w:val="clear" w:color="auto" w:fill="auto"/>
          </w:tcPr>
          <w:p w14:paraId="6286D7A9"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Warunki inne niż normalne warunki eksploatacji</w:t>
            </w:r>
          </w:p>
        </w:tc>
      </w:tr>
      <w:tr w:rsidR="00E02F30" w:rsidRPr="00E02F30" w14:paraId="7CF1E181" w14:textId="77777777" w:rsidTr="00A1631B">
        <w:trPr>
          <w:trHeight w:val="284"/>
        </w:trPr>
        <w:tc>
          <w:tcPr>
            <w:tcW w:w="10632" w:type="dxa"/>
            <w:gridSpan w:val="6"/>
            <w:shd w:val="clear" w:color="auto" w:fill="auto"/>
          </w:tcPr>
          <w:p w14:paraId="75C5C5C0"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b/>
                <w:bCs/>
                <w:sz w:val="20"/>
                <w:szCs w:val="20"/>
                <w:lang w:eastAsia="pl-PL"/>
              </w:rPr>
              <w:t>BAT 3.</w:t>
            </w:r>
            <w:r w:rsidRPr="00E02F30">
              <w:rPr>
                <w:rFonts w:eastAsia="Times New Roman" w:cs="Arial"/>
                <w:sz w:val="20"/>
                <w:szCs w:val="20"/>
                <w:lang w:eastAsia="pl-PL"/>
              </w:rPr>
              <w:t xml:space="preserve"> Aby ograniczyć częstość występowania warunków innych niż normalne warunki eksploatacji oraz emisje do powietrza w warunkach innych niż normalne warunki eksploatacji (OTNOC), w ramach BAT należy opracować i wdrożyć oparty na analizie ryzyka plan zarządzania w warunkach innych niż normalne warunki eksploatacji będący częścią systemu zarządzania środowiskowego (zob. BAT 1), który obejmuje wszystkie następujące funkcje:</w:t>
            </w:r>
          </w:p>
          <w:p w14:paraId="3F403B01" w14:textId="77777777" w:rsidR="00E02F30" w:rsidRPr="00E02F30" w:rsidRDefault="00E02F30">
            <w:pPr>
              <w:numPr>
                <w:ilvl w:val="0"/>
                <w:numId w:val="61"/>
              </w:numPr>
              <w:spacing w:after="232" w:line="227" w:lineRule="auto"/>
              <w:ind w:right="13" w:hanging="396"/>
              <w:jc w:val="both"/>
              <w:rPr>
                <w:rFonts w:eastAsia="Calibri" w:cs="Arial"/>
                <w:color w:val="000000"/>
                <w:sz w:val="20"/>
                <w:szCs w:val="20"/>
                <w:lang w:eastAsia="pl-PL"/>
              </w:rPr>
            </w:pPr>
            <w:r w:rsidRPr="00E02F30">
              <w:rPr>
                <w:rFonts w:eastAsia="Calibri" w:cs="Arial"/>
                <w:color w:val="000000"/>
                <w:sz w:val="20"/>
                <w:szCs w:val="20"/>
                <w:lang w:eastAsia="pl-PL"/>
              </w:rPr>
              <w:t>identyfikację potencjalnych OTNOC (np. awaria urządzeń o krytycznym znaczeniu pod względem kontroli emisji zorganizowanych do powietrza lub urządzeń o krytycznym znaczeniu pod względem zapobiegania wypadkom lub incydentom, które mogłyby prowadzić do emisji do powietrza („urządzenia o krytycznym znaczeniu”)), ich przyczyn i potencjalnych konsekwencji;</w:t>
            </w:r>
          </w:p>
          <w:p w14:paraId="1E2470B4" w14:textId="77777777" w:rsidR="00E02F30" w:rsidRPr="00E02F30" w:rsidRDefault="00E02F30">
            <w:pPr>
              <w:numPr>
                <w:ilvl w:val="0"/>
                <w:numId w:val="61"/>
              </w:numPr>
              <w:spacing w:after="232" w:line="227" w:lineRule="auto"/>
              <w:ind w:right="13" w:hanging="396"/>
              <w:jc w:val="both"/>
              <w:rPr>
                <w:rFonts w:eastAsia="Calibri" w:cs="Arial"/>
                <w:color w:val="000000"/>
                <w:sz w:val="20"/>
                <w:szCs w:val="20"/>
                <w:lang w:eastAsia="pl-PL"/>
              </w:rPr>
            </w:pPr>
            <w:r w:rsidRPr="00E02F30">
              <w:rPr>
                <w:rFonts w:eastAsia="Calibri" w:cs="Arial"/>
                <w:color w:val="000000"/>
                <w:sz w:val="20"/>
                <w:szCs w:val="20"/>
                <w:lang w:eastAsia="pl-PL"/>
              </w:rPr>
              <w:t>odpowiednie zaprojektowanie urządzeń o krytycznym znaczeniu (np. modułowość i dzielenie urządzeń na sekcje, systemy zapasowe, techniki pozwalające uniknąć konieczności obchodzenia oczyszczania gazów odlotowych podczas rozruchu i wyłączania, urządzenia o wysokim poziomie integralności itp.);</w:t>
            </w:r>
          </w:p>
          <w:p w14:paraId="77046CF9" w14:textId="77777777" w:rsidR="00E02F30" w:rsidRPr="00E02F30" w:rsidRDefault="00E02F30">
            <w:pPr>
              <w:numPr>
                <w:ilvl w:val="0"/>
                <w:numId w:val="61"/>
              </w:numPr>
              <w:spacing w:after="232" w:line="227" w:lineRule="auto"/>
              <w:ind w:right="13" w:hanging="396"/>
              <w:jc w:val="both"/>
              <w:rPr>
                <w:rFonts w:eastAsia="Calibri" w:cs="Arial"/>
                <w:color w:val="000000"/>
                <w:sz w:val="20"/>
                <w:szCs w:val="20"/>
                <w:lang w:eastAsia="pl-PL"/>
              </w:rPr>
            </w:pPr>
            <w:r w:rsidRPr="00E02F30">
              <w:rPr>
                <w:rFonts w:eastAsia="Calibri" w:cs="Arial"/>
                <w:color w:val="000000"/>
                <w:sz w:val="20"/>
                <w:szCs w:val="20"/>
                <w:lang w:eastAsia="pl-PL"/>
              </w:rPr>
              <w:t>opracowanie i wdrożenie zapobiegawczego planu utrzymania w odniesieniu do urządzeń o krytycznym znaczeniu (zob. BAT 1 pkt (xii));</w:t>
            </w:r>
          </w:p>
          <w:p w14:paraId="7FD58683" w14:textId="77777777" w:rsidR="00E02F30" w:rsidRPr="00E02F30" w:rsidRDefault="00E02F30">
            <w:pPr>
              <w:numPr>
                <w:ilvl w:val="0"/>
                <w:numId w:val="61"/>
              </w:numPr>
              <w:spacing w:after="232" w:line="227" w:lineRule="auto"/>
              <w:ind w:right="13" w:hanging="396"/>
              <w:jc w:val="both"/>
              <w:rPr>
                <w:rFonts w:eastAsia="Calibri" w:cs="Arial"/>
                <w:color w:val="000000"/>
                <w:sz w:val="20"/>
                <w:szCs w:val="20"/>
                <w:lang w:eastAsia="pl-PL"/>
              </w:rPr>
            </w:pPr>
            <w:r w:rsidRPr="00E02F30">
              <w:rPr>
                <w:rFonts w:eastAsia="Calibri" w:cs="Arial"/>
                <w:color w:val="000000"/>
                <w:sz w:val="20"/>
                <w:szCs w:val="20"/>
                <w:lang w:eastAsia="pl-PL"/>
              </w:rPr>
              <w:t>monitorowanie (tj. oszacowanie lub, o ile to możliwe, zmierzenie) i rejestrowanie emisji i związanych z nimi okoliczności w warunkach innych niż normalne warunki eksploatacji;</w:t>
            </w:r>
          </w:p>
          <w:p w14:paraId="3D964BBF" w14:textId="77777777" w:rsidR="00E02F30" w:rsidRPr="00E02F30" w:rsidRDefault="00E02F30">
            <w:pPr>
              <w:numPr>
                <w:ilvl w:val="0"/>
                <w:numId w:val="61"/>
              </w:numPr>
              <w:spacing w:after="232" w:line="227" w:lineRule="auto"/>
              <w:ind w:right="13" w:hanging="396"/>
              <w:jc w:val="both"/>
              <w:rPr>
                <w:rFonts w:eastAsia="Calibri" w:cs="Arial"/>
                <w:color w:val="000000"/>
                <w:sz w:val="20"/>
                <w:szCs w:val="20"/>
                <w:lang w:eastAsia="pl-PL"/>
              </w:rPr>
            </w:pPr>
            <w:r w:rsidRPr="00E02F30">
              <w:rPr>
                <w:rFonts w:eastAsia="Calibri" w:cs="Arial"/>
                <w:color w:val="000000"/>
                <w:sz w:val="20"/>
                <w:szCs w:val="20"/>
                <w:lang w:eastAsia="pl-PL"/>
              </w:rPr>
              <w:t>okresową ocenę emisji w warunkach innych niż normalne warunki eksploatacji (np. częstość występowania zdarzeń, czas ich trwania, ilość wyemitowanych zanieczyszczeń jak odnotowano w pkt (iv)) oraz, w stosownych przypadkach, wdrażanie działań naprawczych;</w:t>
            </w:r>
          </w:p>
          <w:p w14:paraId="49E4B77A" w14:textId="77777777" w:rsidR="00E02F30" w:rsidRPr="00E02F30" w:rsidRDefault="00E02F30">
            <w:pPr>
              <w:numPr>
                <w:ilvl w:val="0"/>
                <w:numId w:val="61"/>
              </w:numPr>
              <w:spacing w:after="232" w:line="227" w:lineRule="auto"/>
              <w:ind w:right="13" w:hanging="396"/>
              <w:jc w:val="both"/>
              <w:rPr>
                <w:rFonts w:eastAsia="Calibri" w:cs="Arial"/>
                <w:color w:val="000000"/>
                <w:sz w:val="20"/>
                <w:szCs w:val="20"/>
                <w:lang w:eastAsia="pl-PL"/>
              </w:rPr>
            </w:pPr>
            <w:r w:rsidRPr="00E02F30">
              <w:rPr>
                <w:rFonts w:eastAsia="Calibri" w:cs="Arial"/>
                <w:color w:val="000000"/>
                <w:sz w:val="20"/>
                <w:szCs w:val="20"/>
                <w:lang w:eastAsia="pl-PL"/>
              </w:rPr>
              <w:t>regularny przegląd i aktualizację wykazu zidentyfikowanych innych niż normalne warunki eksploatacji w ramach pkt (i) po dokonaniu okresowej oceny pkt (v);</w:t>
            </w:r>
          </w:p>
          <w:p w14:paraId="665F9C09" w14:textId="77777777" w:rsidR="00E02F30" w:rsidRPr="00E02F30" w:rsidRDefault="00E02F30">
            <w:pPr>
              <w:numPr>
                <w:ilvl w:val="0"/>
                <w:numId w:val="61"/>
              </w:numPr>
              <w:spacing w:after="232" w:line="227" w:lineRule="auto"/>
              <w:ind w:right="13" w:hanging="396"/>
              <w:jc w:val="both"/>
              <w:rPr>
                <w:rFonts w:eastAsia="Calibri" w:cs="Arial"/>
                <w:color w:val="000000"/>
                <w:sz w:val="20"/>
                <w:szCs w:val="20"/>
                <w:lang w:eastAsia="pl-PL"/>
              </w:rPr>
            </w:pPr>
            <w:r w:rsidRPr="00E02F30">
              <w:rPr>
                <w:rFonts w:eastAsia="Calibri" w:cs="Arial"/>
                <w:color w:val="000000"/>
                <w:sz w:val="20"/>
                <w:szCs w:val="20"/>
                <w:lang w:eastAsia="pl-PL"/>
              </w:rPr>
              <w:t>regularne testowanie systemów zapasowych.</w:t>
            </w:r>
          </w:p>
        </w:tc>
      </w:tr>
      <w:tr w:rsidR="00E02F30" w:rsidRPr="00E02F30" w14:paraId="546B73BF" w14:textId="77777777" w:rsidTr="00A1631B">
        <w:trPr>
          <w:trHeight w:val="284"/>
        </w:trPr>
        <w:tc>
          <w:tcPr>
            <w:tcW w:w="3732" w:type="dxa"/>
            <w:gridSpan w:val="3"/>
            <w:shd w:val="clear" w:color="auto" w:fill="auto"/>
          </w:tcPr>
          <w:p w14:paraId="666502B4"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C25A28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6900" w:type="dxa"/>
            <w:gridSpan w:val="3"/>
            <w:shd w:val="clear" w:color="auto" w:fill="auto"/>
          </w:tcPr>
          <w:p w14:paraId="5AD83D60" w14:textId="77777777" w:rsidR="00E02F30" w:rsidRPr="00E02F30" w:rsidRDefault="00E02F30" w:rsidP="00E02F30">
            <w:pPr>
              <w:tabs>
                <w:tab w:val="left" w:pos="4700"/>
              </w:tabs>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34B7782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Spółka poza wdrożonym systemem zarządzania bezpieczeństwem posiada wymaganą dokumentację związaną z zakwalifikowaniem do zakładu o dużym ryzyku wystąpienia poważnej awarii przemysłowej (ZDR), w tym: zgłoszenie, program zapobiegania awariom (PZA), raport o bezpieczeństwie oraz wewnętrzny i zewnętrzny plan operacyjno-ratowniczy (WPOR, ZPOR).</w:t>
            </w:r>
          </w:p>
          <w:p w14:paraId="7D890F56"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Dla instalacji produkcyjnej zidentyfikowane są zdarzenia awaryjne dla wybranych substancji i na tej podstawie opracowane scenariusze awaryjne na wypadek niekontrolowanej emisji substancji niebezpiecznej (i), podlegające regularnym przeglądom i aktualizacji (vi). Identyfikację i opis każdego zdarzenia zamieszczono na oddzielnych kartach operacyjnych w WPOR. Wszystkie urządzenia są odpowiednio zaprojektowane z uwzględnieniem minimalizacji ryzyka występowania sytuacji awaryjnych (ii).</w:t>
            </w:r>
          </w:p>
          <w:p w14:paraId="0E1E45AA"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celu zapobiegania występowania awarii wszyscy pracownicy podlegają wszelkiego rodzaju szkoleniom łącznie z ćwiczeniami praktycznymi na podstawie opracowanych scenariuszy oraz zapisów w WPOR, a także testami i przeglądami systemów awaryjnych, zapasowych (vii). Prowadzony jest systematyczny nadzór instalacji pozwalający na szybkie rozpoznanie i reagowanie w przypadku wystąpienia awarii. Prowadzone są również regularne przeglądy i konserwacje instalacji zgodnie z ustalonymi harmonogramami (iii).</w:t>
            </w:r>
          </w:p>
          <w:p w14:paraId="3A634221" w14:textId="77777777" w:rsidR="00E02F30" w:rsidRPr="00E02F30" w:rsidRDefault="00E02F30" w:rsidP="00E02F30">
            <w:pPr>
              <w:spacing w:after="0" w:line="240" w:lineRule="auto"/>
              <w:jc w:val="both"/>
              <w:rPr>
                <w:rFonts w:eastAsia="Times New Roman" w:cs="Arial"/>
                <w:sz w:val="20"/>
                <w:szCs w:val="20"/>
                <w:lang w:eastAsia="pl-PL"/>
              </w:rPr>
            </w:pPr>
          </w:p>
          <w:p w14:paraId="0CECCEB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Na wypadek wystąpienia poważnej awarii przemysłowej opracowano m.in. zadania dla kierującego działaniami jak i dla całej załogi na każdym szczeblu stanowiskowym w zakresie zwalczania pożarów/awarii, udzielania pierwszej pomocy i ewakuacji pracowników, szacowania lub mierzenia i rejestrowania emisji oraz związanymi z nimi okoliczności (iv), określono działania ograniczające skutki awarii, zasady bezpiecznego zatrzymania instalacji, sposobu postępowania w celu usunięcia skutków poważnej awarii i  przywrócenie środowiska do stanu z przed awarii, zasady zabezpieczenia miejsca wystąpienia awarii, a także okresową ocenę emisji w warunkach innych niż normalne warunki eksploatacji i zaplanowane działania naprawcze w stosownych przypadkach (v).</w:t>
            </w:r>
          </w:p>
          <w:p w14:paraId="73C4384B" w14:textId="77777777" w:rsidR="00E02F30" w:rsidRPr="00E02F30" w:rsidRDefault="00E02F30" w:rsidP="00E02F30">
            <w:pPr>
              <w:spacing w:after="0" w:line="240" w:lineRule="auto"/>
              <w:jc w:val="both"/>
              <w:rPr>
                <w:rFonts w:eastAsia="Times New Roman" w:cs="Arial"/>
                <w:sz w:val="20"/>
                <w:szCs w:val="20"/>
                <w:lang w:eastAsia="pl-PL"/>
              </w:rPr>
            </w:pPr>
          </w:p>
          <w:p w14:paraId="49B09D5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ramach procesu technologicznego zostały zidentyfikowane i opisane wszystkie:</w:t>
            </w:r>
          </w:p>
          <w:p w14:paraId="179000DF"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chemiczne procesy produkcyjne,</w:t>
            </w:r>
          </w:p>
          <w:p w14:paraId="0A7E39B1"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strumienie ścieków,</w:t>
            </w:r>
          </w:p>
          <w:p w14:paraId="2777E42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źródła i miejsca emisji gazów i pyłów do powietrza.</w:t>
            </w:r>
          </w:p>
          <w:p w14:paraId="3D77EC54" w14:textId="77777777" w:rsidR="00E02F30" w:rsidRPr="00E02F30" w:rsidRDefault="00E02F30" w:rsidP="00E02F30">
            <w:pPr>
              <w:spacing w:after="0" w:line="240" w:lineRule="auto"/>
              <w:jc w:val="both"/>
              <w:rPr>
                <w:rFonts w:eastAsia="Times New Roman" w:cs="Arial"/>
                <w:sz w:val="20"/>
                <w:szCs w:val="20"/>
                <w:lang w:eastAsia="pl-PL"/>
              </w:rPr>
            </w:pPr>
          </w:p>
          <w:p w14:paraId="3CB235A5"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Charakterystyka, w tym skład poszczególnych strumieni emisji zorganizowanych, została określona w warunkach obowiązującego pozwolenia zintegrowanego. W instalacji Nienasyconych żywic poliestrowych (Z) zostały zidentyfikowane źródła emisji niezorganizowanej (np. na etapie projektowania, uruchamiania instalacji), co skutkowało ich stopniową eliminacją poprzez zastosowanie hermetyzacji, odciągów itp.</w:t>
            </w:r>
          </w:p>
          <w:p w14:paraId="1BC0E0B2" w14:textId="77777777" w:rsidR="00E02F30" w:rsidRPr="00E02F30" w:rsidRDefault="00E02F30" w:rsidP="00E02F30">
            <w:pPr>
              <w:spacing w:after="0" w:line="240" w:lineRule="auto"/>
              <w:jc w:val="both"/>
              <w:rPr>
                <w:rFonts w:eastAsia="Times New Roman" w:cs="Arial"/>
                <w:sz w:val="20"/>
                <w:szCs w:val="20"/>
                <w:lang w:eastAsia="pl-PL"/>
              </w:rPr>
            </w:pPr>
          </w:p>
          <w:p w14:paraId="5178D9C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przypadku wystąpienia istotnych zmian w instalacji wszystkie dane zostają zrewidowane i na tej podstawie są podejmowane odpowiednie działania (np. zmiana obowiązujących pozwoleń).</w:t>
            </w:r>
          </w:p>
          <w:p w14:paraId="24470A86" w14:textId="77777777" w:rsidR="00E02F30" w:rsidRPr="00E02F30" w:rsidRDefault="00E02F30" w:rsidP="00E02F30">
            <w:pPr>
              <w:spacing w:after="0" w:line="240" w:lineRule="auto"/>
              <w:ind w:left="24"/>
              <w:jc w:val="both"/>
              <w:rPr>
                <w:rFonts w:eastAsia="Times New Roman" w:cs="Arial"/>
                <w:b/>
                <w:sz w:val="20"/>
                <w:szCs w:val="20"/>
                <w:lang w:eastAsia="pl-PL"/>
              </w:rPr>
            </w:pPr>
            <w:r w:rsidRPr="00E02F30">
              <w:rPr>
                <w:rFonts w:eastAsia="Times New Roman" w:cs="Arial"/>
                <w:sz w:val="20"/>
                <w:szCs w:val="20"/>
                <w:lang w:eastAsia="pl-PL"/>
              </w:rPr>
              <w:t>Elementy te stanowią część systemu zarządzania. W firmie jest ustanowiona Polityka Środowiskowa oraz są przypisane odpowiedzialności dla realizacji celów środowiskowych i ciągłego doskonalenia procesów. Istnieje system dokumentacji zgodny z wymaganiami normy ISO 14001. System ten zawiera wszystkie wymagane elementy.</w:t>
            </w:r>
          </w:p>
        </w:tc>
      </w:tr>
      <w:tr w:rsidR="00E02F30" w:rsidRPr="00E02F30" w14:paraId="0A97604A" w14:textId="77777777" w:rsidTr="00A1631B">
        <w:trPr>
          <w:trHeight w:val="284"/>
        </w:trPr>
        <w:tc>
          <w:tcPr>
            <w:tcW w:w="10632" w:type="dxa"/>
            <w:gridSpan w:val="6"/>
            <w:shd w:val="clear" w:color="auto" w:fill="auto"/>
          </w:tcPr>
          <w:p w14:paraId="394441A6"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Emisje zorganizowane do powietrza</w:t>
            </w:r>
          </w:p>
        </w:tc>
      </w:tr>
      <w:tr w:rsidR="00E02F30" w:rsidRPr="00E02F30" w14:paraId="69141022" w14:textId="77777777" w:rsidTr="00A1631B">
        <w:trPr>
          <w:trHeight w:val="284"/>
        </w:trPr>
        <w:tc>
          <w:tcPr>
            <w:tcW w:w="10632" w:type="dxa"/>
            <w:gridSpan w:val="6"/>
            <w:shd w:val="clear" w:color="auto" w:fill="auto"/>
          </w:tcPr>
          <w:p w14:paraId="6C55A85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
                <w:sz w:val="20"/>
                <w:szCs w:val="20"/>
                <w:lang w:eastAsia="pl-PL"/>
              </w:rPr>
              <w:t xml:space="preserve">BAT 4. </w:t>
            </w:r>
            <w:r w:rsidRPr="00E02F30">
              <w:rPr>
                <w:rFonts w:eastAsia="Times New Roman" w:cs="Arial"/>
                <w:bCs/>
                <w:sz w:val="20"/>
                <w:szCs w:val="20"/>
                <w:lang w:eastAsia="pl-PL"/>
              </w:rPr>
              <w:t>Aby ograniczyć emisje zorganizowane do powietrza, w ramach BAT należy stosować zintegrowaną strategię zarządzania gazami odlotowymi i ich oczyszczania, która obejmuje zintegrowane z procesem techniki odzysku i redukcji emisji uporządkowane od najbardziej do najmniej preferowanych.</w:t>
            </w:r>
          </w:p>
          <w:p w14:paraId="2D27C096" w14:textId="77777777" w:rsidR="00E02F30" w:rsidRPr="00E02F30" w:rsidRDefault="00E02F30" w:rsidP="00E02F30">
            <w:pPr>
              <w:spacing w:after="0" w:line="240" w:lineRule="auto"/>
              <w:jc w:val="both"/>
              <w:rPr>
                <w:rFonts w:eastAsia="Times New Roman" w:cs="Arial"/>
                <w:bCs/>
                <w:sz w:val="20"/>
                <w:szCs w:val="20"/>
                <w:lang w:eastAsia="pl-PL"/>
              </w:rPr>
            </w:pPr>
            <w:bookmarkStart w:id="32" w:name="_Hlk135902104"/>
            <w:r w:rsidRPr="00E02F30">
              <w:rPr>
                <w:rFonts w:eastAsia="Times New Roman" w:cs="Arial"/>
                <w:bCs/>
                <w:sz w:val="20"/>
                <w:szCs w:val="20"/>
                <w:lang w:eastAsia="pl-PL"/>
              </w:rPr>
              <w:t>Zintegrowana strategia zarządzania gazami odlotowymi i ich oczyszczania opiera się na wykazie zawartym w BAT 2</w:t>
            </w:r>
            <w:bookmarkEnd w:id="32"/>
            <w:r w:rsidRPr="00E02F30">
              <w:rPr>
                <w:rFonts w:eastAsia="Times New Roman" w:cs="Arial"/>
                <w:bCs/>
                <w:sz w:val="20"/>
                <w:szCs w:val="20"/>
                <w:lang w:eastAsia="pl-PL"/>
              </w:rPr>
              <w:t>. Uwzględnia się takie czynniki jak emisja gazów cieplarnianych oraz zużycie lub ponowne wykorzystanie energii, wody i materiałów związane ze stosowaniem poszczególnych technik.</w:t>
            </w:r>
          </w:p>
        </w:tc>
      </w:tr>
      <w:tr w:rsidR="00E02F30" w:rsidRPr="00E02F30" w14:paraId="0B976973" w14:textId="77777777" w:rsidTr="00A1631B">
        <w:trPr>
          <w:trHeight w:val="284"/>
        </w:trPr>
        <w:tc>
          <w:tcPr>
            <w:tcW w:w="1985" w:type="dxa"/>
            <w:gridSpan w:val="2"/>
            <w:shd w:val="clear" w:color="auto" w:fill="auto"/>
          </w:tcPr>
          <w:p w14:paraId="41BBD9CB"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5E9F1ABC"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18D17DE8" w14:textId="77777777" w:rsidR="00E02F30" w:rsidRPr="00E02F30" w:rsidRDefault="00E02F30" w:rsidP="00E02F30">
            <w:pPr>
              <w:tabs>
                <w:tab w:val="left" w:pos="4700"/>
              </w:tabs>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37D7FE6E" w14:textId="77777777" w:rsidR="00E02F30" w:rsidRPr="00E02F30" w:rsidRDefault="00E02F30" w:rsidP="00E02F30">
            <w:pPr>
              <w:tabs>
                <w:tab w:val="left" w:pos="4700"/>
              </w:tabs>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Zintegrowana strategia zarządzania gazami odlotowymi i ich oczyszczania opiera się na wykazie zawartym w BAT 2, zawiera informacje o:</w:t>
            </w:r>
          </w:p>
          <w:p w14:paraId="744890EF" w14:textId="77777777" w:rsidR="00E02F30" w:rsidRPr="00E02F30" w:rsidRDefault="00E02F30" w:rsidP="00E02F30">
            <w:pPr>
              <w:tabs>
                <w:tab w:val="left" w:pos="4700"/>
              </w:tabs>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stosowanych technikach redukcji i odzysku emisji  i uwzględnia:</w:t>
            </w:r>
          </w:p>
          <w:p w14:paraId="1EED0BE6" w14:textId="77777777" w:rsidR="00E02F30" w:rsidRPr="00E02F30" w:rsidRDefault="00E02F30" w:rsidP="00E02F30">
            <w:pPr>
              <w:tabs>
                <w:tab w:val="left" w:pos="4700"/>
              </w:tabs>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emisję gazów cieplarnianych (bilansowane są w ramach opłat środowiskowych),</w:t>
            </w:r>
          </w:p>
          <w:p w14:paraId="06EE3FC3" w14:textId="77777777" w:rsidR="00E02F30" w:rsidRPr="00E02F30" w:rsidRDefault="00E02F30" w:rsidP="00E02F30">
            <w:pPr>
              <w:tabs>
                <w:tab w:val="left" w:pos="4700"/>
              </w:tabs>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zużycie energii, wody, materiałów.</w:t>
            </w:r>
          </w:p>
          <w:p w14:paraId="7D10E112"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Informacje o emisjach zorganizowanych do powietrza zawarte są w Procedurze PS-4.6-1 Identyfikacja, nadzorowanie i monitorowanie emisji gazów i pyłów do powietrza.</w:t>
            </w:r>
          </w:p>
        </w:tc>
      </w:tr>
      <w:tr w:rsidR="00E02F30" w:rsidRPr="00E02F30" w14:paraId="3A44F32C" w14:textId="77777777" w:rsidTr="00A1631B">
        <w:trPr>
          <w:trHeight w:val="284"/>
        </w:trPr>
        <w:tc>
          <w:tcPr>
            <w:tcW w:w="10632" w:type="dxa"/>
            <w:gridSpan w:val="6"/>
            <w:shd w:val="clear" w:color="auto" w:fill="auto"/>
          </w:tcPr>
          <w:p w14:paraId="4AB528A2"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5. </w:t>
            </w:r>
          </w:p>
          <w:p w14:paraId="22E4B01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ułatwić odzysk materiałów i ograniczenie emisji zorganizowanych do powietrza, a także zwiększyć efektywność energetyczną, w ramach BAT należy łączyć strumienie gazów odlotowych o podobnej charakterystyce, co minimalizuje liczbę punktowych źródeł emisji.</w:t>
            </w:r>
          </w:p>
        </w:tc>
      </w:tr>
      <w:tr w:rsidR="00E02F30" w:rsidRPr="00E02F30" w14:paraId="29A5191F" w14:textId="77777777" w:rsidTr="00A1631B">
        <w:trPr>
          <w:trHeight w:val="284"/>
        </w:trPr>
        <w:tc>
          <w:tcPr>
            <w:tcW w:w="1985" w:type="dxa"/>
            <w:gridSpan w:val="2"/>
            <w:shd w:val="clear" w:color="auto" w:fill="auto"/>
          </w:tcPr>
          <w:p w14:paraId="0231A007"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4D4D32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33B487BC"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Zgodne</w:t>
            </w:r>
          </w:p>
          <w:p w14:paraId="2FC8139C"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Źródła emisji i emitory w ramach przedmiotowej instalacji zostały zaprojektowane z uwzględnieniem możliwości łączenia strumieni gazów odlotowych o podobnej charakterystyce. Lokalizacja emitorów punktowych źródeł emisji i urządzeń oczyszczających poszczególne strumienie gazów odlotowych jest uzasadniona technologicznie, środowiskowo (maksymalizacja efektowności usuwania i redukcji zanieczyszczeń) oraz ekonomicznie (dostępność, konserwacja, lokalizacja).</w:t>
            </w:r>
          </w:p>
        </w:tc>
      </w:tr>
      <w:tr w:rsidR="00E02F30" w:rsidRPr="00E02F30" w14:paraId="7A2B2472" w14:textId="77777777" w:rsidTr="00A1631B">
        <w:trPr>
          <w:trHeight w:val="284"/>
        </w:trPr>
        <w:tc>
          <w:tcPr>
            <w:tcW w:w="10632" w:type="dxa"/>
            <w:gridSpan w:val="6"/>
            <w:shd w:val="clear" w:color="auto" w:fill="auto"/>
          </w:tcPr>
          <w:p w14:paraId="3DC17EBF"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 xml:space="preserve">BAT 6. </w:t>
            </w:r>
          </w:p>
          <w:p w14:paraId="43283FF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celu ograniczenia emisji zorganizowanych do powietrza w ramach BAT należy zapewnić, aby systemy oczyszczania gazów odlotowych były odpowiednio zaprojektowane (np. z uwzględnieniem maksymalnego natężenia przepływu i stężeń zanieczyszczeń), eksploatowane w zaprojektowanym zakresie oraz utrzymywane (poprzez konserwację zapobiegawczą, naprawczą, regularną i nieplanowaną), tak aby zapewnić optymalną dostępność, skuteczność i wydajność urządzeń.</w:t>
            </w:r>
          </w:p>
        </w:tc>
      </w:tr>
      <w:tr w:rsidR="00E02F30" w:rsidRPr="00E02F30" w14:paraId="4CF860E7" w14:textId="77777777" w:rsidTr="00A1631B">
        <w:trPr>
          <w:trHeight w:val="2533"/>
        </w:trPr>
        <w:tc>
          <w:tcPr>
            <w:tcW w:w="1985" w:type="dxa"/>
            <w:gridSpan w:val="2"/>
            <w:shd w:val="clear" w:color="auto" w:fill="auto"/>
          </w:tcPr>
          <w:p w14:paraId="64222651"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0D24E9D7"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5C2B8C9C" w14:textId="77777777" w:rsidR="00E02F30" w:rsidRPr="00E02F30" w:rsidRDefault="00E02F30" w:rsidP="00E02F30">
            <w:pPr>
              <w:tabs>
                <w:tab w:val="left" w:pos="4700"/>
              </w:tabs>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0DBE1CA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Wszystkie stosowane w instalacji urządzenia oczyszczające zostały zaprojektowane z uwzględnieniem spodziewanego, założonego, natężenia przepływu i stężeń zanieczyszczeń. Wszystkie urządzenia są eksploatowane zgodnie z instrukcjami technologicznymi, przez przeszkolonych pracowników, poddawane są systematycznym kontrolom i przeglądom, a w przypadku zaistnienia takiej konieczności, poddawane są modernizacjom i remontom. </w:t>
            </w:r>
          </w:p>
          <w:p w14:paraId="515E26A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Stosowane urządzenia oczyszczające w instalacji:</w:t>
            </w:r>
          </w:p>
          <w:p w14:paraId="23FDDBC4"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E-1/Z - oddzielanie substancji pylistych w cyklonie i/lub na filtrach workowych. Absorpcja resztek substancji pylistych i innych w hydrocyklonie</w:t>
            </w:r>
          </w:p>
          <w:p w14:paraId="5CE4B4C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E-2/Z - dopalacz termiczny komorowy typu regeneracyjnego - spalanie związków organicznych w zanieczyszczonym powietrzu pochodzącym z urządzeń technologicznych</w:t>
            </w:r>
          </w:p>
        </w:tc>
      </w:tr>
      <w:tr w:rsidR="00E02F30" w:rsidRPr="00E02F30" w14:paraId="6AFFD6EB" w14:textId="77777777" w:rsidTr="00A1631B">
        <w:trPr>
          <w:trHeight w:val="284"/>
        </w:trPr>
        <w:tc>
          <w:tcPr>
            <w:tcW w:w="10632" w:type="dxa"/>
            <w:gridSpan w:val="6"/>
            <w:shd w:val="clear" w:color="auto" w:fill="auto"/>
          </w:tcPr>
          <w:p w14:paraId="6FAA6E9C" w14:textId="77777777" w:rsidR="00E02F30" w:rsidRPr="00E02F30" w:rsidRDefault="00E02F30" w:rsidP="00E02F30">
            <w:pPr>
              <w:spacing w:after="0" w:line="240" w:lineRule="auto"/>
              <w:jc w:val="both"/>
              <w:rPr>
                <w:rFonts w:eastAsia="Times New Roman" w:cs="Arial"/>
                <w:b/>
                <w:sz w:val="20"/>
                <w:szCs w:val="20"/>
                <w:lang w:eastAsia="pl-PL"/>
              </w:rPr>
            </w:pPr>
            <w:bookmarkStart w:id="33" w:name="_Hlk136335086"/>
            <w:r w:rsidRPr="00E02F30">
              <w:rPr>
                <w:rFonts w:eastAsia="Times New Roman" w:cs="Arial"/>
                <w:b/>
                <w:sz w:val="20"/>
                <w:szCs w:val="20"/>
                <w:lang w:eastAsia="pl-PL"/>
              </w:rPr>
              <w:t xml:space="preserve">BAT 7. </w:t>
            </w:r>
          </w:p>
          <w:p w14:paraId="786237B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ramach BAT należy w sposób ciągły monitorować kluczowe parametry procesu (np. przepływ i temperaturę gazów odlotowych) strumieni gazów odlotowych kierowanych do oczyszczania wstępnego lub końcowego</w:t>
            </w:r>
          </w:p>
        </w:tc>
      </w:tr>
      <w:tr w:rsidR="00E02F30" w:rsidRPr="00E02F30" w14:paraId="36C55825" w14:textId="77777777" w:rsidTr="00A1631B">
        <w:trPr>
          <w:trHeight w:val="284"/>
        </w:trPr>
        <w:tc>
          <w:tcPr>
            <w:tcW w:w="1985" w:type="dxa"/>
            <w:gridSpan w:val="2"/>
            <w:shd w:val="clear" w:color="auto" w:fill="auto"/>
          </w:tcPr>
          <w:p w14:paraId="73E4F02D"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30DEE376"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71C8FC1B" w14:textId="77777777" w:rsidR="00E02F30" w:rsidRPr="00E02F30" w:rsidRDefault="00E02F30" w:rsidP="00E02F30">
            <w:pPr>
              <w:spacing w:after="0" w:line="240" w:lineRule="auto"/>
              <w:jc w:val="both"/>
              <w:rPr>
                <w:rFonts w:eastAsia="Times New Roman" w:cs="Arial"/>
                <w:b/>
                <w:bCs/>
                <w:sz w:val="20"/>
                <w:szCs w:val="20"/>
                <w:lang w:eastAsia="pl-PL"/>
              </w:rPr>
            </w:pPr>
            <w:r w:rsidRPr="00E02F30">
              <w:rPr>
                <w:rFonts w:eastAsia="Times New Roman" w:cs="Arial"/>
                <w:b/>
                <w:bCs/>
                <w:sz w:val="20"/>
                <w:szCs w:val="20"/>
                <w:lang w:eastAsia="pl-PL"/>
              </w:rPr>
              <w:t>Zgodne</w:t>
            </w:r>
          </w:p>
          <w:p w14:paraId="467C9AA2"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 xml:space="preserve">W ramach instalacji procesy produkcyjne monitorowane są w systemach aparatury kontrolno-pomiarowej i komputerowych, w tym także praca urządzeń oczyszczających. Tam gdzie nie ma pełnego sterowania mikroprocesorowego, monitoring prowadzony jest przy pomocy różnych czujników oraz pobieranie prób z uzasadnioną doświadczeniami częstotliwością i określonych w instrukcjach technologicznych, np. stężenie substancji w cieczy pochłaniającej w absorberach badane jest  z częstotliwością określoną w instrukcjach, co gwarantuje wymianę roztworu przed wyczerpaniem  i zapobiega przebiciu gazów.  </w:t>
            </w:r>
          </w:p>
          <w:p w14:paraId="35451863"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Istnieją szczegółowe opracowania poszczególnych instalacji (mapy, plany, rzuty kondygnacji, schematy technologiczne, dokumentacja techniczna). Strumienie emisji są zidentyfikowane, oznaczone i monitorowane.</w:t>
            </w:r>
          </w:p>
        </w:tc>
      </w:tr>
      <w:bookmarkEnd w:id="33"/>
      <w:tr w:rsidR="00E02F30" w:rsidRPr="00E02F30" w14:paraId="737B2CE4" w14:textId="77777777" w:rsidTr="00A1631B">
        <w:trPr>
          <w:trHeight w:val="284"/>
        </w:trPr>
        <w:tc>
          <w:tcPr>
            <w:tcW w:w="10632" w:type="dxa"/>
            <w:gridSpan w:val="6"/>
            <w:shd w:val="clear" w:color="auto" w:fill="auto"/>
          </w:tcPr>
          <w:p w14:paraId="4BD35689"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BAT 8.</w:t>
            </w:r>
          </w:p>
          <w:p w14:paraId="05ABB079" w14:textId="77777777" w:rsidR="00E02F30" w:rsidRPr="00E02F30" w:rsidRDefault="00E02F30" w:rsidP="00E02F30">
            <w:pPr>
              <w:spacing w:after="0" w:line="240" w:lineRule="auto"/>
              <w:jc w:val="both"/>
              <w:rPr>
                <w:rFonts w:eastAsia="Times New Roman" w:cs="Arial"/>
                <w:sz w:val="20"/>
                <w:szCs w:val="20"/>
                <w:lang w:eastAsia="pl-PL"/>
              </w:rPr>
            </w:pPr>
            <w:r w:rsidRPr="00E02F30">
              <w:rPr>
                <w:rFonts w:eastAsia="Times New Roman" w:cs="Arial"/>
                <w:sz w:val="20"/>
                <w:szCs w:val="20"/>
                <w:lang w:eastAsia="pl-PL"/>
              </w:rPr>
              <w:t>W ramach BAT należy monitorować emisje zorganizowane do powietrza co najmniej z podaną poniżej częstotliwością i zgodnie z normami EN. Jeżeli normy EN są niedostępne, w ramach BAT należy stosować normy ISO, normy krajowe lub inne międzynarodowe normy zapewniające uzyskanie danych o równoważnej jakości naukowej.</w:t>
            </w:r>
          </w:p>
          <w:tbl>
            <w:tblPr>
              <w:tblStyle w:val="TableGrid"/>
              <w:tblW w:w="4533" w:type="pct"/>
              <w:tblInd w:w="466" w:type="dxa"/>
              <w:tblLayout w:type="fixed"/>
              <w:tblCellMar>
                <w:left w:w="112" w:type="dxa"/>
                <w:right w:w="88" w:type="dxa"/>
              </w:tblCellMar>
              <w:tblLook w:val="04A0" w:firstRow="1" w:lastRow="0" w:firstColumn="1" w:lastColumn="0" w:noHBand="0" w:noVBand="1"/>
            </w:tblPr>
            <w:tblGrid>
              <w:gridCol w:w="1739"/>
              <w:gridCol w:w="1414"/>
              <w:gridCol w:w="1603"/>
              <w:gridCol w:w="1414"/>
              <w:gridCol w:w="1603"/>
              <w:gridCol w:w="1670"/>
            </w:tblGrid>
            <w:tr w:rsidR="00E02F30" w:rsidRPr="00E02F30" w14:paraId="2A929AD1" w14:textId="77777777" w:rsidTr="00A1631B">
              <w:trPr>
                <w:trHeight w:val="729"/>
              </w:trPr>
              <w:tc>
                <w:tcPr>
                  <w:tcW w:w="1739" w:type="dxa"/>
                  <w:tcBorders>
                    <w:top w:val="single" w:sz="4" w:space="0" w:color="000000"/>
                    <w:left w:val="nil"/>
                    <w:bottom w:val="single" w:sz="4" w:space="0" w:color="000000"/>
                    <w:right w:val="single" w:sz="4" w:space="0" w:color="000000"/>
                  </w:tcBorders>
                  <w:vAlign w:val="center"/>
                </w:tcPr>
                <w:p w14:paraId="269DB83F" w14:textId="77777777" w:rsidR="00E02F30" w:rsidRPr="00E02F30" w:rsidRDefault="00E02F30" w:rsidP="00E02F30">
                  <w:pPr>
                    <w:ind w:left="165" w:firstLine="43"/>
                    <w:rPr>
                      <w:rFonts w:cs="Arial"/>
                      <w:sz w:val="20"/>
                      <w:szCs w:val="20"/>
                    </w:rPr>
                  </w:pPr>
                  <w:r w:rsidRPr="00E02F30">
                    <w:rPr>
                      <w:rFonts w:cs="Arial"/>
                      <w:sz w:val="20"/>
                      <w:szCs w:val="20"/>
                    </w:rPr>
                    <w:t>Substancja/ Parametr (</w:t>
                  </w:r>
                  <w:r w:rsidRPr="00E02F30">
                    <w:rPr>
                      <w:rFonts w:cs="Arial"/>
                      <w:sz w:val="20"/>
                      <w:szCs w:val="20"/>
                      <w:vertAlign w:val="superscript"/>
                    </w:rPr>
                    <w:t>1</w:t>
                  </w:r>
                  <w:r w:rsidRPr="00E02F30">
                    <w:rPr>
                      <w:rFonts w:cs="Arial"/>
                      <w:sz w:val="20"/>
                      <w:szCs w:val="20"/>
                    </w:rPr>
                    <w:t>)</w:t>
                  </w:r>
                </w:p>
              </w:tc>
              <w:tc>
                <w:tcPr>
                  <w:tcW w:w="1414" w:type="dxa"/>
                  <w:tcBorders>
                    <w:top w:val="single" w:sz="4" w:space="0" w:color="000000"/>
                    <w:left w:val="single" w:sz="4" w:space="0" w:color="000000"/>
                    <w:bottom w:val="single" w:sz="4" w:space="0" w:color="000000"/>
                    <w:right w:val="single" w:sz="4" w:space="0" w:color="000000"/>
                  </w:tcBorders>
                </w:tcPr>
                <w:p w14:paraId="0BB21BC3" w14:textId="77777777" w:rsidR="00E02F30" w:rsidRPr="00E02F30" w:rsidRDefault="00E02F30" w:rsidP="00E02F30">
                  <w:pPr>
                    <w:ind w:right="25"/>
                    <w:jc w:val="center"/>
                    <w:rPr>
                      <w:rFonts w:cs="Arial"/>
                      <w:sz w:val="20"/>
                      <w:szCs w:val="20"/>
                    </w:rPr>
                  </w:pPr>
                  <w:r w:rsidRPr="00E02F30">
                    <w:rPr>
                      <w:rFonts w:cs="Arial"/>
                      <w:sz w:val="20"/>
                      <w:szCs w:val="20"/>
                    </w:rPr>
                    <w:t xml:space="preserve">Proces(y)/ </w:t>
                  </w:r>
                </w:p>
                <w:p w14:paraId="4ADFB745" w14:textId="77777777" w:rsidR="00E02F30" w:rsidRPr="00E02F30" w:rsidRDefault="00E02F30" w:rsidP="00E02F30">
                  <w:pPr>
                    <w:ind w:right="24"/>
                    <w:jc w:val="center"/>
                    <w:rPr>
                      <w:rFonts w:cs="Arial"/>
                      <w:sz w:val="20"/>
                      <w:szCs w:val="20"/>
                    </w:rPr>
                  </w:pPr>
                  <w:r w:rsidRPr="00E02F30">
                    <w:rPr>
                      <w:rFonts w:cs="Arial"/>
                      <w:sz w:val="20"/>
                      <w:szCs w:val="20"/>
                    </w:rPr>
                    <w:t xml:space="preserve">Źródło </w:t>
                  </w:r>
                </w:p>
                <w:p w14:paraId="0386AB16" w14:textId="77777777" w:rsidR="00E02F30" w:rsidRPr="00E02F30" w:rsidRDefault="00E02F30" w:rsidP="00E02F30">
                  <w:pPr>
                    <w:ind w:right="25"/>
                    <w:jc w:val="center"/>
                    <w:rPr>
                      <w:rFonts w:cs="Arial"/>
                      <w:sz w:val="20"/>
                      <w:szCs w:val="20"/>
                    </w:rPr>
                  </w:pPr>
                  <w:r w:rsidRPr="00E02F30">
                    <w:rPr>
                      <w:rFonts w:cs="Arial"/>
                      <w:sz w:val="20"/>
                      <w:szCs w:val="20"/>
                    </w:rPr>
                    <w:t>(źródła)</w:t>
                  </w:r>
                </w:p>
              </w:tc>
              <w:tc>
                <w:tcPr>
                  <w:tcW w:w="1603" w:type="dxa"/>
                  <w:tcBorders>
                    <w:top w:val="single" w:sz="4" w:space="0" w:color="000000"/>
                    <w:left w:val="single" w:sz="4" w:space="0" w:color="000000"/>
                    <w:bottom w:val="single" w:sz="4" w:space="0" w:color="000000"/>
                    <w:right w:val="single" w:sz="4" w:space="0" w:color="000000"/>
                  </w:tcBorders>
                  <w:vAlign w:val="center"/>
                </w:tcPr>
                <w:p w14:paraId="605E1660" w14:textId="77777777" w:rsidR="00E02F30" w:rsidRPr="00E02F30" w:rsidRDefault="00E02F30" w:rsidP="00E02F30">
                  <w:pPr>
                    <w:jc w:val="center"/>
                    <w:rPr>
                      <w:rFonts w:cs="Arial"/>
                      <w:sz w:val="20"/>
                      <w:szCs w:val="20"/>
                    </w:rPr>
                  </w:pPr>
                  <w:r w:rsidRPr="00E02F30">
                    <w:rPr>
                      <w:rFonts w:cs="Arial"/>
                      <w:sz w:val="20"/>
                      <w:szCs w:val="20"/>
                    </w:rPr>
                    <w:t>Punktowe źródła emisji</w:t>
                  </w:r>
                </w:p>
              </w:tc>
              <w:tc>
                <w:tcPr>
                  <w:tcW w:w="1414" w:type="dxa"/>
                  <w:tcBorders>
                    <w:top w:val="single" w:sz="4" w:space="0" w:color="000000"/>
                    <w:left w:val="single" w:sz="4" w:space="0" w:color="000000"/>
                    <w:bottom w:val="single" w:sz="4" w:space="0" w:color="000000"/>
                    <w:right w:val="single" w:sz="4" w:space="0" w:color="000000"/>
                  </w:tcBorders>
                  <w:vAlign w:val="center"/>
                </w:tcPr>
                <w:p w14:paraId="148D413C" w14:textId="77777777" w:rsidR="00E02F30" w:rsidRPr="00E02F30" w:rsidRDefault="00E02F30" w:rsidP="00E02F30">
                  <w:pPr>
                    <w:ind w:right="24"/>
                    <w:jc w:val="center"/>
                    <w:rPr>
                      <w:rFonts w:cs="Arial"/>
                      <w:sz w:val="20"/>
                      <w:szCs w:val="20"/>
                    </w:rPr>
                  </w:pPr>
                  <w:r w:rsidRPr="00E02F30">
                    <w:rPr>
                      <w:rFonts w:cs="Arial"/>
                      <w:sz w:val="20"/>
                      <w:szCs w:val="20"/>
                    </w:rPr>
                    <w:t>Normy (</w:t>
                  </w:r>
                  <w:r w:rsidRPr="00E02F30">
                    <w:rPr>
                      <w:rFonts w:cs="Arial"/>
                      <w:sz w:val="20"/>
                      <w:szCs w:val="20"/>
                      <w:vertAlign w:val="superscript"/>
                    </w:rPr>
                    <w:t>2</w:t>
                  </w:r>
                  <w:r w:rsidRPr="00E02F30">
                    <w:rPr>
                      <w:rFonts w:cs="Arial"/>
                      <w:sz w:val="20"/>
                      <w:szCs w:val="20"/>
                    </w:rPr>
                    <w:t>)</w:t>
                  </w:r>
                </w:p>
              </w:tc>
              <w:tc>
                <w:tcPr>
                  <w:tcW w:w="1603" w:type="dxa"/>
                  <w:tcBorders>
                    <w:top w:val="single" w:sz="4" w:space="0" w:color="000000"/>
                    <w:left w:val="single" w:sz="4" w:space="0" w:color="000000"/>
                    <w:bottom w:val="single" w:sz="4" w:space="0" w:color="000000"/>
                    <w:right w:val="single" w:sz="4" w:space="0" w:color="000000"/>
                  </w:tcBorders>
                </w:tcPr>
                <w:p w14:paraId="0A0C64E8" w14:textId="77777777" w:rsidR="00E02F30" w:rsidRPr="00E02F30" w:rsidRDefault="00E02F30" w:rsidP="00E02F30">
                  <w:pPr>
                    <w:ind w:firstLine="2"/>
                    <w:jc w:val="center"/>
                    <w:rPr>
                      <w:rFonts w:cs="Arial"/>
                      <w:sz w:val="20"/>
                      <w:szCs w:val="20"/>
                    </w:rPr>
                  </w:pPr>
                  <w:r w:rsidRPr="00E02F30">
                    <w:rPr>
                      <w:rFonts w:cs="Arial"/>
                      <w:sz w:val="20"/>
                      <w:szCs w:val="20"/>
                    </w:rPr>
                    <w:t>Minimalna częstotliwość monitorowania</w:t>
                  </w:r>
                </w:p>
              </w:tc>
              <w:tc>
                <w:tcPr>
                  <w:tcW w:w="1670" w:type="dxa"/>
                  <w:tcBorders>
                    <w:top w:val="single" w:sz="4" w:space="0" w:color="000000"/>
                    <w:left w:val="single" w:sz="4" w:space="0" w:color="000000"/>
                    <w:bottom w:val="single" w:sz="4" w:space="0" w:color="000000"/>
                    <w:right w:val="nil"/>
                  </w:tcBorders>
                  <w:vAlign w:val="center"/>
                </w:tcPr>
                <w:p w14:paraId="1887BE0C" w14:textId="77777777" w:rsidR="00E02F30" w:rsidRPr="00E02F30" w:rsidRDefault="00E02F30" w:rsidP="00E02F30">
                  <w:pPr>
                    <w:jc w:val="center"/>
                    <w:rPr>
                      <w:rFonts w:cs="Arial"/>
                      <w:sz w:val="20"/>
                      <w:szCs w:val="20"/>
                    </w:rPr>
                  </w:pPr>
                  <w:r w:rsidRPr="00E02F30">
                    <w:rPr>
                      <w:rFonts w:cs="Arial"/>
                      <w:sz w:val="20"/>
                      <w:szCs w:val="20"/>
                    </w:rPr>
                    <w:t>Monitorowanie powiązane z</w:t>
                  </w:r>
                </w:p>
              </w:tc>
            </w:tr>
            <w:tr w:rsidR="00E02F30" w:rsidRPr="00E02F30" w14:paraId="5967546E" w14:textId="77777777" w:rsidTr="00A1631B">
              <w:trPr>
                <w:trHeight w:val="729"/>
              </w:trPr>
              <w:tc>
                <w:tcPr>
                  <w:tcW w:w="1739" w:type="dxa"/>
                  <w:vMerge w:val="restart"/>
                  <w:tcBorders>
                    <w:top w:val="single" w:sz="4" w:space="0" w:color="000000"/>
                    <w:left w:val="nil"/>
                    <w:right w:val="single" w:sz="4" w:space="0" w:color="000000"/>
                  </w:tcBorders>
                  <w:vAlign w:val="center"/>
                </w:tcPr>
                <w:p w14:paraId="554A1034" w14:textId="77777777" w:rsidR="00E02F30" w:rsidRPr="00E02F30" w:rsidRDefault="00E02F30" w:rsidP="00E02F30">
                  <w:pPr>
                    <w:ind w:left="165" w:firstLine="43"/>
                    <w:rPr>
                      <w:rFonts w:cs="Arial"/>
                      <w:sz w:val="20"/>
                      <w:szCs w:val="20"/>
                    </w:rPr>
                  </w:pPr>
                  <w:r w:rsidRPr="00E02F30">
                    <w:rPr>
                      <w:rFonts w:cs="Arial"/>
                      <w:sz w:val="20"/>
                      <w:szCs w:val="20"/>
                    </w:rPr>
                    <w:t>Amoniak (NH3)</w:t>
                  </w:r>
                </w:p>
              </w:tc>
              <w:tc>
                <w:tcPr>
                  <w:tcW w:w="1414" w:type="dxa"/>
                  <w:tcBorders>
                    <w:top w:val="single" w:sz="4" w:space="0" w:color="000000"/>
                    <w:left w:val="single" w:sz="4" w:space="0" w:color="000000"/>
                    <w:bottom w:val="single" w:sz="4" w:space="0" w:color="000000"/>
                    <w:right w:val="single" w:sz="4" w:space="0" w:color="000000"/>
                  </w:tcBorders>
                </w:tcPr>
                <w:p w14:paraId="155C7149" w14:textId="77777777" w:rsidR="00E02F30" w:rsidRPr="00E02F30" w:rsidRDefault="00E02F30" w:rsidP="00E02F30">
                  <w:pPr>
                    <w:ind w:right="24"/>
                    <w:jc w:val="center"/>
                    <w:rPr>
                      <w:rFonts w:cs="Arial"/>
                      <w:sz w:val="20"/>
                      <w:szCs w:val="20"/>
                    </w:rPr>
                  </w:pPr>
                  <w:r w:rsidRPr="00E02F30">
                    <w:rPr>
                      <w:rFonts w:cs="Arial"/>
                      <w:sz w:val="20"/>
                      <w:szCs w:val="20"/>
                    </w:rPr>
                    <w:t>Zastosowanie  SCR/SNCR</w:t>
                  </w:r>
                </w:p>
              </w:tc>
              <w:tc>
                <w:tcPr>
                  <w:tcW w:w="1603" w:type="dxa"/>
                  <w:vMerge w:val="restart"/>
                  <w:tcBorders>
                    <w:top w:val="single" w:sz="4" w:space="0" w:color="000000"/>
                    <w:left w:val="single" w:sz="4" w:space="0" w:color="000000"/>
                    <w:right w:val="single" w:sz="4" w:space="0" w:color="000000"/>
                  </w:tcBorders>
                  <w:vAlign w:val="center"/>
                </w:tcPr>
                <w:p w14:paraId="1672C18F" w14:textId="77777777" w:rsidR="00E02F30" w:rsidRPr="00E02F30" w:rsidRDefault="00E02F30" w:rsidP="00E02F30">
                  <w:pPr>
                    <w:jc w:val="center"/>
                    <w:rPr>
                      <w:rFonts w:cs="Arial"/>
                      <w:sz w:val="20"/>
                      <w:szCs w:val="20"/>
                    </w:rPr>
                  </w:pPr>
                  <w:r w:rsidRPr="00E02F30">
                    <w:rPr>
                      <w:rFonts w:cs="Arial"/>
                      <w:sz w:val="20"/>
                      <w:szCs w:val="20"/>
                    </w:rPr>
                    <w:t>Dowolny komin</w:t>
                  </w:r>
                </w:p>
              </w:tc>
              <w:tc>
                <w:tcPr>
                  <w:tcW w:w="1414" w:type="dxa"/>
                  <w:vMerge w:val="restart"/>
                  <w:tcBorders>
                    <w:top w:val="single" w:sz="4" w:space="0" w:color="000000"/>
                    <w:left w:val="single" w:sz="4" w:space="0" w:color="000000"/>
                    <w:right w:val="single" w:sz="4" w:space="0" w:color="000000"/>
                  </w:tcBorders>
                  <w:vAlign w:val="center"/>
                </w:tcPr>
                <w:p w14:paraId="4B783BBA" w14:textId="77777777" w:rsidR="00E02F30" w:rsidRPr="00E02F30" w:rsidRDefault="00E02F30" w:rsidP="00E02F30">
                  <w:pPr>
                    <w:ind w:right="24"/>
                    <w:jc w:val="center"/>
                    <w:rPr>
                      <w:rFonts w:cs="Arial"/>
                      <w:sz w:val="20"/>
                      <w:szCs w:val="20"/>
                    </w:rPr>
                  </w:pPr>
                  <w:r w:rsidRPr="00E02F30">
                    <w:rPr>
                      <w:rFonts w:cs="Arial"/>
                      <w:sz w:val="20"/>
                      <w:szCs w:val="20"/>
                    </w:rPr>
                    <w:t>EN 21877</w:t>
                  </w:r>
                </w:p>
              </w:tc>
              <w:tc>
                <w:tcPr>
                  <w:tcW w:w="1603" w:type="dxa"/>
                  <w:vMerge w:val="restart"/>
                  <w:tcBorders>
                    <w:top w:val="single" w:sz="4" w:space="0" w:color="000000"/>
                    <w:left w:val="single" w:sz="4" w:space="0" w:color="000000"/>
                    <w:right w:val="single" w:sz="4" w:space="0" w:color="000000"/>
                  </w:tcBorders>
                  <w:vAlign w:val="center"/>
                </w:tcPr>
                <w:p w14:paraId="5E9831EC" w14:textId="77777777" w:rsidR="00E02F30" w:rsidRPr="00E02F30" w:rsidRDefault="00E02F30" w:rsidP="00E02F30">
                  <w:pPr>
                    <w:ind w:firstLine="2"/>
                    <w:jc w:val="center"/>
                    <w:rPr>
                      <w:rFonts w:cs="Arial"/>
                      <w:sz w:val="20"/>
                      <w:szCs w:val="20"/>
                    </w:rPr>
                  </w:pPr>
                  <w:r w:rsidRPr="00E02F30">
                    <w:rPr>
                      <w:rFonts w:cs="Arial"/>
                      <w:sz w:val="20"/>
                      <w:szCs w:val="20"/>
                    </w:rPr>
                    <w:t xml:space="preserve">Raz na 6 miesięcy </w:t>
                  </w:r>
                  <w:r w:rsidRPr="00E02F30">
                    <w:rPr>
                      <w:rFonts w:cs="Arial"/>
                      <w:sz w:val="20"/>
                      <w:szCs w:val="20"/>
                      <w:vertAlign w:val="superscript"/>
                    </w:rPr>
                    <w:t>(3) (4)</w:t>
                  </w:r>
                </w:p>
              </w:tc>
              <w:tc>
                <w:tcPr>
                  <w:tcW w:w="1670" w:type="dxa"/>
                  <w:vMerge w:val="restart"/>
                  <w:tcBorders>
                    <w:top w:val="single" w:sz="4" w:space="0" w:color="000000"/>
                    <w:left w:val="single" w:sz="4" w:space="0" w:color="000000"/>
                    <w:right w:val="nil"/>
                  </w:tcBorders>
                  <w:vAlign w:val="center"/>
                </w:tcPr>
                <w:p w14:paraId="0FC02565" w14:textId="77777777" w:rsidR="00E02F30" w:rsidRPr="00E02F30" w:rsidRDefault="00E02F30" w:rsidP="00E02F30">
                  <w:pPr>
                    <w:jc w:val="center"/>
                    <w:rPr>
                      <w:rFonts w:cs="Arial"/>
                      <w:sz w:val="20"/>
                      <w:szCs w:val="20"/>
                    </w:rPr>
                  </w:pPr>
                  <w:r w:rsidRPr="00E02F30">
                    <w:rPr>
                      <w:rFonts w:cs="Arial"/>
                      <w:sz w:val="20"/>
                      <w:szCs w:val="20"/>
                    </w:rPr>
                    <w:t>BAT 17</w:t>
                  </w:r>
                </w:p>
              </w:tc>
            </w:tr>
            <w:tr w:rsidR="00E02F30" w:rsidRPr="00E02F30" w14:paraId="7D43D743" w14:textId="77777777" w:rsidTr="00A1631B">
              <w:trPr>
                <w:trHeight w:val="729"/>
              </w:trPr>
              <w:tc>
                <w:tcPr>
                  <w:tcW w:w="1739" w:type="dxa"/>
                  <w:vMerge/>
                  <w:tcBorders>
                    <w:left w:val="nil"/>
                    <w:bottom w:val="single" w:sz="4" w:space="0" w:color="000000"/>
                    <w:right w:val="single" w:sz="4" w:space="0" w:color="000000"/>
                  </w:tcBorders>
                  <w:vAlign w:val="center"/>
                </w:tcPr>
                <w:p w14:paraId="6C1ED766" w14:textId="77777777" w:rsidR="00E02F30" w:rsidRPr="00E02F30" w:rsidRDefault="00E02F30" w:rsidP="00E02F30">
                  <w:pPr>
                    <w:ind w:left="165" w:firstLine="43"/>
                    <w:rPr>
                      <w:rFonts w:cs="Arial"/>
                      <w:sz w:val="20"/>
                      <w:szCs w:val="20"/>
                    </w:rPr>
                  </w:pPr>
                </w:p>
              </w:tc>
              <w:tc>
                <w:tcPr>
                  <w:tcW w:w="1414" w:type="dxa"/>
                  <w:tcBorders>
                    <w:top w:val="single" w:sz="4" w:space="0" w:color="000000"/>
                    <w:left w:val="single" w:sz="4" w:space="0" w:color="000000"/>
                    <w:bottom w:val="single" w:sz="4" w:space="0" w:color="000000"/>
                    <w:right w:val="single" w:sz="4" w:space="0" w:color="000000"/>
                  </w:tcBorders>
                </w:tcPr>
                <w:p w14:paraId="763A6348" w14:textId="77777777" w:rsidR="00E02F30" w:rsidRPr="00E02F30" w:rsidRDefault="00E02F30" w:rsidP="00E02F30">
                  <w:pPr>
                    <w:ind w:right="25"/>
                    <w:jc w:val="center"/>
                    <w:rPr>
                      <w:rFonts w:cs="Arial"/>
                      <w:sz w:val="20"/>
                      <w:szCs w:val="20"/>
                    </w:rPr>
                  </w:pPr>
                  <w:r w:rsidRPr="00E02F30">
                    <w:rPr>
                      <w:rFonts w:cs="Arial"/>
                      <w:sz w:val="20"/>
                      <w:szCs w:val="20"/>
                    </w:rPr>
                    <w:t>Wszystkie pozostałe procesy/ źródła</w:t>
                  </w:r>
                </w:p>
              </w:tc>
              <w:tc>
                <w:tcPr>
                  <w:tcW w:w="1603" w:type="dxa"/>
                  <w:vMerge/>
                  <w:tcBorders>
                    <w:left w:val="single" w:sz="4" w:space="0" w:color="000000"/>
                    <w:bottom w:val="single" w:sz="4" w:space="0" w:color="000000"/>
                    <w:right w:val="single" w:sz="4" w:space="0" w:color="000000"/>
                  </w:tcBorders>
                  <w:vAlign w:val="center"/>
                </w:tcPr>
                <w:p w14:paraId="38FFAB7B" w14:textId="77777777" w:rsidR="00E02F30" w:rsidRPr="00E02F30" w:rsidRDefault="00E02F30" w:rsidP="00E02F30">
                  <w:pPr>
                    <w:jc w:val="center"/>
                    <w:rPr>
                      <w:rFonts w:cs="Arial"/>
                      <w:sz w:val="20"/>
                      <w:szCs w:val="20"/>
                    </w:rPr>
                  </w:pPr>
                </w:p>
              </w:tc>
              <w:tc>
                <w:tcPr>
                  <w:tcW w:w="1414" w:type="dxa"/>
                  <w:vMerge/>
                  <w:tcBorders>
                    <w:left w:val="single" w:sz="4" w:space="0" w:color="000000"/>
                    <w:bottom w:val="single" w:sz="4" w:space="0" w:color="000000"/>
                    <w:right w:val="single" w:sz="4" w:space="0" w:color="000000"/>
                  </w:tcBorders>
                </w:tcPr>
                <w:p w14:paraId="43625DEF" w14:textId="77777777" w:rsidR="00E02F30" w:rsidRPr="00E02F30" w:rsidRDefault="00E02F30" w:rsidP="00E02F30">
                  <w:pPr>
                    <w:ind w:right="24"/>
                    <w:jc w:val="center"/>
                    <w:rPr>
                      <w:rFonts w:cs="Arial"/>
                      <w:sz w:val="20"/>
                      <w:szCs w:val="20"/>
                    </w:rPr>
                  </w:pPr>
                </w:p>
              </w:tc>
              <w:tc>
                <w:tcPr>
                  <w:tcW w:w="1603" w:type="dxa"/>
                  <w:vMerge/>
                  <w:tcBorders>
                    <w:left w:val="single" w:sz="4" w:space="0" w:color="000000"/>
                    <w:bottom w:val="single" w:sz="4" w:space="0" w:color="000000"/>
                    <w:right w:val="single" w:sz="4" w:space="0" w:color="000000"/>
                  </w:tcBorders>
                </w:tcPr>
                <w:p w14:paraId="2FBA61E8" w14:textId="77777777" w:rsidR="00E02F30" w:rsidRPr="00E02F30" w:rsidRDefault="00E02F30" w:rsidP="00E02F30">
                  <w:pPr>
                    <w:ind w:firstLine="2"/>
                    <w:jc w:val="center"/>
                    <w:rPr>
                      <w:rFonts w:cs="Arial"/>
                      <w:sz w:val="20"/>
                      <w:szCs w:val="20"/>
                    </w:rPr>
                  </w:pPr>
                </w:p>
              </w:tc>
              <w:tc>
                <w:tcPr>
                  <w:tcW w:w="1670" w:type="dxa"/>
                  <w:vMerge/>
                  <w:tcBorders>
                    <w:left w:val="single" w:sz="4" w:space="0" w:color="000000"/>
                    <w:bottom w:val="single" w:sz="4" w:space="0" w:color="000000"/>
                    <w:right w:val="nil"/>
                  </w:tcBorders>
                </w:tcPr>
                <w:p w14:paraId="1C4AD115" w14:textId="77777777" w:rsidR="00E02F30" w:rsidRPr="00E02F30" w:rsidRDefault="00E02F30" w:rsidP="00E02F30">
                  <w:pPr>
                    <w:jc w:val="center"/>
                    <w:rPr>
                      <w:rFonts w:cs="Arial"/>
                      <w:sz w:val="20"/>
                      <w:szCs w:val="20"/>
                    </w:rPr>
                  </w:pPr>
                </w:p>
              </w:tc>
            </w:tr>
            <w:tr w:rsidR="00E02F30" w:rsidRPr="00E02F30" w14:paraId="588DB4EB" w14:textId="77777777" w:rsidTr="00A1631B">
              <w:trPr>
                <w:trHeight w:val="729"/>
              </w:trPr>
              <w:tc>
                <w:tcPr>
                  <w:tcW w:w="1739" w:type="dxa"/>
                  <w:tcBorders>
                    <w:top w:val="single" w:sz="4" w:space="0" w:color="000000"/>
                    <w:left w:val="nil"/>
                    <w:bottom w:val="single" w:sz="4" w:space="0" w:color="000000"/>
                    <w:right w:val="single" w:sz="4" w:space="0" w:color="000000"/>
                  </w:tcBorders>
                  <w:vAlign w:val="center"/>
                </w:tcPr>
                <w:p w14:paraId="2EA60DDE" w14:textId="77777777" w:rsidR="00E02F30" w:rsidRPr="00E02F30" w:rsidRDefault="00E02F30" w:rsidP="00E02F30">
                  <w:pPr>
                    <w:ind w:left="165" w:firstLine="43"/>
                    <w:rPr>
                      <w:rFonts w:cs="Arial"/>
                      <w:sz w:val="20"/>
                      <w:szCs w:val="20"/>
                    </w:rPr>
                  </w:pPr>
                  <w:r w:rsidRPr="00E02F30">
                    <w:rPr>
                      <w:rFonts w:cs="Arial"/>
                      <w:sz w:val="20"/>
                      <w:szCs w:val="20"/>
                    </w:rPr>
                    <w:t>Benzen</w:t>
                  </w:r>
                </w:p>
              </w:tc>
              <w:tc>
                <w:tcPr>
                  <w:tcW w:w="1414" w:type="dxa"/>
                  <w:tcBorders>
                    <w:top w:val="single" w:sz="4" w:space="0" w:color="000000"/>
                    <w:left w:val="single" w:sz="4" w:space="0" w:color="000000"/>
                    <w:bottom w:val="single" w:sz="4" w:space="0" w:color="000000"/>
                    <w:right w:val="single" w:sz="4" w:space="0" w:color="000000"/>
                  </w:tcBorders>
                </w:tcPr>
                <w:p w14:paraId="336EC01C" w14:textId="77777777" w:rsidR="00E02F30" w:rsidRPr="00E02F30" w:rsidRDefault="00E02F30" w:rsidP="00E02F30">
                  <w:pPr>
                    <w:ind w:right="25"/>
                    <w:jc w:val="center"/>
                    <w:rPr>
                      <w:rFonts w:cs="Arial"/>
                      <w:sz w:val="20"/>
                      <w:szCs w:val="20"/>
                    </w:rPr>
                  </w:pPr>
                  <w:r w:rsidRPr="00E02F30">
                    <w:rPr>
                      <w:rFonts w:cs="Arial"/>
                      <w:sz w:val="20"/>
                      <w:szCs w:val="20"/>
                    </w:rPr>
                    <w:t>Wszystkie  procesy/ źródła</w:t>
                  </w:r>
                </w:p>
              </w:tc>
              <w:tc>
                <w:tcPr>
                  <w:tcW w:w="1603" w:type="dxa"/>
                  <w:tcBorders>
                    <w:top w:val="single" w:sz="4" w:space="0" w:color="000000"/>
                    <w:left w:val="single" w:sz="4" w:space="0" w:color="000000"/>
                    <w:bottom w:val="single" w:sz="4" w:space="0" w:color="000000"/>
                    <w:right w:val="single" w:sz="4" w:space="0" w:color="000000"/>
                  </w:tcBorders>
                  <w:vAlign w:val="center"/>
                </w:tcPr>
                <w:p w14:paraId="3ACCD06F" w14:textId="77777777" w:rsidR="00E02F30" w:rsidRPr="00E02F30" w:rsidRDefault="00E02F30" w:rsidP="00E02F30">
                  <w:pPr>
                    <w:jc w:val="center"/>
                    <w:rPr>
                      <w:rFonts w:cs="Arial"/>
                      <w:sz w:val="20"/>
                      <w:szCs w:val="20"/>
                    </w:rPr>
                  </w:pPr>
                  <w:r w:rsidRPr="00E02F30">
                    <w:rPr>
                      <w:rFonts w:cs="Arial"/>
                      <w:sz w:val="20"/>
                      <w:szCs w:val="20"/>
                    </w:rPr>
                    <w:t>Dowolny komin</w:t>
                  </w:r>
                </w:p>
              </w:tc>
              <w:tc>
                <w:tcPr>
                  <w:tcW w:w="1414" w:type="dxa"/>
                  <w:tcBorders>
                    <w:top w:val="single" w:sz="4" w:space="0" w:color="000000"/>
                    <w:left w:val="single" w:sz="4" w:space="0" w:color="000000"/>
                    <w:bottom w:val="single" w:sz="4" w:space="0" w:color="000000"/>
                    <w:right w:val="single" w:sz="4" w:space="0" w:color="000000"/>
                  </w:tcBorders>
                  <w:vAlign w:val="center"/>
                </w:tcPr>
                <w:p w14:paraId="5E64F921" w14:textId="77777777" w:rsidR="00E02F30" w:rsidRPr="00E02F30" w:rsidRDefault="00E02F30" w:rsidP="00E02F30">
                  <w:pPr>
                    <w:ind w:right="24"/>
                    <w:jc w:val="center"/>
                    <w:rPr>
                      <w:rFonts w:cs="Arial"/>
                      <w:sz w:val="20"/>
                      <w:szCs w:val="20"/>
                    </w:rPr>
                  </w:pPr>
                  <w:r w:rsidRPr="00E02F30">
                    <w:rPr>
                      <w:rFonts w:cs="Arial"/>
                      <w:sz w:val="20"/>
                      <w:szCs w:val="20"/>
                    </w:rPr>
                    <w:t>Brak normy EN</w:t>
                  </w:r>
                </w:p>
              </w:tc>
              <w:tc>
                <w:tcPr>
                  <w:tcW w:w="1603" w:type="dxa"/>
                  <w:tcBorders>
                    <w:top w:val="single" w:sz="4" w:space="0" w:color="000000"/>
                    <w:left w:val="single" w:sz="4" w:space="0" w:color="000000"/>
                    <w:bottom w:val="single" w:sz="4" w:space="0" w:color="000000"/>
                    <w:right w:val="single" w:sz="4" w:space="0" w:color="000000"/>
                  </w:tcBorders>
                  <w:vAlign w:val="center"/>
                </w:tcPr>
                <w:p w14:paraId="62B659C7" w14:textId="77777777" w:rsidR="00E02F30" w:rsidRPr="00E02F30" w:rsidRDefault="00E02F30" w:rsidP="00E02F30">
                  <w:pPr>
                    <w:ind w:firstLine="2"/>
                    <w:jc w:val="center"/>
                    <w:rPr>
                      <w:rFonts w:cs="Arial"/>
                      <w:sz w:val="20"/>
                      <w:szCs w:val="20"/>
                    </w:rPr>
                  </w:pPr>
                  <w:r w:rsidRPr="00E02F30">
                    <w:rPr>
                      <w:rFonts w:cs="Arial"/>
                      <w:sz w:val="20"/>
                      <w:szCs w:val="20"/>
                    </w:rPr>
                    <w:t xml:space="preserve">Raz na 6 miesięcy </w:t>
                  </w:r>
                  <w:r w:rsidRPr="00E02F30">
                    <w:rPr>
                      <w:rFonts w:cs="Arial"/>
                      <w:sz w:val="20"/>
                      <w:szCs w:val="20"/>
                      <w:vertAlign w:val="superscript"/>
                    </w:rPr>
                    <w:t>(3)</w:t>
                  </w:r>
                </w:p>
              </w:tc>
              <w:tc>
                <w:tcPr>
                  <w:tcW w:w="1670" w:type="dxa"/>
                  <w:tcBorders>
                    <w:top w:val="single" w:sz="4" w:space="0" w:color="000000"/>
                    <w:left w:val="single" w:sz="4" w:space="0" w:color="000000"/>
                    <w:bottom w:val="single" w:sz="4" w:space="0" w:color="000000"/>
                    <w:right w:val="nil"/>
                  </w:tcBorders>
                  <w:vAlign w:val="center"/>
                </w:tcPr>
                <w:p w14:paraId="089F0BA0" w14:textId="77777777" w:rsidR="00E02F30" w:rsidRPr="00E02F30" w:rsidRDefault="00E02F30" w:rsidP="00E02F30">
                  <w:pPr>
                    <w:jc w:val="center"/>
                    <w:rPr>
                      <w:rFonts w:cs="Arial"/>
                      <w:sz w:val="20"/>
                      <w:szCs w:val="20"/>
                    </w:rPr>
                  </w:pPr>
                  <w:r w:rsidRPr="00E02F30">
                    <w:rPr>
                      <w:rFonts w:cs="Arial"/>
                      <w:sz w:val="20"/>
                      <w:szCs w:val="20"/>
                    </w:rPr>
                    <w:t>BAT 11</w:t>
                  </w:r>
                </w:p>
              </w:tc>
            </w:tr>
            <w:tr w:rsidR="00E02F30" w:rsidRPr="00E02F30" w14:paraId="589ED680" w14:textId="77777777" w:rsidTr="00A1631B">
              <w:trPr>
                <w:trHeight w:val="729"/>
              </w:trPr>
              <w:tc>
                <w:tcPr>
                  <w:tcW w:w="1739" w:type="dxa"/>
                  <w:tcBorders>
                    <w:top w:val="single" w:sz="4" w:space="0" w:color="000000"/>
                    <w:left w:val="nil"/>
                    <w:bottom w:val="single" w:sz="4" w:space="0" w:color="000000"/>
                    <w:right w:val="single" w:sz="4" w:space="0" w:color="000000"/>
                  </w:tcBorders>
                </w:tcPr>
                <w:p w14:paraId="4F627343" w14:textId="77777777" w:rsidR="00E02F30" w:rsidRPr="00E02F30" w:rsidRDefault="00E02F30" w:rsidP="00E02F30">
                  <w:pPr>
                    <w:spacing w:line="218" w:lineRule="auto"/>
                    <w:ind w:right="38"/>
                    <w:jc w:val="center"/>
                    <w:rPr>
                      <w:rFonts w:cs="Arial"/>
                      <w:sz w:val="20"/>
                      <w:szCs w:val="20"/>
                    </w:rPr>
                  </w:pPr>
                  <w:r w:rsidRPr="00E02F30">
                    <w:rPr>
                      <w:rFonts w:cs="Arial"/>
                      <w:sz w:val="20"/>
                      <w:szCs w:val="20"/>
                    </w:rPr>
                    <w:t xml:space="preserve">Substancje CMR inne niż substancje wymienione w innym miejscu w niniejszej tabeli  </w:t>
                  </w:r>
                  <w:r w:rsidRPr="00E02F30">
                    <w:rPr>
                      <w:rFonts w:cs="Arial"/>
                      <w:sz w:val="20"/>
                      <w:szCs w:val="20"/>
                      <w:vertAlign w:val="superscript"/>
                    </w:rPr>
                    <w:t>(12)</w:t>
                  </w:r>
                </w:p>
              </w:tc>
              <w:tc>
                <w:tcPr>
                  <w:tcW w:w="1414" w:type="dxa"/>
                  <w:tcBorders>
                    <w:top w:val="single" w:sz="4" w:space="0" w:color="000000"/>
                    <w:left w:val="single" w:sz="4" w:space="0" w:color="000000"/>
                    <w:bottom w:val="single" w:sz="4" w:space="0" w:color="000000"/>
                    <w:right w:val="single" w:sz="4" w:space="0" w:color="000000"/>
                  </w:tcBorders>
                  <w:vAlign w:val="center"/>
                </w:tcPr>
                <w:p w14:paraId="0EECADA8" w14:textId="77777777" w:rsidR="00E02F30" w:rsidRPr="00E02F30" w:rsidRDefault="00E02F30" w:rsidP="00E02F30">
                  <w:pPr>
                    <w:spacing w:line="218" w:lineRule="auto"/>
                    <w:jc w:val="center"/>
                    <w:rPr>
                      <w:rFonts w:cs="Arial"/>
                      <w:sz w:val="20"/>
                      <w:szCs w:val="20"/>
                    </w:rPr>
                  </w:pPr>
                  <w:r w:rsidRPr="00E02F30">
                    <w:rPr>
                      <w:rFonts w:cs="Arial"/>
                      <w:sz w:val="20"/>
                      <w:szCs w:val="20"/>
                    </w:rPr>
                    <w:t>Wszystkie pozostałe procesy/ źródła</w:t>
                  </w:r>
                </w:p>
              </w:tc>
              <w:tc>
                <w:tcPr>
                  <w:tcW w:w="1603" w:type="dxa"/>
                  <w:tcBorders>
                    <w:top w:val="single" w:sz="4" w:space="0" w:color="000000"/>
                    <w:left w:val="single" w:sz="4" w:space="0" w:color="000000"/>
                    <w:bottom w:val="single" w:sz="4" w:space="0" w:color="000000"/>
                    <w:right w:val="single" w:sz="4" w:space="0" w:color="000000"/>
                  </w:tcBorders>
                  <w:vAlign w:val="center"/>
                </w:tcPr>
                <w:p w14:paraId="28CEB11E" w14:textId="77777777" w:rsidR="00E02F30" w:rsidRPr="00E02F30" w:rsidRDefault="00E02F30" w:rsidP="00E02F30">
                  <w:pPr>
                    <w:jc w:val="center"/>
                    <w:rPr>
                      <w:rFonts w:cs="Arial"/>
                      <w:sz w:val="20"/>
                      <w:szCs w:val="20"/>
                    </w:rPr>
                  </w:pPr>
                  <w:r w:rsidRPr="00E02F30">
                    <w:rPr>
                      <w:rFonts w:cs="Arial"/>
                      <w:sz w:val="20"/>
                      <w:szCs w:val="20"/>
                    </w:rPr>
                    <w:t>Dowolny komin</w:t>
                  </w:r>
                </w:p>
              </w:tc>
              <w:tc>
                <w:tcPr>
                  <w:tcW w:w="1414" w:type="dxa"/>
                  <w:tcBorders>
                    <w:top w:val="single" w:sz="4" w:space="0" w:color="000000"/>
                    <w:left w:val="single" w:sz="4" w:space="0" w:color="000000"/>
                    <w:bottom w:val="single" w:sz="4" w:space="0" w:color="000000"/>
                    <w:right w:val="single" w:sz="4" w:space="0" w:color="000000"/>
                  </w:tcBorders>
                  <w:vAlign w:val="center"/>
                </w:tcPr>
                <w:p w14:paraId="1C6D9063" w14:textId="77777777" w:rsidR="00E02F30" w:rsidRPr="00E02F30" w:rsidRDefault="00E02F30" w:rsidP="00E02F30">
                  <w:pPr>
                    <w:ind w:right="24"/>
                    <w:jc w:val="center"/>
                    <w:rPr>
                      <w:rFonts w:cs="Arial"/>
                      <w:sz w:val="20"/>
                      <w:szCs w:val="20"/>
                    </w:rPr>
                  </w:pPr>
                  <w:r w:rsidRPr="00E02F30">
                    <w:rPr>
                      <w:rFonts w:cs="Arial"/>
                      <w:sz w:val="20"/>
                      <w:szCs w:val="20"/>
                    </w:rPr>
                    <w:t>Brak normy EN</w:t>
                  </w:r>
                </w:p>
              </w:tc>
              <w:tc>
                <w:tcPr>
                  <w:tcW w:w="1603" w:type="dxa"/>
                  <w:tcBorders>
                    <w:top w:val="single" w:sz="4" w:space="0" w:color="000000"/>
                    <w:left w:val="single" w:sz="4" w:space="0" w:color="000000"/>
                    <w:bottom w:val="single" w:sz="4" w:space="0" w:color="000000"/>
                    <w:right w:val="single" w:sz="4" w:space="0" w:color="000000"/>
                  </w:tcBorders>
                  <w:vAlign w:val="center"/>
                </w:tcPr>
                <w:p w14:paraId="3248DA31" w14:textId="77777777" w:rsidR="00E02F30" w:rsidRPr="00E02F30" w:rsidRDefault="00E02F30" w:rsidP="00E02F30">
                  <w:pPr>
                    <w:ind w:firstLine="2"/>
                    <w:jc w:val="center"/>
                    <w:rPr>
                      <w:rFonts w:cs="Arial"/>
                      <w:sz w:val="20"/>
                      <w:szCs w:val="20"/>
                    </w:rPr>
                  </w:pPr>
                  <w:r w:rsidRPr="00E02F30">
                    <w:rPr>
                      <w:rFonts w:cs="Arial"/>
                      <w:sz w:val="20"/>
                      <w:szCs w:val="20"/>
                    </w:rPr>
                    <w:t>Raz na 6 miesięcy</w:t>
                  </w:r>
                  <w:r w:rsidRPr="00E02F30">
                    <w:rPr>
                      <w:rFonts w:cs="Arial"/>
                      <w:sz w:val="20"/>
                      <w:szCs w:val="20"/>
                      <w:vertAlign w:val="superscript"/>
                    </w:rPr>
                    <w:t xml:space="preserve"> (3)</w:t>
                  </w:r>
                </w:p>
              </w:tc>
              <w:tc>
                <w:tcPr>
                  <w:tcW w:w="1670" w:type="dxa"/>
                  <w:tcBorders>
                    <w:top w:val="single" w:sz="4" w:space="0" w:color="000000"/>
                    <w:left w:val="single" w:sz="4" w:space="0" w:color="000000"/>
                    <w:bottom w:val="single" w:sz="4" w:space="0" w:color="000000"/>
                    <w:right w:val="nil"/>
                  </w:tcBorders>
                  <w:vAlign w:val="center"/>
                </w:tcPr>
                <w:p w14:paraId="2FE7546E" w14:textId="77777777" w:rsidR="00E02F30" w:rsidRPr="00E02F30" w:rsidRDefault="00E02F30" w:rsidP="00E02F30">
                  <w:pPr>
                    <w:jc w:val="center"/>
                    <w:rPr>
                      <w:rFonts w:cs="Arial"/>
                      <w:sz w:val="20"/>
                      <w:szCs w:val="20"/>
                    </w:rPr>
                  </w:pPr>
                  <w:r w:rsidRPr="00E02F30">
                    <w:rPr>
                      <w:rFonts w:cs="Arial"/>
                      <w:sz w:val="20"/>
                      <w:szCs w:val="20"/>
                    </w:rPr>
                    <w:t>BAT 11</w:t>
                  </w:r>
                </w:p>
              </w:tc>
            </w:tr>
            <w:tr w:rsidR="00E02F30" w:rsidRPr="00E02F30" w14:paraId="75C840ED" w14:textId="77777777" w:rsidTr="00A1631B">
              <w:trPr>
                <w:trHeight w:val="729"/>
              </w:trPr>
              <w:tc>
                <w:tcPr>
                  <w:tcW w:w="1739" w:type="dxa"/>
                  <w:vMerge w:val="restart"/>
                  <w:tcBorders>
                    <w:top w:val="single" w:sz="4" w:space="0" w:color="000000"/>
                    <w:left w:val="nil"/>
                    <w:right w:val="single" w:sz="4" w:space="0" w:color="000000"/>
                  </w:tcBorders>
                  <w:vAlign w:val="center"/>
                </w:tcPr>
                <w:p w14:paraId="6097E4D5" w14:textId="77777777" w:rsidR="00E02F30" w:rsidRPr="00E02F30" w:rsidRDefault="00E02F30" w:rsidP="00E02F30">
                  <w:pPr>
                    <w:spacing w:line="218" w:lineRule="auto"/>
                    <w:ind w:right="38"/>
                    <w:jc w:val="center"/>
                    <w:rPr>
                      <w:rFonts w:cs="Arial"/>
                      <w:sz w:val="20"/>
                      <w:szCs w:val="20"/>
                    </w:rPr>
                  </w:pPr>
                  <w:r w:rsidRPr="00E02F30">
                    <w:rPr>
                      <w:rFonts w:cs="Arial"/>
                      <w:sz w:val="20"/>
                      <w:szCs w:val="20"/>
                    </w:rPr>
                    <w:t>Pył</w:t>
                  </w:r>
                </w:p>
              </w:tc>
              <w:tc>
                <w:tcPr>
                  <w:tcW w:w="1414" w:type="dxa"/>
                  <w:vMerge w:val="restart"/>
                  <w:tcBorders>
                    <w:top w:val="single" w:sz="4" w:space="0" w:color="000000"/>
                    <w:left w:val="single" w:sz="4" w:space="0" w:color="000000"/>
                    <w:right w:val="single" w:sz="4" w:space="0" w:color="000000"/>
                  </w:tcBorders>
                  <w:vAlign w:val="center"/>
                </w:tcPr>
                <w:p w14:paraId="3E32B4A4" w14:textId="77777777" w:rsidR="00E02F30" w:rsidRPr="00E02F30" w:rsidRDefault="00E02F30" w:rsidP="00E02F30">
                  <w:pPr>
                    <w:spacing w:line="218" w:lineRule="auto"/>
                    <w:jc w:val="center"/>
                    <w:rPr>
                      <w:rFonts w:cs="Arial"/>
                      <w:sz w:val="20"/>
                      <w:szCs w:val="20"/>
                    </w:rPr>
                  </w:pPr>
                  <w:r w:rsidRPr="00E02F30">
                    <w:rPr>
                      <w:rFonts w:cs="Arial"/>
                      <w:sz w:val="20"/>
                      <w:szCs w:val="20"/>
                    </w:rPr>
                    <w:t>Wszystkie  procesy/ źródła</w:t>
                  </w:r>
                </w:p>
              </w:tc>
              <w:tc>
                <w:tcPr>
                  <w:tcW w:w="1603" w:type="dxa"/>
                  <w:tcBorders>
                    <w:top w:val="single" w:sz="4" w:space="0" w:color="000000"/>
                    <w:left w:val="single" w:sz="4" w:space="0" w:color="000000"/>
                    <w:bottom w:val="single" w:sz="4" w:space="0" w:color="000000"/>
                    <w:right w:val="single" w:sz="4" w:space="0" w:color="000000"/>
                  </w:tcBorders>
                </w:tcPr>
                <w:p w14:paraId="3A48DBAF" w14:textId="77777777" w:rsidR="00E02F30" w:rsidRPr="00E02F30" w:rsidRDefault="00E02F30" w:rsidP="00E02F30">
                  <w:pPr>
                    <w:spacing w:line="218" w:lineRule="auto"/>
                    <w:jc w:val="center"/>
                    <w:rPr>
                      <w:rFonts w:cs="Arial"/>
                      <w:sz w:val="20"/>
                      <w:szCs w:val="20"/>
                    </w:rPr>
                  </w:pPr>
                  <w:r w:rsidRPr="00E02F30">
                    <w:rPr>
                      <w:rFonts w:cs="Arial"/>
                      <w:sz w:val="20"/>
                      <w:szCs w:val="20"/>
                    </w:rPr>
                    <w:t>Dowolny komin o przepływie masowym pyłu wynoszącym  ≥ 3 kg/h</w:t>
                  </w:r>
                </w:p>
              </w:tc>
              <w:tc>
                <w:tcPr>
                  <w:tcW w:w="1414" w:type="dxa"/>
                  <w:tcBorders>
                    <w:top w:val="single" w:sz="4" w:space="0" w:color="000000"/>
                    <w:left w:val="single" w:sz="4" w:space="0" w:color="000000"/>
                    <w:bottom w:val="single" w:sz="4" w:space="0" w:color="000000"/>
                    <w:right w:val="single" w:sz="4" w:space="0" w:color="000000"/>
                  </w:tcBorders>
                  <w:vAlign w:val="center"/>
                </w:tcPr>
                <w:p w14:paraId="182095D4" w14:textId="77777777" w:rsidR="00E02F30" w:rsidRPr="00E02F30" w:rsidRDefault="00E02F30" w:rsidP="00E02F30">
                  <w:pPr>
                    <w:spacing w:after="20" w:line="216" w:lineRule="auto"/>
                    <w:jc w:val="center"/>
                    <w:rPr>
                      <w:rFonts w:cs="Arial"/>
                      <w:sz w:val="20"/>
                      <w:szCs w:val="20"/>
                      <w:lang w:val="nl-NL"/>
                    </w:rPr>
                  </w:pPr>
                  <w:r w:rsidRPr="00E02F30">
                    <w:rPr>
                      <w:rFonts w:cs="Arial"/>
                      <w:sz w:val="20"/>
                      <w:szCs w:val="20"/>
                      <w:lang w:val="nl-NL"/>
                    </w:rPr>
                    <w:t xml:space="preserve">Ogólne normy EN </w:t>
                  </w:r>
                  <w:r w:rsidRPr="00E02F30">
                    <w:rPr>
                      <w:rFonts w:cs="Arial"/>
                      <w:sz w:val="20"/>
                      <w:szCs w:val="20"/>
                      <w:vertAlign w:val="superscript"/>
                      <w:lang w:val="nl-NL"/>
                    </w:rPr>
                    <w:t>(5)</w:t>
                  </w:r>
                  <w:r w:rsidRPr="00E02F30">
                    <w:rPr>
                      <w:rFonts w:cs="Arial"/>
                      <w:sz w:val="20"/>
                      <w:szCs w:val="20"/>
                      <w:lang w:val="nl-NL"/>
                    </w:rPr>
                    <w:t>,</w:t>
                  </w:r>
                </w:p>
                <w:p w14:paraId="3520A3E8" w14:textId="77777777" w:rsidR="00E02F30" w:rsidRPr="00E02F30" w:rsidRDefault="00E02F30" w:rsidP="00E02F30">
                  <w:pPr>
                    <w:spacing w:line="218" w:lineRule="auto"/>
                    <w:jc w:val="center"/>
                    <w:rPr>
                      <w:rFonts w:cs="Arial"/>
                      <w:sz w:val="20"/>
                      <w:szCs w:val="20"/>
                      <w:lang w:val="nl-NL"/>
                    </w:rPr>
                  </w:pPr>
                  <w:r w:rsidRPr="00E02F30">
                    <w:rPr>
                      <w:rFonts w:cs="Arial"/>
                      <w:sz w:val="20"/>
                      <w:szCs w:val="20"/>
                      <w:lang w:val="nl-NL"/>
                    </w:rPr>
                    <w:t>EN 13284-1 oraz</w:t>
                  </w:r>
                </w:p>
                <w:p w14:paraId="403CD678" w14:textId="77777777" w:rsidR="00E02F30" w:rsidRPr="00E02F30" w:rsidRDefault="00E02F30" w:rsidP="00E02F30">
                  <w:pPr>
                    <w:ind w:right="24"/>
                    <w:jc w:val="center"/>
                    <w:rPr>
                      <w:rFonts w:cs="Arial"/>
                      <w:sz w:val="20"/>
                      <w:szCs w:val="20"/>
                      <w:lang w:val="nl-NL"/>
                    </w:rPr>
                  </w:pPr>
                  <w:r w:rsidRPr="00E02F30">
                    <w:rPr>
                      <w:rFonts w:cs="Arial"/>
                      <w:sz w:val="20"/>
                      <w:szCs w:val="20"/>
                      <w:lang w:val="nl-NL"/>
                    </w:rPr>
                    <w:t>EN 13284-2</w:t>
                  </w:r>
                </w:p>
              </w:tc>
              <w:tc>
                <w:tcPr>
                  <w:tcW w:w="1603" w:type="dxa"/>
                  <w:tcBorders>
                    <w:top w:val="single" w:sz="4" w:space="0" w:color="000000"/>
                    <w:left w:val="single" w:sz="4" w:space="0" w:color="000000"/>
                    <w:bottom w:val="single" w:sz="4" w:space="0" w:color="000000"/>
                    <w:right w:val="single" w:sz="4" w:space="0" w:color="000000"/>
                  </w:tcBorders>
                  <w:vAlign w:val="center"/>
                </w:tcPr>
                <w:p w14:paraId="78FC959A" w14:textId="77777777" w:rsidR="00E02F30" w:rsidRPr="00E02F30" w:rsidRDefault="00E02F30" w:rsidP="00E02F30">
                  <w:pPr>
                    <w:ind w:firstLine="2"/>
                    <w:jc w:val="center"/>
                    <w:rPr>
                      <w:rFonts w:cs="Arial"/>
                      <w:sz w:val="20"/>
                      <w:szCs w:val="20"/>
                    </w:rPr>
                  </w:pPr>
                  <w:r w:rsidRPr="00E02F30">
                    <w:rPr>
                      <w:rFonts w:cs="Arial"/>
                      <w:sz w:val="20"/>
                      <w:szCs w:val="20"/>
                    </w:rPr>
                    <w:t xml:space="preserve">Ciągłe </w:t>
                  </w:r>
                  <w:r w:rsidRPr="00E02F30">
                    <w:rPr>
                      <w:rFonts w:cs="Arial"/>
                      <w:sz w:val="20"/>
                      <w:szCs w:val="20"/>
                      <w:vertAlign w:val="superscript"/>
                    </w:rPr>
                    <w:t>(8)</w:t>
                  </w:r>
                </w:p>
              </w:tc>
              <w:tc>
                <w:tcPr>
                  <w:tcW w:w="1670" w:type="dxa"/>
                  <w:vMerge w:val="restart"/>
                  <w:tcBorders>
                    <w:top w:val="single" w:sz="4" w:space="0" w:color="000000"/>
                    <w:left w:val="single" w:sz="4" w:space="0" w:color="000000"/>
                    <w:right w:val="nil"/>
                  </w:tcBorders>
                  <w:vAlign w:val="center"/>
                </w:tcPr>
                <w:p w14:paraId="0D043740" w14:textId="77777777" w:rsidR="00E02F30" w:rsidRPr="00E02F30" w:rsidRDefault="00E02F30" w:rsidP="00E02F30">
                  <w:pPr>
                    <w:jc w:val="center"/>
                    <w:rPr>
                      <w:rFonts w:cs="Arial"/>
                      <w:sz w:val="20"/>
                      <w:szCs w:val="20"/>
                    </w:rPr>
                  </w:pPr>
                  <w:r w:rsidRPr="00E02F30">
                    <w:rPr>
                      <w:rFonts w:cs="Arial"/>
                      <w:sz w:val="20"/>
                      <w:szCs w:val="20"/>
                    </w:rPr>
                    <w:t>BAT 14</w:t>
                  </w:r>
                </w:p>
              </w:tc>
            </w:tr>
            <w:tr w:rsidR="00E02F30" w:rsidRPr="00E02F30" w14:paraId="330A004A" w14:textId="77777777" w:rsidTr="00A1631B">
              <w:trPr>
                <w:trHeight w:val="729"/>
              </w:trPr>
              <w:tc>
                <w:tcPr>
                  <w:tcW w:w="1739" w:type="dxa"/>
                  <w:vMerge/>
                  <w:tcBorders>
                    <w:left w:val="nil"/>
                    <w:bottom w:val="single" w:sz="4" w:space="0" w:color="000000"/>
                    <w:right w:val="single" w:sz="4" w:space="0" w:color="000000"/>
                  </w:tcBorders>
                </w:tcPr>
                <w:p w14:paraId="1E6FCA85" w14:textId="77777777" w:rsidR="00E02F30" w:rsidRPr="00E02F30" w:rsidRDefault="00E02F30" w:rsidP="00E02F30">
                  <w:pPr>
                    <w:spacing w:line="218" w:lineRule="auto"/>
                    <w:ind w:right="38"/>
                    <w:jc w:val="center"/>
                    <w:rPr>
                      <w:rFonts w:cs="Arial"/>
                      <w:sz w:val="20"/>
                      <w:szCs w:val="20"/>
                    </w:rPr>
                  </w:pPr>
                </w:p>
              </w:tc>
              <w:tc>
                <w:tcPr>
                  <w:tcW w:w="1414" w:type="dxa"/>
                  <w:vMerge/>
                  <w:tcBorders>
                    <w:left w:val="single" w:sz="4" w:space="0" w:color="000000"/>
                    <w:bottom w:val="single" w:sz="4" w:space="0" w:color="000000"/>
                    <w:right w:val="single" w:sz="4" w:space="0" w:color="000000"/>
                  </w:tcBorders>
                  <w:vAlign w:val="center"/>
                </w:tcPr>
                <w:p w14:paraId="41B9250F" w14:textId="77777777" w:rsidR="00E02F30" w:rsidRPr="00E02F30" w:rsidRDefault="00E02F30" w:rsidP="00E02F30">
                  <w:pPr>
                    <w:spacing w:line="218" w:lineRule="auto"/>
                    <w:jc w:val="center"/>
                    <w:rPr>
                      <w:rFonts w:cs="Arial"/>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76CF9AFF" w14:textId="77777777" w:rsidR="00E02F30" w:rsidRPr="00E02F30" w:rsidRDefault="00E02F30" w:rsidP="00E02F30">
                  <w:pPr>
                    <w:ind w:right="27"/>
                    <w:jc w:val="center"/>
                    <w:rPr>
                      <w:rFonts w:cs="Arial"/>
                      <w:sz w:val="20"/>
                      <w:szCs w:val="20"/>
                    </w:rPr>
                  </w:pPr>
                  <w:r w:rsidRPr="00E02F30">
                    <w:rPr>
                      <w:rFonts w:cs="Arial"/>
                      <w:sz w:val="20"/>
                      <w:szCs w:val="20"/>
                    </w:rPr>
                    <w:t>Dowolny komin o przepływie masowym pyłu wynoszącym &lt; 3 kg/h</w:t>
                  </w:r>
                </w:p>
              </w:tc>
              <w:tc>
                <w:tcPr>
                  <w:tcW w:w="1414" w:type="dxa"/>
                  <w:tcBorders>
                    <w:top w:val="single" w:sz="4" w:space="0" w:color="000000"/>
                    <w:left w:val="single" w:sz="4" w:space="0" w:color="000000"/>
                    <w:bottom w:val="single" w:sz="4" w:space="0" w:color="000000"/>
                    <w:right w:val="single" w:sz="4" w:space="0" w:color="000000"/>
                  </w:tcBorders>
                </w:tcPr>
                <w:p w14:paraId="157A0DB8" w14:textId="77777777" w:rsidR="00E02F30" w:rsidRPr="00E02F30" w:rsidRDefault="00E02F30" w:rsidP="00E02F30">
                  <w:pPr>
                    <w:ind w:right="24"/>
                    <w:jc w:val="center"/>
                    <w:rPr>
                      <w:rFonts w:cs="Arial"/>
                      <w:sz w:val="20"/>
                      <w:szCs w:val="20"/>
                    </w:rPr>
                  </w:pPr>
                  <w:r w:rsidRPr="00E02F30">
                    <w:rPr>
                      <w:rFonts w:cs="Arial"/>
                      <w:sz w:val="20"/>
                      <w:szCs w:val="20"/>
                    </w:rPr>
                    <w:t>EN 13284-1</w:t>
                  </w:r>
                </w:p>
              </w:tc>
              <w:tc>
                <w:tcPr>
                  <w:tcW w:w="1603" w:type="dxa"/>
                  <w:tcBorders>
                    <w:top w:val="single" w:sz="4" w:space="0" w:color="000000"/>
                    <w:left w:val="single" w:sz="4" w:space="0" w:color="000000"/>
                    <w:bottom w:val="single" w:sz="4" w:space="0" w:color="000000"/>
                    <w:right w:val="single" w:sz="4" w:space="0" w:color="000000"/>
                  </w:tcBorders>
                </w:tcPr>
                <w:p w14:paraId="066D00AC" w14:textId="77777777" w:rsidR="00E02F30" w:rsidRPr="00E02F30" w:rsidRDefault="00E02F30" w:rsidP="00E02F30">
                  <w:pPr>
                    <w:ind w:firstLine="2"/>
                    <w:jc w:val="center"/>
                    <w:rPr>
                      <w:rFonts w:cs="Arial"/>
                      <w:sz w:val="20"/>
                      <w:szCs w:val="20"/>
                    </w:rPr>
                  </w:pPr>
                  <w:r w:rsidRPr="00E02F30">
                    <w:rPr>
                      <w:rFonts w:cs="Arial"/>
                      <w:sz w:val="20"/>
                      <w:szCs w:val="20"/>
                    </w:rPr>
                    <w:t xml:space="preserve">Raz na rok </w:t>
                  </w:r>
                  <w:r w:rsidRPr="00E02F30">
                    <w:rPr>
                      <w:rFonts w:cs="Arial"/>
                      <w:sz w:val="20"/>
                      <w:szCs w:val="20"/>
                      <w:vertAlign w:val="superscript"/>
                    </w:rPr>
                    <w:t>(3) (7)</w:t>
                  </w:r>
                </w:p>
              </w:tc>
              <w:tc>
                <w:tcPr>
                  <w:tcW w:w="1670" w:type="dxa"/>
                  <w:vMerge/>
                  <w:tcBorders>
                    <w:left w:val="single" w:sz="4" w:space="0" w:color="000000"/>
                    <w:bottom w:val="single" w:sz="4" w:space="0" w:color="000000"/>
                    <w:right w:val="nil"/>
                  </w:tcBorders>
                  <w:vAlign w:val="center"/>
                </w:tcPr>
                <w:p w14:paraId="1EBF7C23" w14:textId="77777777" w:rsidR="00E02F30" w:rsidRPr="00E02F30" w:rsidRDefault="00E02F30" w:rsidP="00E02F30">
                  <w:pPr>
                    <w:jc w:val="center"/>
                    <w:rPr>
                      <w:rFonts w:cs="Arial"/>
                      <w:sz w:val="20"/>
                      <w:szCs w:val="20"/>
                    </w:rPr>
                  </w:pPr>
                </w:p>
              </w:tc>
            </w:tr>
            <w:tr w:rsidR="00E02F30" w:rsidRPr="00E02F30" w14:paraId="466A1BC6" w14:textId="77777777" w:rsidTr="00A1631B">
              <w:trPr>
                <w:trHeight w:val="729"/>
              </w:trPr>
              <w:tc>
                <w:tcPr>
                  <w:tcW w:w="1739" w:type="dxa"/>
                  <w:tcBorders>
                    <w:top w:val="single" w:sz="4" w:space="0" w:color="000000"/>
                    <w:left w:val="nil"/>
                    <w:bottom w:val="single" w:sz="4" w:space="0" w:color="000000"/>
                    <w:right w:val="single" w:sz="4" w:space="0" w:color="000000"/>
                  </w:tcBorders>
                </w:tcPr>
                <w:p w14:paraId="21B9EBDB" w14:textId="77777777" w:rsidR="00E02F30" w:rsidRPr="00E02F30" w:rsidRDefault="00E02F30" w:rsidP="00E02F30">
                  <w:pPr>
                    <w:spacing w:line="218" w:lineRule="auto"/>
                    <w:ind w:right="38"/>
                    <w:jc w:val="center"/>
                    <w:rPr>
                      <w:rFonts w:cs="Arial"/>
                      <w:sz w:val="20"/>
                      <w:szCs w:val="20"/>
                    </w:rPr>
                  </w:pPr>
                  <w:r w:rsidRPr="00E02F30">
                    <w:rPr>
                      <w:rFonts w:cs="Arial"/>
                      <w:sz w:val="20"/>
                      <w:szCs w:val="20"/>
                    </w:rPr>
                    <w:t>Chlor pierwiastkowy (Cl</w:t>
                  </w:r>
                  <w:r w:rsidRPr="00E02F30">
                    <w:rPr>
                      <w:rFonts w:cs="Arial"/>
                      <w:sz w:val="20"/>
                      <w:szCs w:val="20"/>
                      <w:vertAlign w:val="subscript"/>
                    </w:rPr>
                    <w:t>2</w:t>
                  </w:r>
                  <w:r w:rsidRPr="00E02F30">
                    <w:rPr>
                      <w:rFonts w:cs="Arial"/>
                      <w:sz w:val="20"/>
                      <w:szCs w:val="20"/>
                    </w:rPr>
                    <w:t>)</w:t>
                  </w:r>
                </w:p>
              </w:tc>
              <w:tc>
                <w:tcPr>
                  <w:tcW w:w="1414" w:type="dxa"/>
                  <w:tcBorders>
                    <w:top w:val="single" w:sz="4" w:space="0" w:color="000000"/>
                    <w:left w:val="single" w:sz="4" w:space="0" w:color="000000"/>
                    <w:bottom w:val="single" w:sz="4" w:space="0" w:color="000000"/>
                    <w:right w:val="single" w:sz="4" w:space="0" w:color="000000"/>
                  </w:tcBorders>
                </w:tcPr>
                <w:p w14:paraId="7499E348" w14:textId="77777777" w:rsidR="00E02F30" w:rsidRPr="00E02F30" w:rsidRDefault="00E02F30" w:rsidP="00E02F30">
                  <w:pPr>
                    <w:spacing w:line="218" w:lineRule="auto"/>
                    <w:jc w:val="center"/>
                    <w:rPr>
                      <w:rFonts w:cs="Arial"/>
                      <w:sz w:val="20"/>
                      <w:szCs w:val="20"/>
                    </w:rPr>
                  </w:pPr>
                  <w:r w:rsidRPr="00E02F30">
                    <w:rPr>
                      <w:rFonts w:cs="Arial"/>
                      <w:sz w:val="20"/>
                      <w:szCs w:val="20"/>
                    </w:rPr>
                    <w:t>Wszystkie  procesy/ źródła</w:t>
                  </w:r>
                </w:p>
              </w:tc>
              <w:tc>
                <w:tcPr>
                  <w:tcW w:w="1603" w:type="dxa"/>
                  <w:tcBorders>
                    <w:top w:val="single" w:sz="4" w:space="0" w:color="000000"/>
                    <w:left w:val="single" w:sz="4" w:space="0" w:color="000000"/>
                    <w:bottom w:val="single" w:sz="4" w:space="0" w:color="000000"/>
                    <w:right w:val="single" w:sz="4" w:space="0" w:color="000000"/>
                  </w:tcBorders>
                  <w:vAlign w:val="center"/>
                </w:tcPr>
                <w:p w14:paraId="4EB1403C" w14:textId="77777777" w:rsidR="00E02F30" w:rsidRPr="00E02F30" w:rsidRDefault="00E02F30" w:rsidP="00E02F30">
                  <w:pPr>
                    <w:jc w:val="center"/>
                    <w:rPr>
                      <w:rFonts w:cs="Arial"/>
                      <w:sz w:val="20"/>
                      <w:szCs w:val="20"/>
                    </w:rPr>
                  </w:pPr>
                  <w:r w:rsidRPr="00E02F30">
                    <w:rPr>
                      <w:rFonts w:cs="Arial"/>
                      <w:sz w:val="20"/>
                      <w:szCs w:val="20"/>
                    </w:rPr>
                    <w:t>Dowolny komin</w:t>
                  </w:r>
                </w:p>
              </w:tc>
              <w:tc>
                <w:tcPr>
                  <w:tcW w:w="1414" w:type="dxa"/>
                  <w:tcBorders>
                    <w:top w:val="single" w:sz="4" w:space="0" w:color="000000"/>
                    <w:left w:val="single" w:sz="4" w:space="0" w:color="000000"/>
                    <w:bottom w:val="single" w:sz="4" w:space="0" w:color="000000"/>
                    <w:right w:val="single" w:sz="4" w:space="0" w:color="000000"/>
                  </w:tcBorders>
                  <w:vAlign w:val="center"/>
                </w:tcPr>
                <w:p w14:paraId="00FA1A0A" w14:textId="77777777" w:rsidR="00E02F30" w:rsidRPr="00E02F30" w:rsidRDefault="00E02F30" w:rsidP="00E02F30">
                  <w:pPr>
                    <w:ind w:right="24"/>
                    <w:jc w:val="center"/>
                    <w:rPr>
                      <w:rFonts w:cs="Arial"/>
                      <w:sz w:val="20"/>
                      <w:szCs w:val="20"/>
                    </w:rPr>
                  </w:pPr>
                  <w:r w:rsidRPr="00E02F30">
                    <w:rPr>
                      <w:rFonts w:cs="Arial"/>
                      <w:sz w:val="20"/>
                      <w:szCs w:val="20"/>
                    </w:rPr>
                    <w:t>Brak normy EN</w:t>
                  </w:r>
                </w:p>
              </w:tc>
              <w:tc>
                <w:tcPr>
                  <w:tcW w:w="1603" w:type="dxa"/>
                  <w:tcBorders>
                    <w:top w:val="single" w:sz="4" w:space="0" w:color="000000"/>
                    <w:left w:val="single" w:sz="4" w:space="0" w:color="000000"/>
                    <w:bottom w:val="single" w:sz="4" w:space="0" w:color="000000"/>
                    <w:right w:val="single" w:sz="4" w:space="0" w:color="000000"/>
                  </w:tcBorders>
                  <w:vAlign w:val="center"/>
                </w:tcPr>
                <w:p w14:paraId="15C595C0" w14:textId="77777777" w:rsidR="00E02F30" w:rsidRPr="00E02F30" w:rsidRDefault="00E02F30" w:rsidP="00E02F30">
                  <w:pPr>
                    <w:ind w:firstLine="2"/>
                    <w:jc w:val="center"/>
                    <w:rPr>
                      <w:rFonts w:cs="Arial"/>
                      <w:sz w:val="20"/>
                      <w:szCs w:val="20"/>
                    </w:rPr>
                  </w:pPr>
                  <w:r w:rsidRPr="00E02F30">
                    <w:rPr>
                      <w:rFonts w:cs="Arial"/>
                      <w:sz w:val="20"/>
                      <w:szCs w:val="20"/>
                    </w:rPr>
                    <w:t xml:space="preserve">Raz na rok </w:t>
                  </w:r>
                  <w:r w:rsidRPr="00E02F30">
                    <w:rPr>
                      <w:rFonts w:cs="Arial"/>
                      <w:sz w:val="20"/>
                      <w:szCs w:val="20"/>
                      <w:vertAlign w:val="superscript"/>
                    </w:rPr>
                    <w:t>(3) (7)</w:t>
                  </w:r>
                </w:p>
              </w:tc>
              <w:tc>
                <w:tcPr>
                  <w:tcW w:w="1670" w:type="dxa"/>
                  <w:tcBorders>
                    <w:top w:val="single" w:sz="4" w:space="0" w:color="000000"/>
                    <w:left w:val="single" w:sz="4" w:space="0" w:color="000000"/>
                    <w:bottom w:val="single" w:sz="4" w:space="0" w:color="000000"/>
                    <w:right w:val="nil"/>
                  </w:tcBorders>
                  <w:vAlign w:val="center"/>
                </w:tcPr>
                <w:p w14:paraId="580EAF5B" w14:textId="77777777" w:rsidR="00E02F30" w:rsidRPr="00E02F30" w:rsidRDefault="00E02F30" w:rsidP="00E02F30">
                  <w:pPr>
                    <w:jc w:val="center"/>
                    <w:rPr>
                      <w:rFonts w:cs="Arial"/>
                      <w:sz w:val="20"/>
                      <w:szCs w:val="20"/>
                    </w:rPr>
                  </w:pPr>
                  <w:r w:rsidRPr="00E02F30">
                    <w:rPr>
                      <w:rFonts w:cs="Arial"/>
                      <w:sz w:val="20"/>
                      <w:szCs w:val="20"/>
                    </w:rPr>
                    <w:t>BAT 18</w:t>
                  </w:r>
                </w:p>
              </w:tc>
            </w:tr>
            <w:tr w:rsidR="00E02F30" w:rsidRPr="00E02F30" w14:paraId="26D67CE1" w14:textId="77777777" w:rsidTr="00A1631B">
              <w:trPr>
                <w:trHeight w:val="729"/>
              </w:trPr>
              <w:tc>
                <w:tcPr>
                  <w:tcW w:w="1739" w:type="dxa"/>
                  <w:tcBorders>
                    <w:top w:val="single" w:sz="4" w:space="0" w:color="000000"/>
                    <w:left w:val="nil"/>
                    <w:bottom w:val="single" w:sz="4" w:space="0" w:color="000000"/>
                    <w:right w:val="single" w:sz="4" w:space="0" w:color="000000"/>
                  </w:tcBorders>
                  <w:vAlign w:val="center"/>
                </w:tcPr>
                <w:p w14:paraId="6FB857B0" w14:textId="77777777" w:rsidR="00E02F30" w:rsidRPr="00E02F30" w:rsidRDefault="00E02F30" w:rsidP="00E02F30">
                  <w:pPr>
                    <w:spacing w:line="218" w:lineRule="auto"/>
                    <w:ind w:right="38"/>
                    <w:jc w:val="center"/>
                    <w:rPr>
                      <w:rFonts w:cs="Arial"/>
                      <w:sz w:val="20"/>
                      <w:szCs w:val="20"/>
                    </w:rPr>
                  </w:pPr>
                  <w:r w:rsidRPr="00E02F30">
                    <w:rPr>
                      <w:rFonts w:cs="Arial"/>
                      <w:sz w:val="20"/>
                      <w:szCs w:val="20"/>
                    </w:rPr>
                    <w:t>Formaldehyd</w:t>
                  </w:r>
                </w:p>
              </w:tc>
              <w:tc>
                <w:tcPr>
                  <w:tcW w:w="1414" w:type="dxa"/>
                  <w:tcBorders>
                    <w:top w:val="single" w:sz="4" w:space="0" w:color="000000"/>
                    <w:left w:val="single" w:sz="4" w:space="0" w:color="000000"/>
                    <w:bottom w:val="single" w:sz="4" w:space="0" w:color="000000"/>
                    <w:right w:val="single" w:sz="4" w:space="0" w:color="000000"/>
                  </w:tcBorders>
                </w:tcPr>
                <w:p w14:paraId="0E08F633" w14:textId="77777777" w:rsidR="00E02F30" w:rsidRPr="00E02F30" w:rsidRDefault="00E02F30" w:rsidP="00E02F30">
                  <w:pPr>
                    <w:spacing w:line="218" w:lineRule="auto"/>
                    <w:jc w:val="center"/>
                    <w:rPr>
                      <w:rFonts w:cs="Arial"/>
                      <w:sz w:val="20"/>
                      <w:szCs w:val="20"/>
                    </w:rPr>
                  </w:pPr>
                  <w:r w:rsidRPr="00E02F30">
                    <w:rPr>
                      <w:rFonts w:cs="Arial"/>
                      <w:sz w:val="20"/>
                      <w:szCs w:val="20"/>
                    </w:rPr>
                    <w:t>Wszystkie procesy/ źródła</w:t>
                  </w:r>
                </w:p>
              </w:tc>
              <w:tc>
                <w:tcPr>
                  <w:tcW w:w="1603" w:type="dxa"/>
                  <w:tcBorders>
                    <w:top w:val="single" w:sz="4" w:space="0" w:color="000000"/>
                    <w:left w:val="single" w:sz="4" w:space="0" w:color="000000"/>
                    <w:bottom w:val="single" w:sz="4" w:space="0" w:color="000000"/>
                    <w:right w:val="single" w:sz="4" w:space="0" w:color="000000"/>
                  </w:tcBorders>
                  <w:vAlign w:val="center"/>
                </w:tcPr>
                <w:p w14:paraId="08D9AE5D" w14:textId="77777777" w:rsidR="00E02F30" w:rsidRPr="00E02F30" w:rsidRDefault="00E02F30" w:rsidP="00E02F30">
                  <w:pPr>
                    <w:jc w:val="center"/>
                    <w:rPr>
                      <w:rFonts w:cs="Arial"/>
                      <w:sz w:val="20"/>
                      <w:szCs w:val="20"/>
                    </w:rPr>
                  </w:pPr>
                  <w:r w:rsidRPr="00E02F30">
                    <w:rPr>
                      <w:rFonts w:cs="Arial"/>
                      <w:sz w:val="20"/>
                      <w:szCs w:val="20"/>
                    </w:rPr>
                    <w:t>Dowolny komin</w:t>
                  </w:r>
                </w:p>
              </w:tc>
              <w:tc>
                <w:tcPr>
                  <w:tcW w:w="1414" w:type="dxa"/>
                  <w:tcBorders>
                    <w:top w:val="single" w:sz="4" w:space="0" w:color="000000"/>
                    <w:left w:val="single" w:sz="4" w:space="0" w:color="000000"/>
                    <w:bottom w:val="single" w:sz="4" w:space="0" w:color="000000"/>
                    <w:right w:val="single" w:sz="4" w:space="0" w:color="000000"/>
                  </w:tcBorders>
                  <w:vAlign w:val="center"/>
                </w:tcPr>
                <w:p w14:paraId="2202E33A" w14:textId="77777777" w:rsidR="00E02F30" w:rsidRPr="00E02F30" w:rsidRDefault="00E02F30" w:rsidP="00E02F30">
                  <w:pPr>
                    <w:ind w:right="24"/>
                    <w:jc w:val="center"/>
                    <w:rPr>
                      <w:rFonts w:cs="Arial"/>
                      <w:sz w:val="20"/>
                      <w:szCs w:val="20"/>
                    </w:rPr>
                  </w:pPr>
                  <w:r w:rsidRPr="00E02F30">
                    <w:rPr>
                      <w:rFonts w:cs="Arial"/>
                      <w:sz w:val="20"/>
                      <w:szCs w:val="20"/>
                    </w:rPr>
                    <w:t>Trwają prace na normą EN</w:t>
                  </w:r>
                </w:p>
              </w:tc>
              <w:tc>
                <w:tcPr>
                  <w:tcW w:w="1603" w:type="dxa"/>
                  <w:tcBorders>
                    <w:top w:val="single" w:sz="4" w:space="0" w:color="000000"/>
                    <w:left w:val="single" w:sz="4" w:space="0" w:color="000000"/>
                    <w:bottom w:val="single" w:sz="4" w:space="0" w:color="000000"/>
                    <w:right w:val="single" w:sz="4" w:space="0" w:color="000000"/>
                  </w:tcBorders>
                  <w:vAlign w:val="center"/>
                </w:tcPr>
                <w:p w14:paraId="63D3FFCF" w14:textId="77777777" w:rsidR="00E02F30" w:rsidRPr="00E02F30" w:rsidRDefault="00E02F30" w:rsidP="00E02F30">
                  <w:pPr>
                    <w:ind w:firstLine="2"/>
                    <w:jc w:val="center"/>
                    <w:rPr>
                      <w:rFonts w:cs="Arial"/>
                      <w:sz w:val="20"/>
                      <w:szCs w:val="20"/>
                    </w:rPr>
                  </w:pPr>
                  <w:r w:rsidRPr="00E02F30">
                    <w:rPr>
                      <w:rFonts w:cs="Arial"/>
                      <w:sz w:val="20"/>
                      <w:szCs w:val="20"/>
                    </w:rPr>
                    <w:t xml:space="preserve">Raz na 6 miesięcy </w:t>
                  </w:r>
                  <w:r w:rsidRPr="00E02F30">
                    <w:rPr>
                      <w:rFonts w:cs="Arial"/>
                      <w:sz w:val="20"/>
                      <w:szCs w:val="20"/>
                      <w:vertAlign w:val="superscript"/>
                    </w:rPr>
                    <w:t>(3)</w:t>
                  </w:r>
                </w:p>
              </w:tc>
              <w:tc>
                <w:tcPr>
                  <w:tcW w:w="1670" w:type="dxa"/>
                  <w:tcBorders>
                    <w:top w:val="single" w:sz="4" w:space="0" w:color="000000"/>
                    <w:left w:val="single" w:sz="4" w:space="0" w:color="000000"/>
                    <w:bottom w:val="single" w:sz="4" w:space="0" w:color="000000"/>
                    <w:right w:val="nil"/>
                  </w:tcBorders>
                  <w:vAlign w:val="center"/>
                </w:tcPr>
                <w:p w14:paraId="57099CF0" w14:textId="77777777" w:rsidR="00E02F30" w:rsidRPr="00E02F30" w:rsidRDefault="00E02F30" w:rsidP="00E02F30">
                  <w:pPr>
                    <w:jc w:val="center"/>
                    <w:rPr>
                      <w:rFonts w:cs="Arial"/>
                      <w:sz w:val="20"/>
                      <w:szCs w:val="20"/>
                    </w:rPr>
                  </w:pPr>
                  <w:r w:rsidRPr="00E02F30">
                    <w:rPr>
                      <w:rFonts w:cs="Arial"/>
                      <w:sz w:val="20"/>
                      <w:szCs w:val="20"/>
                    </w:rPr>
                    <w:t>BAT 11</w:t>
                  </w:r>
                </w:p>
              </w:tc>
            </w:tr>
            <w:tr w:rsidR="00E02F30" w:rsidRPr="00E02F30" w14:paraId="467E3E22" w14:textId="77777777" w:rsidTr="00A1631B">
              <w:trPr>
                <w:trHeight w:val="729"/>
              </w:trPr>
              <w:tc>
                <w:tcPr>
                  <w:tcW w:w="1739" w:type="dxa"/>
                  <w:tcBorders>
                    <w:top w:val="single" w:sz="4" w:space="0" w:color="000000"/>
                    <w:left w:val="nil"/>
                    <w:bottom w:val="single" w:sz="4" w:space="0" w:color="000000"/>
                    <w:right w:val="single" w:sz="4" w:space="0" w:color="000000"/>
                  </w:tcBorders>
                  <w:vAlign w:val="center"/>
                </w:tcPr>
                <w:p w14:paraId="0D81877A" w14:textId="77777777" w:rsidR="00E02F30" w:rsidRPr="00E02F30" w:rsidRDefault="00E02F30" w:rsidP="00E02F30">
                  <w:pPr>
                    <w:spacing w:line="218" w:lineRule="auto"/>
                    <w:ind w:right="38"/>
                    <w:jc w:val="center"/>
                    <w:rPr>
                      <w:rFonts w:cs="Arial"/>
                      <w:sz w:val="20"/>
                      <w:szCs w:val="20"/>
                    </w:rPr>
                  </w:pPr>
                  <w:r w:rsidRPr="00E02F30">
                    <w:rPr>
                      <w:rFonts w:cs="Arial"/>
                      <w:sz w:val="20"/>
                      <w:szCs w:val="20"/>
                    </w:rPr>
                    <w:t>Chlorki gazowe</w:t>
                  </w:r>
                </w:p>
              </w:tc>
              <w:tc>
                <w:tcPr>
                  <w:tcW w:w="1414" w:type="dxa"/>
                  <w:tcBorders>
                    <w:top w:val="single" w:sz="4" w:space="0" w:color="000000"/>
                    <w:left w:val="single" w:sz="4" w:space="0" w:color="000000"/>
                    <w:bottom w:val="single" w:sz="4" w:space="0" w:color="000000"/>
                    <w:right w:val="single" w:sz="4" w:space="0" w:color="000000"/>
                  </w:tcBorders>
                </w:tcPr>
                <w:p w14:paraId="3D370E97" w14:textId="77777777" w:rsidR="00E02F30" w:rsidRPr="00E02F30" w:rsidRDefault="00E02F30" w:rsidP="00E02F30">
                  <w:pPr>
                    <w:spacing w:line="218" w:lineRule="auto"/>
                    <w:jc w:val="center"/>
                    <w:rPr>
                      <w:rFonts w:cs="Arial"/>
                      <w:sz w:val="20"/>
                      <w:szCs w:val="20"/>
                    </w:rPr>
                  </w:pPr>
                  <w:r w:rsidRPr="00E02F30">
                    <w:rPr>
                      <w:rFonts w:cs="Arial"/>
                      <w:sz w:val="20"/>
                      <w:szCs w:val="20"/>
                    </w:rPr>
                    <w:t>Wszystkie  procesy/ źródła</w:t>
                  </w:r>
                </w:p>
              </w:tc>
              <w:tc>
                <w:tcPr>
                  <w:tcW w:w="1603" w:type="dxa"/>
                  <w:tcBorders>
                    <w:top w:val="single" w:sz="4" w:space="0" w:color="000000"/>
                    <w:left w:val="single" w:sz="4" w:space="0" w:color="000000"/>
                    <w:bottom w:val="single" w:sz="4" w:space="0" w:color="000000"/>
                    <w:right w:val="single" w:sz="4" w:space="0" w:color="000000"/>
                  </w:tcBorders>
                  <w:vAlign w:val="center"/>
                </w:tcPr>
                <w:p w14:paraId="04378456" w14:textId="77777777" w:rsidR="00E02F30" w:rsidRPr="00E02F30" w:rsidRDefault="00E02F30" w:rsidP="00E02F30">
                  <w:pPr>
                    <w:jc w:val="center"/>
                    <w:rPr>
                      <w:rFonts w:cs="Arial"/>
                      <w:sz w:val="20"/>
                      <w:szCs w:val="20"/>
                    </w:rPr>
                  </w:pPr>
                  <w:r w:rsidRPr="00E02F30">
                    <w:rPr>
                      <w:rFonts w:cs="Arial"/>
                      <w:sz w:val="20"/>
                      <w:szCs w:val="20"/>
                    </w:rPr>
                    <w:t>Dowolny komin</w:t>
                  </w:r>
                </w:p>
              </w:tc>
              <w:tc>
                <w:tcPr>
                  <w:tcW w:w="1414" w:type="dxa"/>
                  <w:tcBorders>
                    <w:top w:val="single" w:sz="4" w:space="0" w:color="000000"/>
                    <w:left w:val="single" w:sz="4" w:space="0" w:color="000000"/>
                    <w:bottom w:val="single" w:sz="4" w:space="0" w:color="000000"/>
                    <w:right w:val="single" w:sz="4" w:space="0" w:color="000000"/>
                  </w:tcBorders>
                  <w:vAlign w:val="center"/>
                </w:tcPr>
                <w:p w14:paraId="60DC83AC" w14:textId="77777777" w:rsidR="00E02F30" w:rsidRPr="00E02F30" w:rsidRDefault="00E02F30" w:rsidP="00E02F30">
                  <w:pPr>
                    <w:ind w:right="24"/>
                    <w:jc w:val="center"/>
                    <w:rPr>
                      <w:rFonts w:cs="Arial"/>
                      <w:sz w:val="20"/>
                      <w:szCs w:val="20"/>
                    </w:rPr>
                  </w:pPr>
                  <w:r w:rsidRPr="00E02F30">
                    <w:rPr>
                      <w:rFonts w:cs="Arial"/>
                      <w:sz w:val="20"/>
                      <w:szCs w:val="20"/>
                    </w:rPr>
                    <w:t>EN 1911</w:t>
                  </w:r>
                </w:p>
              </w:tc>
              <w:tc>
                <w:tcPr>
                  <w:tcW w:w="1603" w:type="dxa"/>
                  <w:tcBorders>
                    <w:top w:val="single" w:sz="4" w:space="0" w:color="000000"/>
                    <w:left w:val="single" w:sz="4" w:space="0" w:color="000000"/>
                    <w:bottom w:val="single" w:sz="4" w:space="0" w:color="000000"/>
                    <w:right w:val="single" w:sz="4" w:space="0" w:color="000000"/>
                  </w:tcBorders>
                  <w:vAlign w:val="center"/>
                </w:tcPr>
                <w:p w14:paraId="06B452AD" w14:textId="77777777" w:rsidR="00E02F30" w:rsidRPr="00E02F30" w:rsidRDefault="00E02F30" w:rsidP="00E02F30">
                  <w:pPr>
                    <w:ind w:firstLine="2"/>
                    <w:jc w:val="center"/>
                    <w:rPr>
                      <w:rFonts w:cs="Arial"/>
                      <w:sz w:val="20"/>
                      <w:szCs w:val="20"/>
                    </w:rPr>
                  </w:pPr>
                  <w:r w:rsidRPr="00E02F30">
                    <w:rPr>
                      <w:rFonts w:cs="Arial"/>
                      <w:sz w:val="20"/>
                      <w:szCs w:val="20"/>
                    </w:rPr>
                    <w:t xml:space="preserve">Raz na rok </w:t>
                  </w:r>
                  <w:r w:rsidRPr="00E02F30">
                    <w:rPr>
                      <w:rFonts w:cs="Arial"/>
                      <w:sz w:val="20"/>
                      <w:szCs w:val="20"/>
                      <w:vertAlign w:val="superscript"/>
                    </w:rPr>
                    <w:t>(3) (7)</w:t>
                  </w:r>
                </w:p>
              </w:tc>
              <w:tc>
                <w:tcPr>
                  <w:tcW w:w="1670" w:type="dxa"/>
                  <w:tcBorders>
                    <w:top w:val="single" w:sz="4" w:space="0" w:color="000000"/>
                    <w:left w:val="single" w:sz="4" w:space="0" w:color="000000"/>
                    <w:bottom w:val="single" w:sz="4" w:space="0" w:color="000000"/>
                    <w:right w:val="nil"/>
                  </w:tcBorders>
                  <w:vAlign w:val="center"/>
                </w:tcPr>
                <w:p w14:paraId="4ED46D9F" w14:textId="77777777" w:rsidR="00E02F30" w:rsidRPr="00E02F30" w:rsidRDefault="00E02F30" w:rsidP="00E02F30">
                  <w:pPr>
                    <w:jc w:val="center"/>
                    <w:rPr>
                      <w:rFonts w:cs="Arial"/>
                      <w:sz w:val="20"/>
                      <w:szCs w:val="20"/>
                    </w:rPr>
                  </w:pPr>
                  <w:r w:rsidRPr="00E02F30">
                    <w:rPr>
                      <w:rFonts w:cs="Arial"/>
                      <w:sz w:val="20"/>
                      <w:szCs w:val="20"/>
                    </w:rPr>
                    <w:t>BAT 18</w:t>
                  </w:r>
                </w:p>
              </w:tc>
            </w:tr>
            <w:tr w:rsidR="00E02F30" w:rsidRPr="00E02F30" w14:paraId="72767A01" w14:textId="77777777" w:rsidTr="00A1631B">
              <w:trPr>
                <w:trHeight w:val="729"/>
              </w:trPr>
              <w:tc>
                <w:tcPr>
                  <w:tcW w:w="1739" w:type="dxa"/>
                  <w:tcBorders>
                    <w:top w:val="single" w:sz="4" w:space="0" w:color="000000"/>
                    <w:left w:val="nil"/>
                    <w:bottom w:val="single" w:sz="4" w:space="0" w:color="000000"/>
                    <w:right w:val="single" w:sz="4" w:space="0" w:color="000000"/>
                  </w:tcBorders>
                  <w:vAlign w:val="center"/>
                </w:tcPr>
                <w:p w14:paraId="7422823A" w14:textId="77777777" w:rsidR="00E02F30" w:rsidRPr="00E02F30" w:rsidRDefault="00E02F30" w:rsidP="00E02F30">
                  <w:pPr>
                    <w:spacing w:line="218" w:lineRule="auto"/>
                    <w:ind w:right="38"/>
                    <w:jc w:val="center"/>
                    <w:rPr>
                      <w:rFonts w:cs="Arial"/>
                      <w:sz w:val="20"/>
                      <w:szCs w:val="20"/>
                    </w:rPr>
                  </w:pPr>
                  <w:r w:rsidRPr="00E02F30">
                    <w:rPr>
                      <w:rFonts w:cs="Arial"/>
                      <w:sz w:val="20"/>
                      <w:szCs w:val="20"/>
                    </w:rPr>
                    <w:t>PM2,5 i PM10</w:t>
                  </w:r>
                </w:p>
              </w:tc>
              <w:tc>
                <w:tcPr>
                  <w:tcW w:w="1414" w:type="dxa"/>
                  <w:tcBorders>
                    <w:top w:val="single" w:sz="4" w:space="0" w:color="000000"/>
                    <w:left w:val="single" w:sz="4" w:space="0" w:color="000000"/>
                    <w:bottom w:val="single" w:sz="4" w:space="0" w:color="000000"/>
                    <w:right w:val="single" w:sz="4" w:space="0" w:color="000000"/>
                  </w:tcBorders>
                </w:tcPr>
                <w:p w14:paraId="6AEAF024" w14:textId="77777777" w:rsidR="00E02F30" w:rsidRPr="00E02F30" w:rsidRDefault="00E02F30" w:rsidP="00E02F30">
                  <w:pPr>
                    <w:spacing w:line="218" w:lineRule="auto"/>
                    <w:jc w:val="center"/>
                    <w:rPr>
                      <w:rFonts w:cs="Arial"/>
                      <w:sz w:val="20"/>
                      <w:szCs w:val="20"/>
                    </w:rPr>
                  </w:pPr>
                  <w:r w:rsidRPr="00E02F30">
                    <w:rPr>
                      <w:rFonts w:cs="Arial"/>
                      <w:sz w:val="20"/>
                      <w:szCs w:val="20"/>
                    </w:rPr>
                    <w:t>Wszystkie  procesy/ źródła</w:t>
                  </w:r>
                </w:p>
              </w:tc>
              <w:tc>
                <w:tcPr>
                  <w:tcW w:w="1603" w:type="dxa"/>
                  <w:tcBorders>
                    <w:top w:val="single" w:sz="4" w:space="0" w:color="000000"/>
                    <w:left w:val="single" w:sz="4" w:space="0" w:color="000000"/>
                    <w:bottom w:val="single" w:sz="4" w:space="0" w:color="000000"/>
                    <w:right w:val="single" w:sz="4" w:space="0" w:color="000000"/>
                  </w:tcBorders>
                  <w:vAlign w:val="center"/>
                </w:tcPr>
                <w:p w14:paraId="520B85B2" w14:textId="77777777" w:rsidR="00E02F30" w:rsidRPr="00E02F30" w:rsidRDefault="00E02F30" w:rsidP="00E02F30">
                  <w:pPr>
                    <w:jc w:val="center"/>
                    <w:rPr>
                      <w:rFonts w:cs="Arial"/>
                      <w:sz w:val="20"/>
                      <w:szCs w:val="20"/>
                    </w:rPr>
                  </w:pPr>
                  <w:r w:rsidRPr="00E02F30">
                    <w:rPr>
                      <w:rFonts w:cs="Arial"/>
                      <w:sz w:val="20"/>
                      <w:szCs w:val="20"/>
                    </w:rPr>
                    <w:t>Dowolny komin</w:t>
                  </w:r>
                </w:p>
              </w:tc>
              <w:tc>
                <w:tcPr>
                  <w:tcW w:w="1414" w:type="dxa"/>
                  <w:tcBorders>
                    <w:top w:val="single" w:sz="4" w:space="0" w:color="000000"/>
                    <w:left w:val="single" w:sz="4" w:space="0" w:color="000000"/>
                    <w:bottom w:val="single" w:sz="4" w:space="0" w:color="000000"/>
                    <w:right w:val="single" w:sz="4" w:space="0" w:color="000000"/>
                  </w:tcBorders>
                  <w:vAlign w:val="center"/>
                </w:tcPr>
                <w:p w14:paraId="1F14D7CE" w14:textId="77777777" w:rsidR="00E02F30" w:rsidRPr="00E02F30" w:rsidRDefault="00E02F30" w:rsidP="00E02F30">
                  <w:pPr>
                    <w:ind w:right="24"/>
                    <w:jc w:val="center"/>
                    <w:rPr>
                      <w:rFonts w:cs="Arial"/>
                      <w:sz w:val="20"/>
                      <w:szCs w:val="20"/>
                    </w:rPr>
                  </w:pPr>
                  <w:r w:rsidRPr="00E02F30">
                    <w:rPr>
                      <w:rFonts w:cs="Arial"/>
                      <w:sz w:val="20"/>
                      <w:szCs w:val="20"/>
                    </w:rPr>
                    <w:t>EN ISO 23210</w:t>
                  </w:r>
                </w:p>
              </w:tc>
              <w:tc>
                <w:tcPr>
                  <w:tcW w:w="1603" w:type="dxa"/>
                  <w:tcBorders>
                    <w:top w:val="single" w:sz="4" w:space="0" w:color="000000"/>
                    <w:left w:val="single" w:sz="4" w:space="0" w:color="000000"/>
                    <w:bottom w:val="single" w:sz="4" w:space="0" w:color="000000"/>
                    <w:right w:val="single" w:sz="4" w:space="0" w:color="000000"/>
                  </w:tcBorders>
                  <w:vAlign w:val="center"/>
                </w:tcPr>
                <w:p w14:paraId="7DA7C104" w14:textId="77777777" w:rsidR="00E02F30" w:rsidRPr="00E02F30" w:rsidRDefault="00E02F30" w:rsidP="00E02F30">
                  <w:pPr>
                    <w:ind w:firstLine="2"/>
                    <w:jc w:val="center"/>
                    <w:rPr>
                      <w:rFonts w:cs="Arial"/>
                      <w:sz w:val="20"/>
                      <w:szCs w:val="20"/>
                    </w:rPr>
                  </w:pPr>
                  <w:r w:rsidRPr="00E02F30">
                    <w:rPr>
                      <w:rFonts w:cs="Arial"/>
                      <w:sz w:val="20"/>
                      <w:szCs w:val="20"/>
                    </w:rPr>
                    <w:t xml:space="preserve">Raz na rok </w:t>
                  </w:r>
                  <w:r w:rsidRPr="00E02F30">
                    <w:rPr>
                      <w:rFonts w:cs="Arial"/>
                      <w:sz w:val="20"/>
                      <w:szCs w:val="20"/>
                      <w:vertAlign w:val="superscript"/>
                    </w:rPr>
                    <w:t>(3) (7)</w:t>
                  </w:r>
                </w:p>
              </w:tc>
              <w:tc>
                <w:tcPr>
                  <w:tcW w:w="1670" w:type="dxa"/>
                  <w:tcBorders>
                    <w:top w:val="single" w:sz="4" w:space="0" w:color="000000"/>
                    <w:left w:val="single" w:sz="4" w:space="0" w:color="000000"/>
                    <w:bottom w:val="single" w:sz="4" w:space="0" w:color="000000"/>
                    <w:right w:val="nil"/>
                  </w:tcBorders>
                  <w:vAlign w:val="center"/>
                </w:tcPr>
                <w:p w14:paraId="27A4A5B9" w14:textId="77777777" w:rsidR="00E02F30" w:rsidRPr="00E02F30" w:rsidRDefault="00E02F30" w:rsidP="00E02F30">
                  <w:pPr>
                    <w:jc w:val="center"/>
                    <w:rPr>
                      <w:rFonts w:cs="Arial"/>
                      <w:sz w:val="20"/>
                      <w:szCs w:val="20"/>
                    </w:rPr>
                  </w:pPr>
                  <w:r w:rsidRPr="00E02F30">
                    <w:rPr>
                      <w:rFonts w:cs="Arial"/>
                      <w:sz w:val="20"/>
                      <w:szCs w:val="20"/>
                    </w:rPr>
                    <w:t>BAT 14</w:t>
                  </w:r>
                </w:p>
              </w:tc>
            </w:tr>
            <w:tr w:rsidR="00E02F30" w:rsidRPr="00E02F30" w14:paraId="783432B1" w14:textId="77777777" w:rsidTr="00A1631B">
              <w:trPr>
                <w:trHeight w:val="729"/>
              </w:trPr>
              <w:tc>
                <w:tcPr>
                  <w:tcW w:w="1739" w:type="dxa"/>
                  <w:tcBorders>
                    <w:top w:val="single" w:sz="4" w:space="0" w:color="000000"/>
                    <w:left w:val="nil"/>
                    <w:bottom w:val="single" w:sz="4" w:space="0" w:color="000000"/>
                    <w:right w:val="single" w:sz="4" w:space="0" w:color="000000"/>
                  </w:tcBorders>
                  <w:vAlign w:val="center"/>
                </w:tcPr>
                <w:p w14:paraId="4633635C" w14:textId="77777777" w:rsidR="00E02F30" w:rsidRPr="00E02F30" w:rsidRDefault="00E02F30" w:rsidP="00E02F30">
                  <w:pPr>
                    <w:spacing w:line="218" w:lineRule="auto"/>
                    <w:ind w:right="38"/>
                    <w:jc w:val="center"/>
                    <w:rPr>
                      <w:rFonts w:cs="Arial"/>
                      <w:sz w:val="20"/>
                      <w:szCs w:val="20"/>
                    </w:rPr>
                  </w:pPr>
                  <w:r w:rsidRPr="00E02F30">
                    <w:rPr>
                      <w:rFonts w:cs="Arial"/>
                      <w:sz w:val="20"/>
                      <w:szCs w:val="20"/>
                    </w:rPr>
                    <w:t>Toluen</w:t>
                  </w:r>
                </w:p>
              </w:tc>
              <w:tc>
                <w:tcPr>
                  <w:tcW w:w="1414" w:type="dxa"/>
                  <w:tcBorders>
                    <w:top w:val="single" w:sz="4" w:space="0" w:color="000000"/>
                    <w:left w:val="single" w:sz="4" w:space="0" w:color="000000"/>
                    <w:bottom w:val="single" w:sz="4" w:space="0" w:color="000000"/>
                    <w:right w:val="single" w:sz="4" w:space="0" w:color="000000"/>
                  </w:tcBorders>
                  <w:vAlign w:val="center"/>
                </w:tcPr>
                <w:p w14:paraId="3C77A8F3" w14:textId="77777777" w:rsidR="00E02F30" w:rsidRPr="00E02F30" w:rsidRDefault="00E02F30" w:rsidP="00E02F30">
                  <w:pPr>
                    <w:spacing w:line="218" w:lineRule="auto"/>
                    <w:jc w:val="center"/>
                    <w:rPr>
                      <w:rFonts w:cs="Arial"/>
                      <w:sz w:val="20"/>
                      <w:szCs w:val="20"/>
                    </w:rPr>
                  </w:pPr>
                  <w:r w:rsidRPr="00E02F30">
                    <w:rPr>
                      <w:rFonts w:cs="Arial"/>
                      <w:sz w:val="20"/>
                      <w:szCs w:val="20"/>
                    </w:rPr>
                    <w:t>Wszystkie  procesy/ źródła</w:t>
                  </w:r>
                </w:p>
              </w:tc>
              <w:tc>
                <w:tcPr>
                  <w:tcW w:w="1603" w:type="dxa"/>
                  <w:tcBorders>
                    <w:top w:val="single" w:sz="4" w:space="0" w:color="000000"/>
                    <w:left w:val="single" w:sz="4" w:space="0" w:color="000000"/>
                    <w:bottom w:val="single" w:sz="4" w:space="0" w:color="000000"/>
                    <w:right w:val="single" w:sz="4" w:space="0" w:color="000000"/>
                  </w:tcBorders>
                  <w:vAlign w:val="center"/>
                </w:tcPr>
                <w:p w14:paraId="559934AA" w14:textId="77777777" w:rsidR="00E02F30" w:rsidRPr="00E02F30" w:rsidRDefault="00E02F30" w:rsidP="00E02F30">
                  <w:pPr>
                    <w:jc w:val="center"/>
                    <w:rPr>
                      <w:rFonts w:cs="Arial"/>
                      <w:sz w:val="20"/>
                      <w:szCs w:val="20"/>
                    </w:rPr>
                  </w:pPr>
                  <w:r w:rsidRPr="00E02F30">
                    <w:rPr>
                      <w:rFonts w:cs="Arial"/>
                      <w:sz w:val="20"/>
                      <w:szCs w:val="20"/>
                    </w:rPr>
                    <w:t>Dowolny komin</w:t>
                  </w:r>
                </w:p>
              </w:tc>
              <w:tc>
                <w:tcPr>
                  <w:tcW w:w="1414" w:type="dxa"/>
                  <w:tcBorders>
                    <w:top w:val="single" w:sz="4" w:space="0" w:color="000000"/>
                    <w:left w:val="single" w:sz="4" w:space="0" w:color="000000"/>
                    <w:bottom w:val="single" w:sz="4" w:space="0" w:color="000000"/>
                    <w:right w:val="single" w:sz="4" w:space="0" w:color="000000"/>
                  </w:tcBorders>
                  <w:vAlign w:val="center"/>
                </w:tcPr>
                <w:p w14:paraId="7186350C" w14:textId="77777777" w:rsidR="00E02F30" w:rsidRPr="00E02F30" w:rsidRDefault="00E02F30" w:rsidP="00E02F30">
                  <w:pPr>
                    <w:ind w:right="24"/>
                    <w:jc w:val="center"/>
                    <w:rPr>
                      <w:rFonts w:cs="Arial"/>
                      <w:sz w:val="20"/>
                      <w:szCs w:val="20"/>
                    </w:rPr>
                  </w:pPr>
                  <w:r w:rsidRPr="00E02F30">
                    <w:rPr>
                      <w:rFonts w:cs="Arial"/>
                      <w:sz w:val="20"/>
                      <w:szCs w:val="20"/>
                    </w:rPr>
                    <w:t>Brak normy EN</w:t>
                  </w:r>
                </w:p>
              </w:tc>
              <w:tc>
                <w:tcPr>
                  <w:tcW w:w="1603" w:type="dxa"/>
                  <w:tcBorders>
                    <w:top w:val="single" w:sz="4" w:space="0" w:color="000000"/>
                    <w:left w:val="single" w:sz="4" w:space="0" w:color="000000"/>
                    <w:bottom w:val="single" w:sz="4" w:space="0" w:color="000000"/>
                    <w:right w:val="single" w:sz="4" w:space="0" w:color="000000"/>
                  </w:tcBorders>
                  <w:vAlign w:val="center"/>
                </w:tcPr>
                <w:p w14:paraId="44ADFEA7" w14:textId="77777777" w:rsidR="00E02F30" w:rsidRPr="00E02F30" w:rsidRDefault="00E02F30" w:rsidP="00E02F30">
                  <w:pPr>
                    <w:ind w:firstLine="2"/>
                    <w:jc w:val="center"/>
                    <w:rPr>
                      <w:rFonts w:cs="Arial"/>
                      <w:sz w:val="20"/>
                      <w:szCs w:val="20"/>
                    </w:rPr>
                  </w:pPr>
                  <w:r w:rsidRPr="00E02F30">
                    <w:rPr>
                      <w:rFonts w:cs="Arial"/>
                      <w:sz w:val="20"/>
                      <w:szCs w:val="20"/>
                    </w:rPr>
                    <w:t xml:space="preserve">Raz na 6 miesięcy </w:t>
                  </w:r>
                  <w:r w:rsidRPr="00E02F30">
                    <w:rPr>
                      <w:rFonts w:cs="Arial"/>
                      <w:sz w:val="20"/>
                      <w:szCs w:val="20"/>
                      <w:vertAlign w:val="superscript"/>
                    </w:rPr>
                    <w:t>(3)</w:t>
                  </w:r>
                </w:p>
              </w:tc>
              <w:tc>
                <w:tcPr>
                  <w:tcW w:w="1670" w:type="dxa"/>
                  <w:tcBorders>
                    <w:top w:val="single" w:sz="4" w:space="0" w:color="000000"/>
                    <w:left w:val="single" w:sz="4" w:space="0" w:color="000000"/>
                    <w:bottom w:val="single" w:sz="4" w:space="0" w:color="000000"/>
                    <w:right w:val="nil"/>
                  </w:tcBorders>
                  <w:vAlign w:val="center"/>
                </w:tcPr>
                <w:p w14:paraId="620F18B8" w14:textId="77777777" w:rsidR="00E02F30" w:rsidRPr="00E02F30" w:rsidRDefault="00E02F30" w:rsidP="00E02F30">
                  <w:pPr>
                    <w:jc w:val="center"/>
                    <w:rPr>
                      <w:rFonts w:cs="Arial"/>
                      <w:sz w:val="20"/>
                      <w:szCs w:val="20"/>
                    </w:rPr>
                  </w:pPr>
                  <w:r w:rsidRPr="00E02F30">
                    <w:rPr>
                      <w:rFonts w:cs="Arial"/>
                      <w:sz w:val="20"/>
                      <w:szCs w:val="20"/>
                    </w:rPr>
                    <w:t>BAT 11</w:t>
                  </w:r>
                </w:p>
              </w:tc>
            </w:tr>
            <w:tr w:rsidR="00E02F30" w:rsidRPr="00E02F30" w14:paraId="48E2C44A" w14:textId="77777777" w:rsidTr="00A1631B">
              <w:trPr>
                <w:trHeight w:val="729"/>
              </w:trPr>
              <w:tc>
                <w:tcPr>
                  <w:tcW w:w="1739" w:type="dxa"/>
                  <w:vMerge w:val="restart"/>
                  <w:tcBorders>
                    <w:top w:val="single" w:sz="4" w:space="0" w:color="000000"/>
                    <w:left w:val="nil"/>
                    <w:right w:val="single" w:sz="4" w:space="0" w:color="000000"/>
                  </w:tcBorders>
                  <w:vAlign w:val="center"/>
                </w:tcPr>
                <w:p w14:paraId="0589A711" w14:textId="77777777" w:rsidR="00E02F30" w:rsidRPr="00E02F30" w:rsidRDefault="00E02F30" w:rsidP="00E02F30">
                  <w:pPr>
                    <w:spacing w:line="218" w:lineRule="auto"/>
                    <w:ind w:firstLine="82"/>
                    <w:jc w:val="center"/>
                    <w:rPr>
                      <w:rFonts w:cs="Arial"/>
                      <w:sz w:val="20"/>
                      <w:szCs w:val="20"/>
                    </w:rPr>
                  </w:pPr>
                  <w:r w:rsidRPr="00E02F30">
                    <w:rPr>
                      <w:rFonts w:cs="Arial"/>
                      <w:sz w:val="20"/>
                      <w:szCs w:val="20"/>
                    </w:rPr>
                    <w:t>Całkowity lotny węgiel organiczny (TVOC)</w:t>
                  </w:r>
                </w:p>
              </w:tc>
              <w:tc>
                <w:tcPr>
                  <w:tcW w:w="1414" w:type="dxa"/>
                  <w:vMerge w:val="restart"/>
                  <w:tcBorders>
                    <w:top w:val="single" w:sz="4" w:space="0" w:color="000000"/>
                    <w:left w:val="single" w:sz="4" w:space="0" w:color="000000"/>
                    <w:right w:val="single" w:sz="4" w:space="0" w:color="000000"/>
                  </w:tcBorders>
                  <w:vAlign w:val="center"/>
                </w:tcPr>
                <w:p w14:paraId="0CDAE6E9" w14:textId="77777777" w:rsidR="00E02F30" w:rsidRPr="00E02F30" w:rsidRDefault="00E02F30" w:rsidP="00E02F30">
                  <w:pPr>
                    <w:spacing w:line="218" w:lineRule="auto"/>
                    <w:jc w:val="center"/>
                    <w:rPr>
                      <w:rFonts w:cs="Arial"/>
                      <w:sz w:val="20"/>
                      <w:szCs w:val="20"/>
                    </w:rPr>
                  </w:pPr>
                  <w:r w:rsidRPr="00E02F30">
                    <w:rPr>
                      <w:rFonts w:cs="Arial"/>
                      <w:sz w:val="20"/>
                      <w:szCs w:val="20"/>
                    </w:rPr>
                    <w:t>Wszystkie pozostałe procesy/ źródła</w:t>
                  </w:r>
                </w:p>
              </w:tc>
              <w:tc>
                <w:tcPr>
                  <w:tcW w:w="1603" w:type="dxa"/>
                  <w:tcBorders>
                    <w:top w:val="single" w:sz="4" w:space="0" w:color="000000"/>
                    <w:left w:val="single" w:sz="4" w:space="0" w:color="000000"/>
                    <w:bottom w:val="single" w:sz="4" w:space="0" w:color="000000"/>
                    <w:right w:val="single" w:sz="4" w:space="0" w:color="000000"/>
                  </w:tcBorders>
                </w:tcPr>
                <w:p w14:paraId="44D920CE" w14:textId="77777777" w:rsidR="00E02F30" w:rsidRPr="00E02F30" w:rsidRDefault="00E02F30" w:rsidP="00E02F30">
                  <w:pPr>
                    <w:spacing w:line="218" w:lineRule="auto"/>
                    <w:ind w:left="94" w:right="5"/>
                    <w:jc w:val="center"/>
                    <w:rPr>
                      <w:rFonts w:cs="Arial"/>
                      <w:sz w:val="20"/>
                      <w:szCs w:val="20"/>
                    </w:rPr>
                  </w:pPr>
                  <w:r w:rsidRPr="00E02F30">
                    <w:rPr>
                      <w:rFonts w:cs="Arial"/>
                      <w:sz w:val="20"/>
                      <w:szCs w:val="20"/>
                    </w:rPr>
                    <w:t xml:space="preserve">Dowolny komin o przepływie masowym TVOC wynoszącym </w:t>
                  </w:r>
                  <w:r w:rsidRPr="00E02F30">
                    <w:rPr>
                      <w:rFonts w:cs="Arial"/>
                      <w:sz w:val="20"/>
                      <w:szCs w:val="20"/>
                    </w:rPr>
                    <w:br/>
                    <w:t>≥ 2 kg C/h</w:t>
                  </w:r>
                </w:p>
              </w:tc>
              <w:tc>
                <w:tcPr>
                  <w:tcW w:w="1414" w:type="dxa"/>
                  <w:tcBorders>
                    <w:top w:val="single" w:sz="4" w:space="0" w:color="000000"/>
                    <w:left w:val="single" w:sz="4" w:space="0" w:color="000000"/>
                    <w:bottom w:val="single" w:sz="4" w:space="0" w:color="000000"/>
                    <w:right w:val="single" w:sz="4" w:space="0" w:color="000000"/>
                  </w:tcBorders>
                  <w:vAlign w:val="center"/>
                </w:tcPr>
                <w:p w14:paraId="58CC6676" w14:textId="77777777" w:rsidR="00E02F30" w:rsidRPr="00E02F30" w:rsidRDefault="00E02F30" w:rsidP="00E02F30">
                  <w:pPr>
                    <w:ind w:right="24"/>
                    <w:jc w:val="center"/>
                    <w:rPr>
                      <w:rFonts w:cs="Arial"/>
                      <w:sz w:val="20"/>
                      <w:szCs w:val="20"/>
                    </w:rPr>
                  </w:pPr>
                  <w:r w:rsidRPr="00E02F30">
                    <w:rPr>
                      <w:rFonts w:cs="Arial"/>
                      <w:sz w:val="20"/>
                      <w:szCs w:val="20"/>
                    </w:rPr>
                    <w:t xml:space="preserve">Ogólne normy EN </w:t>
                  </w:r>
                  <w:r w:rsidRPr="00E02F30">
                    <w:rPr>
                      <w:rFonts w:cs="Arial"/>
                      <w:sz w:val="20"/>
                      <w:szCs w:val="20"/>
                      <w:vertAlign w:val="superscript"/>
                    </w:rPr>
                    <w:t>(5)</w:t>
                  </w:r>
                </w:p>
              </w:tc>
              <w:tc>
                <w:tcPr>
                  <w:tcW w:w="1603" w:type="dxa"/>
                  <w:tcBorders>
                    <w:top w:val="single" w:sz="4" w:space="0" w:color="000000"/>
                    <w:left w:val="single" w:sz="4" w:space="0" w:color="000000"/>
                    <w:bottom w:val="single" w:sz="4" w:space="0" w:color="000000"/>
                    <w:right w:val="single" w:sz="4" w:space="0" w:color="000000"/>
                  </w:tcBorders>
                  <w:vAlign w:val="center"/>
                </w:tcPr>
                <w:p w14:paraId="34839EB9" w14:textId="77777777" w:rsidR="00E02F30" w:rsidRPr="00E02F30" w:rsidRDefault="00E02F30" w:rsidP="00E02F30">
                  <w:pPr>
                    <w:ind w:firstLine="2"/>
                    <w:jc w:val="center"/>
                    <w:rPr>
                      <w:rFonts w:cs="Arial"/>
                      <w:sz w:val="20"/>
                      <w:szCs w:val="20"/>
                    </w:rPr>
                  </w:pPr>
                  <w:r w:rsidRPr="00E02F30">
                    <w:rPr>
                      <w:rFonts w:cs="Arial"/>
                      <w:sz w:val="20"/>
                      <w:szCs w:val="20"/>
                    </w:rPr>
                    <w:t>Tryb ciągły</w:t>
                  </w:r>
                </w:p>
              </w:tc>
              <w:tc>
                <w:tcPr>
                  <w:tcW w:w="1670" w:type="dxa"/>
                  <w:vMerge w:val="restart"/>
                  <w:tcBorders>
                    <w:top w:val="single" w:sz="4" w:space="0" w:color="000000"/>
                    <w:left w:val="single" w:sz="4" w:space="0" w:color="000000"/>
                    <w:right w:val="nil"/>
                  </w:tcBorders>
                  <w:vAlign w:val="center"/>
                </w:tcPr>
                <w:p w14:paraId="386D0197" w14:textId="77777777" w:rsidR="00E02F30" w:rsidRPr="00E02F30" w:rsidRDefault="00E02F30" w:rsidP="00E02F30">
                  <w:pPr>
                    <w:jc w:val="center"/>
                    <w:rPr>
                      <w:rFonts w:cs="Arial"/>
                      <w:sz w:val="20"/>
                      <w:szCs w:val="20"/>
                    </w:rPr>
                  </w:pPr>
                  <w:r w:rsidRPr="00E02F30">
                    <w:rPr>
                      <w:rFonts w:cs="Arial"/>
                      <w:sz w:val="20"/>
                      <w:szCs w:val="20"/>
                    </w:rPr>
                    <w:t>BAT 11</w:t>
                  </w:r>
                </w:p>
              </w:tc>
            </w:tr>
            <w:tr w:rsidR="00E02F30" w:rsidRPr="00E02F30" w14:paraId="3F3FDA13" w14:textId="77777777" w:rsidTr="00A1631B">
              <w:trPr>
                <w:trHeight w:val="729"/>
              </w:trPr>
              <w:tc>
                <w:tcPr>
                  <w:tcW w:w="1739" w:type="dxa"/>
                  <w:vMerge/>
                  <w:tcBorders>
                    <w:left w:val="nil"/>
                    <w:bottom w:val="single" w:sz="4" w:space="0" w:color="000000"/>
                    <w:right w:val="single" w:sz="4" w:space="0" w:color="000000"/>
                  </w:tcBorders>
                  <w:vAlign w:val="center"/>
                </w:tcPr>
                <w:p w14:paraId="3E911AD5" w14:textId="77777777" w:rsidR="00E02F30" w:rsidRPr="00E02F30" w:rsidRDefault="00E02F30" w:rsidP="00E02F30">
                  <w:pPr>
                    <w:spacing w:line="218" w:lineRule="auto"/>
                    <w:ind w:firstLine="82"/>
                    <w:jc w:val="center"/>
                    <w:rPr>
                      <w:rFonts w:cs="Arial"/>
                      <w:sz w:val="20"/>
                      <w:szCs w:val="20"/>
                    </w:rPr>
                  </w:pPr>
                </w:p>
              </w:tc>
              <w:tc>
                <w:tcPr>
                  <w:tcW w:w="1414" w:type="dxa"/>
                  <w:vMerge/>
                  <w:tcBorders>
                    <w:left w:val="single" w:sz="4" w:space="0" w:color="000000"/>
                    <w:bottom w:val="single" w:sz="4" w:space="0" w:color="000000"/>
                    <w:right w:val="single" w:sz="4" w:space="0" w:color="000000"/>
                  </w:tcBorders>
                  <w:vAlign w:val="center"/>
                </w:tcPr>
                <w:p w14:paraId="5FBF2FF3" w14:textId="77777777" w:rsidR="00E02F30" w:rsidRPr="00E02F30" w:rsidRDefault="00E02F30" w:rsidP="00E02F30">
                  <w:pPr>
                    <w:spacing w:line="218" w:lineRule="auto"/>
                    <w:jc w:val="center"/>
                    <w:rPr>
                      <w:rFonts w:cs="Arial"/>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449F5D8F" w14:textId="77777777" w:rsidR="00E02F30" w:rsidRPr="00E02F30" w:rsidRDefault="00E02F30" w:rsidP="00E02F30">
                  <w:pPr>
                    <w:spacing w:line="218" w:lineRule="auto"/>
                    <w:ind w:left="81"/>
                    <w:jc w:val="center"/>
                    <w:rPr>
                      <w:rFonts w:cs="Arial"/>
                      <w:sz w:val="20"/>
                      <w:szCs w:val="20"/>
                    </w:rPr>
                  </w:pPr>
                  <w:r w:rsidRPr="00E02F30">
                    <w:rPr>
                      <w:rFonts w:cs="Arial"/>
                      <w:sz w:val="20"/>
                      <w:szCs w:val="20"/>
                    </w:rPr>
                    <w:t xml:space="preserve">Dowolny komin o przepływie masowym TVOC wynoszącym </w:t>
                  </w:r>
                  <w:r w:rsidRPr="00E02F30">
                    <w:rPr>
                      <w:rFonts w:cs="Arial"/>
                      <w:sz w:val="20"/>
                      <w:szCs w:val="20"/>
                    </w:rPr>
                    <w:br/>
                    <w:t>&lt; 2 kg C/h</w:t>
                  </w:r>
                </w:p>
              </w:tc>
              <w:tc>
                <w:tcPr>
                  <w:tcW w:w="1414" w:type="dxa"/>
                  <w:tcBorders>
                    <w:top w:val="single" w:sz="4" w:space="0" w:color="000000"/>
                    <w:left w:val="single" w:sz="4" w:space="0" w:color="000000"/>
                    <w:bottom w:val="single" w:sz="4" w:space="0" w:color="000000"/>
                    <w:right w:val="single" w:sz="4" w:space="0" w:color="000000"/>
                  </w:tcBorders>
                  <w:vAlign w:val="center"/>
                </w:tcPr>
                <w:p w14:paraId="30D52073" w14:textId="77777777" w:rsidR="00E02F30" w:rsidRPr="00E02F30" w:rsidRDefault="00E02F30" w:rsidP="00E02F30">
                  <w:pPr>
                    <w:ind w:right="24"/>
                    <w:jc w:val="center"/>
                    <w:rPr>
                      <w:rFonts w:cs="Arial"/>
                      <w:sz w:val="20"/>
                      <w:szCs w:val="20"/>
                    </w:rPr>
                  </w:pPr>
                  <w:r w:rsidRPr="00E02F30">
                    <w:rPr>
                      <w:rFonts w:cs="Arial"/>
                      <w:sz w:val="20"/>
                      <w:szCs w:val="20"/>
                    </w:rPr>
                    <w:t>EN 12619</w:t>
                  </w:r>
                </w:p>
              </w:tc>
              <w:tc>
                <w:tcPr>
                  <w:tcW w:w="1603" w:type="dxa"/>
                  <w:tcBorders>
                    <w:top w:val="single" w:sz="4" w:space="0" w:color="000000"/>
                    <w:left w:val="single" w:sz="4" w:space="0" w:color="000000"/>
                    <w:bottom w:val="single" w:sz="4" w:space="0" w:color="000000"/>
                    <w:right w:val="single" w:sz="4" w:space="0" w:color="000000"/>
                  </w:tcBorders>
                  <w:vAlign w:val="center"/>
                </w:tcPr>
                <w:p w14:paraId="7B4AAC06" w14:textId="77777777" w:rsidR="00E02F30" w:rsidRPr="00E02F30" w:rsidRDefault="00E02F30" w:rsidP="00E02F30">
                  <w:pPr>
                    <w:ind w:firstLine="2"/>
                    <w:jc w:val="center"/>
                    <w:rPr>
                      <w:rFonts w:cs="Arial"/>
                      <w:sz w:val="20"/>
                      <w:szCs w:val="20"/>
                    </w:rPr>
                  </w:pPr>
                  <w:r w:rsidRPr="00E02F30">
                    <w:rPr>
                      <w:rFonts w:cs="Arial"/>
                      <w:sz w:val="20"/>
                      <w:szCs w:val="20"/>
                    </w:rPr>
                    <w:t xml:space="preserve">Raz na 6 miesięcy </w:t>
                  </w:r>
                  <w:r w:rsidRPr="00E02F30">
                    <w:rPr>
                      <w:rFonts w:cs="Arial"/>
                      <w:sz w:val="20"/>
                      <w:szCs w:val="20"/>
                      <w:vertAlign w:val="superscript"/>
                    </w:rPr>
                    <w:t>(3) (4)</w:t>
                  </w:r>
                </w:p>
              </w:tc>
              <w:tc>
                <w:tcPr>
                  <w:tcW w:w="1670" w:type="dxa"/>
                  <w:vMerge/>
                  <w:tcBorders>
                    <w:left w:val="single" w:sz="4" w:space="0" w:color="000000"/>
                    <w:bottom w:val="single" w:sz="4" w:space="0" w:color="000000"/>
                    <w:right w:val="nil"/>
                  </w:tcBorders>
                  <w:vAlign w:val="center"/>
                </w:tcPr>
                <w:p w14:paraId="7AB6509F" w14:textId="77777777" w:rsidR="00E02F30" w:rsidRPr="00E02F30" w:rsidRDefault="00E02F30" w:rsidP="00E02F30">
                  <w:pPr>
                    <w:jc w:val="center"/>
                    <w:rPr>
                      <w:rFonts w:cs="Arial"/>
                      <w:sz w:val="20"/>
                      <w:szCs w:val="20"/>
                    </w:rPr>
                  </w:pPr>
                </w:p>
              </w:tc>
            </w:tr>
          </w:tbl>
          <w:p w14:paraId="0F9DDD8D"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Monitorowanie ma zastosowanie tylko wtedy, gdy dana substancja/dany parametr zostały zidentyfikowane jako istotne w strumieniu gazów odlotowych na podstawie wykazu, o którym mowa w BAT 2.</w:t>
            </w:r>
          </w:p>
          <w:p w14:paraId="36492B1D"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Pomiary przeprowadza się zgodnie z normą EN 15259.</w:t>
            </w:r>
          </w:p>
          <w:p w14:paraId="3007B68D"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W miarę możliwości pomiary przeprowadza się w najwyższym oczekiwanym stanie emisji w normalnych warunkach eksploatacji.</w:t>
            </w:r>
          </w:p>
          <w:p w14:paraId="32F30FD9"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Minimalną częstotliwość monitorowania można ograniczyć do monitorowania raz na rok lub raz na 3 lata, jeżeli okaże się, że poziomy emisji są wystarczająco stabilne.</w:t>
            </w:r>
          </w:p>
          <w:p w14:paraId="31B3BC65"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Ogólne normy EN dotyczące pomiarów ciągłych to EN 14181, EN 15267-1, EN 15267-2 i EN 15267-3.</w:t>
            </w:r>
          </w:p>
          <w:p w14:paraId="574F29E2"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W przypadku pieców procesowych/nagrzewnic, których całkowita nominalna moc cieplna dostarczona w paliwie wynosi mniej niż 100 MW i które pracują przez mniej niż 500 godzin rocznie, minimalną częstotliwość monitorowania można ograniczyć do monitorowania raz na rok.</w:t>
            </w:r>
          </w:p>
          <w:p w14:paraId="1306AFFA"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Minimalną częstotliwość monitorowania można ograniczyć do monitorowania raz na 3 lata, jeżeli okaże się, że poziomy emisji są wystarczająco stabilne.</w:t>
            </w:r>
          </w:p>
          <w:p w14:paraId="0299BA61"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Minimalną częstotliwość monitorowania można ograniczyć do monitorowania raz na 6 miesięcy, jeżeli okaże się, że poziomy emisji są wystarczająco stabilne.</w:t>
            </w:r>
          </w:p>
          <w:p w14:paraId="5E8FC353"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Minimalną częstotliwość monitorowania można ograniczyć do monitorowania raz na rok, jeżeli okaże się, że poziomy emisji są wystarczająco stabilne.</w:t>
            </w:r>
          </w:p>
          <w:p w14:paraId="4C4527D0"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 xml:space="preserve">W przypadku produkcji </w:t>
            </w:r>
            <w:proofErr w:type="spellStart"/>
            <w:r w:rsidRPr="00E02F30">
              <w:rPr>
                <w:rFonts w:eastAsia="Times New Roman" w:cs="Arial"/>
                <w:sz w:val="20"/>
                <w:szCs w:val="20"/>
                <w:lang w:eastAsia="pl-PL"/>
              </w:rPr>
              <w:t>poliolefin</w:t>
            </w:r>
            <w:proofErr w:type="spellEnd"/>
            <w:r w:rsidRPr="00E02F30">
              <w:rPr>
                <w:rFonts w:eastAsia="Times New Roman" w:cs="Arial"/>
                <w:sz w:val="20"/>
                <w:szCs w:val="20"/>
                <w:lang w:eastAsia="pl-PL"/>
              </w:rPr>
              <w:t xml:space="preserve"> monitorowanie emisji TVOC z wykańczania (np. suszenia, mieszania) oraz ze składowania polimerów można uzupełnić monitorowaniem w ramach BAT 24, jeżeli zapewnia ono lepszą reprezentację emisji TVOC.</w:t>
            </w:r>
          </w:p>
          <w:p w14:paraId="14152D2F"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W przypadku produkcji gum syntetycznych monitorowanie emisji TVOC z wykańczania (np. wytłaczania, suszenia, mieszania) oraz ze składowania gum syntetycznych można uzupełnić monitorowaniem w ramach BAT 31, jeżeli zapewnia ono lepszą reprezentację emisji TVOC.</w:t>
            </w:r>
          </w:p>
          <w:p w14:paraId="0B7316A8" w14:textId="77777777" w:rsidR="00E02F30" w:rsidRPr="00E02F30" w:rsidRDefault="00E02F30">
            <w:pPr>
              <w:numPr>
                <w:ilvl w:val="0"/>
                <w:numId w:val="54"/>
              </w:numPr>
              <w:spacing w:after="0" w:line="240" w:lineRule="auto"/>
              <w:ind w:left="885"/>
              <w:jc w:val="both"/>
              <w:rPr>
                <w:rFonts w:eastAsia="Times New Roman" w:cs="Arial"/>
                <w:sz w:val="20"/>
                <w:szCs w:val="20"/>
                <w:lang w:eastAsia="pl-PL"/>
              </w:rPr>
            </w:pPr>
            <w:r w:rsidRPr="00E02F30">
              <w:rPr>
                <w:rFonts w:eastAsia="Times New Roman" w:cs="Arial"/>
                <w:sz w:val="20"/>
                <w:szCs w:val="20"/>
                <w:lang w:eastAsia="pl-PL"/>
              </w:rPr>
              <w:t xml:space="preserve">Tj. inne niż benzen, butadien, chlorometan, dichlorometan, chlorek etylenu, tlenek etylenu, formaldehyd, tlenek propylenu, </w:t>
            </w:r>
            <w:proofErr w:type="spellStart"/>
            <w:r w:rsidRPr="00E02F30">
              <w:rPr>
                <w:rFonts w:eastAsia="Times New Roman" w:cs="Arial"/>
                <w:sz w:val="20"/>
                <w:szCs w:val="20"/>
                <w:lang w:eastAsia="pl-PL"/>
              </w:rPr>
              <w:t>tetrachlorometan</w:t>
            </w:r>
            <w:proofErr w:type="spellEnd"/>
            <w:r w:rsidRPr="00E02F30">
              <w:rPr>
                <w:rFonts w:eastAsia="Times New Roman" w:cs="Arial"/>
                <w:sz w:val="20"/>
                <w:szCs w:val="20"/>
                <w:lang w:eastAsia="pl-PL"/>
              </w:rPr>
              <w:t xml:space="preserve">, toluen, </w:t>
            </w:r>
            <w:proofErr w:type="spellStart"/>
            <w:r w:rsidRPr="00E02F30">
              <w:rPr>
                <w:rFonts w:eastAsia="Times New Roman" w:cs="Arial"/>
                <w:sz w:val="20"/>
                <w:szCs w:val="20"/>
                <w:lang w:eastAsia="pl-PL"/>
              </w:rPr>
              <w:t>trichlorometan</w:t>
            </w:r>
            <w:proofErr w:type="spellEnd"/>
            <w:r w:rsidRPr="00E02F30">
              <w:rPr>
                <w:rFonts w:eastAsia="Times New Roman" w:cs="Arial"/>
                <w:sz w:val="20"/>
                <w:szCs w:val="20"/>
                <w:lang w:eastAsia="pl-PL"/>
              </w:rPr>
              <w:t>.</w:t>
            </w:r>
          </w:p>
          <w:p w14:paraId="5938CF72" w14:textId="77777777" w:rsidR="00E02F30" w:rsidRPr="00E02F30" w:rsidRDefault="00E02F30" w:rsidP="00E02F30">
            <w:pPr>
              <w:spacing w:after="0" w:line="240" w:lineRule="auto"/>
              <w:jc w:val="center"/>
              <w:rPr>
                <w:rFonts w:eastAsia="Times New Roman" w:cs="Arial"/>
                <w:sz w:val="20"/>
                <w:szCs w:val="20"/>
                <w:lang w:eastAsia="pl-PL"/>
              </w:rPr>
            </w:pPr>
          </w:p>
        </w:tc>
      </w:tr>
      <w:tr w:rsidR="00E02F30" w:rsidRPr="00E02F30" w14:paraId="5DD08DEE" w14:textId="77777777" w:rsidTr="00A1631B">
        <w:trPr>
          <w:trHeight w:val="1969"/>
        </w:trPr>
        <w:tc>
          <w:tcPr>
            <w:tcW w:w="1985" w:type="dxa"/>
            <w:gridSpan w:val="2"/>
            <w:shd w:val="clear" w:color="auto" w:fill="auto"/>
          </w:tcPr>
          <w:p w14:paraId="577616EB"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685A2B6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663F2BA9"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207AE32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Dotychczas nie było obowiązku monitorowania emisji do powietrza w sposób zgodny z BAT 8.</w:t>
            </w:r>
          </w:p>
          <w:p w14:paraId="256983E6"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Cs/>
                <w:sz w:val="20"/>
                <w:szCs w:val="20"/>
                <w:lang w:eastAsia="pl-PL"/>
              </w:rPr>
              <w:t xml:space="preserve">W niniejszej decyzji wprowadzono obowiązek monitoringowy zgodnie z wymaganiami BAT 8 w Tabeli 11 a. </w:t>
            </w:r>
          </w:p>
          <w:tbl>
            <w:tblPr>
              <w:tblStyle w:val="TableGrid"/>
              <w:tblW w:w="4750" w:type="pct"/>
              <w:tblInd w:w="160" w:type="dxa"/>
              <w:tblLayout w:type="fixed"/>
              <w:tblCellMar>
                <w:left w:w="28" w:type="dxa"/>
                <w:right w:w="28" w:type="dxa"/>
              </w:tblCellMar>
              <w:tblLook w:val="04A0" w:firstRow="1" w:lastRow="0" w:firstColumn="1" w:lastColumn="0" w:noHBand="0" w:noVBand="1"/>
            </w:tblPr>
            <w:tblGrid>
              <w:gridCol w:w="1311"/>
              <w:gridCol w:w="2085"/>
              <w:gridCol w:w="1414"/>
              <w:gridCol w:w="1644"/>
              <w:gridCol w:w="1555"/>
            </w:tblGrid>
            <w:tr w:rsidR="00E02F30" w:rsidRPr="00E02F30" w14:paraId="4A0C8EB0" w14:textId="77777777" w:rsidTr="00A1631B">
              <w:trPr>
                <w:trHeight w:val="727"/>
              </w:trPr>
              <w:tc>
                <w:tcPr>
                  <w:tcW w:w="1853" w:type="dxa"/>
                  <w:tcBorders>
                    <w:top w:val="single" w:sz="4" w:space="0" w:color="000000"/>
                    <w:left w:val="nil"/>
                    <w:bottom w:val="single" w:sz="4" w:space="0" w:color="000000"/>
                    <w:right w:val="single" w:sz="4" w:space="0" w:color="000000"/>
                  </w:tcBorders>
                  <w:tcMar>
                    <w:left w:w="28" w:type="dxa"/>
                    <w:right w:w="28" w:type="dxa"/>
                  </w:tcMar>
                  <w:vAlign w:val="center"/>
                </w:tcPr>
                <w:p w14:paraId="5BF5C686" w14:textId="77777777" w:rsidR="00E02F30" w:rsidRPr="00E02F30" w:rsidRDefault="00E02F30" w:rsidP="00E02F30">
                  <w:pPr>
                    <w:ind w:left="165" w:firstLine="43"/>
                    <w:rPr>
                      <w:rFonts w:cs="Arial"/>
                      <w:sz w:val="20"/>
                      <w:szCs w:val="20"/>
                    </w:rPr>
                  </w:pPr>
                  <w:r w:rsidRPr="00E02F30">
                    <w:rPr>
                      <w:rFonts w:cs="Arial"/>
                      <w:sz w:val="20"/>
                      <w:szCs w:val="20"/>
                    </w:rPr>
                    <w:t xml:space="preserve">Substancja/ Parametr </w:t>
                  </w:r>
                  <w:r w:rsidRPr="00E02F30">
                    <w:rPr>
                      <w:rFonts w:cs="Arial"/>
                      <w:sz w:val="20"/>
                      <w:szCs w:val="20"/>
                      <w:vertAlign w:val="superscript"/>
                    </w:rPr>
                    <w:t>(1)</w:t>
                  </w:r>
                </w:p>
              </w:tc>
              <w:tc>
                <w:tcPr>
                  <w:tcW w:w="29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CDF6D1" w14:textId="77777777" w:rsidR="00E02F30" w:rsidRPr="00E02F30" w:rsidRDefault="00E02F30" w:rsidP="00E02F30">
                  <w:pPr>
                    <w:jc w:val="center"/>
                    <w:rPr>
                      <w:rFonts w:cs="Arial"/>
                      <w:sz w:val="20"/>
                      <w:szCs w:val="20"/>
                    </w:rPr>
                  </w:pPr>
                  <w:r w:rsidRPr="00E02F30">
                    <w:rPr>
                      <w:rFonts w:cs="Arial"/>
                      <w:sz w:val="20"/>
                      <w:szCs w:val="20"/>
                    </w:rPr>
                    <w:t>Punktowe źródła emisji</w:t>
                  </w:r>
                </w:p>
              </w:tc>
              <w:tc>
                <w:tcPr>
                  <w:tcW w:w="2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829E98" w14:textId="77777777" w:rsidR="00E02F30" w:rsidRPr="00E02F30" w:rsidRDefault="00E02F30" w:rsidP="00E02F30">
                  <w:pPr>
                    <w:ind w:right="24"/>
                    <w:jc w:val="center"/>
                    <w:rPr>
                      <w:rFonts w:cs="Arial"/>
                      <w:sz w:val="20"/>
                      <w:szCs w:val="20"/>
                    </w:rPr>
                  </w:pPr>
                  <w:r w:rsidRPr="00E02F30">
                    <w:rPr>
                      <w:rFonts w:cs="Arial"/>
                      <w:sz w:val="20"/>
                      <w:szCs w:val="20"/>
                    </w:rPr>
                    <w:t xml:space="preserve">Normy </w:t>
                  </w:r>
                  <w:r w:rsidRPr="00E02F30">
                    <w:rPr>
                      <w:rFonts w:cs="Arial"/>
                      <w:sz w:val="20"/>
                      <w:szCs w:val="20"/>
                      <w:vertAlign w:val="superscript"/>
                    </w:rPr>
                    <w:t>(2)</w:t>
                  </w:r>
                </w:p>
              </w:tc>
              <w:tc>
                <w:tcPr>
                  <w:tcW w:w="233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40B1200" w14:textId="77777777" w:rsidR="00E02F30" w:rsidRPr="00E02F30" w:rsidRDefault="00E02F30" w:rsidP="00E02F30">
                  <w:pPr>
                    <w:ind w:firstLine="2"/>
                    <w:jc w:val="center"/>
                    <w:rPr>
                      <w:rFonts w:cs="Arial"/>
                      <w:sz w:val="20"/>
                      <w:szCs w:val="20"/>
                    </w:rPr>
                  </w:pPr>
                  <w:r w:rsidRPr="00E02F30">
                    <w:rPr>
                      <w:rFonts w:cs="Arial"/>
                      <w:sz w:val="20"/>
                      <w:szCs w:val="20"/>
                    </w:rPr>
                    <w:t>Minimalna częstotliwość monitorowania</w:t>
                  </w:r>
                </w:p>
              </w:tc>
              <w:tc>
                <w:tcPr>
                  <w:tcW w:w="2202"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7BE493E" w14:textId="77777777" w:rsidR="00E02F30" w:rsidRPr="00E02F30" w:rsidRDefault="00E02F30" w:rsidP="00E02F30">
                  <w:pPr>
                    <w:jc w:val="center"/>
                    <w:rPr>
                      <w:rFonts w:cs="Arial"/>
                      <w:sz w:val="20"/>
                      <w:szCs w:val="20"/>
                    </w:rPr>
                  </w:pPr>
                  <w:r w:rsidRPr="00E02F30">
                    <w:rPr>
                      <w:rFonts w:cs="Arial"/>
                      <w:sz w:val="20"/>
                      <w:szCs w:val="20"/>
                    </w:rPr>
                    <w:t>Uwagi</w:t>
                  </w:r>
                </w:p>
              </w:tc>
            </w:tr>
            <w:tr w:rsidR="00E02F30" w:rsidRPr="00E02F30" w14:paraId="2120EB58" w14:textId="77777777" w:rsidTr="00A1631B">
              <w:trPr>
                <w:trHeight w:val="509"/>
              </w:trPr>
              <w:tc>
                <w:tcPr>
                  <w:tcW w:w="1853" w:type="dxa"/>
                  <w:tcBorders>
                    <w:top w:val="single" w:sz="4" w:space="0" w:color="000000"/>
                    <w:left w:val="nil"/>
                    <w:bottom w:val="single" w:sz="4" w:space="0" w:color="000000"/>
                    <w:right w:val="single" w:sz="4" w:space="0" w:color="000000"/>
                  </w:tcBorders>
                  <w:tcMar>
                    <w:left w:w="28" w:type="dxa"/>
                    <w:right w:w="28" w:type="dxa"/>
                  </w:tcMar>
                  <w:vAlign w:val="center"/>
                </w:tcPr>
                <w:p w14:paraId="5ECAD47F" w14:textId="77777777" w:rsidR="00E02F30" w:rsidRPr="00E02F30" w:rsidRDefault="00E02F30" w:rsidP="00E02F30">
                  <w:pPr>
                    <w:ind w:left="165" w:firstLine="43"/>
                    <w:jc w:val="center"/>
                    <w:rPr>
                      <w:rFonts w:cs="Arial"/>
                      <w:sz w:val="20"/>
                      <w:szCs w:val="20"/>
                    </w:rPr>
                  </w:pPr>
                  <w:r w:rsidRPr="00E02F30">
                    <w:rPr>
                      <w:rFonts w:cs="Arial"/>
                      <w:sz w:val="20"/>
                      <w:szCs w:val="20"/>
                    </w:rPr>
                    <w:t>Pył</w:t>
                  </w:r>
                </w:p>
              </w:tc>
              <w:tc>
                <w:tcPr>
                  <w:tcW w:w="29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46EED2" w14:textId="77777777" w:rsidR="00E02F30" w:rsidRPr="00E02F30" w:rsidRDefault="00E02F30" w:rsidP="00E02F30">
                  <w:pPr>
                    <w:jc w:val="center"/>
                    <w:rPr>
                      <w:rFonts w:cs="Arial"/>
                      <w:sz w:val="20"/>
                      <w:szCs w:val="20"/>
                    </w:rPr>
                  </w:pPr>
                  <w:r w:rsidRPr="00E02F30">
                    <w:rPr>
                      <w:rFonts w:cs="Arial"/>
                      <w:sz w:val="20"/>
                      <w:szCs w:val="20"/>
                    </w:rPr>
                    <w:t>Wszystkie procesy/źródła. Dowolny komin o przepływie masowym pyłu wynoszącym &lt; 3 kg/h, dot.:</w:t>
                  </w:r>
                  <w:r w:rsidRPr="00E02F30">
                    <w:rPr>
                      <w:rFonts w:cs="Arial"/>
                      <w:sz w:val="20"/>
                      <w:szCs w:val="20"/>
                    </w:rPr>
                    <w:br/>
                    <w:t>E-1/Z, E-4/Z, E-5/Z, E-8/Z</w:t>
                  </w:r>
                </w:p>
              </w:tc>
              <w:tc>
                <w:tcPr>
                  <w:tcW w:w="2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44AA3C" w14:textId="77777777" w:rsidR="00E02F30" w:rsidRPr="00E02F30" w:rsidRDefault="00E02F30" w:rsidP="00E02F30">
                  <w:pPr>
                    <w:ind w:right="24"/>
                    <w:jc w:val="center"/>
                    <w:rPr>
                      <w:rFonts w:cs="Arial"/>
                      <w:sz w:val="20"/>
                      <w:szCs w:val="20"/>
                    </w:rPr>
                  </w:pPr>
                  <w:r w:rsidRPr="00E02F30">
                    <w:rPr>
                      <w:rFonts w:cs="Arial"/>
                      <w:sz w:val="20"/>
                      <w:szCs w:val="20"/>
                    </w:rPr>
                    <w:t>EN 13284-1</w:t>
                  </w:r>
                </w:p>
              </w:tc>
              <w:tc>
                <w:tcPr>
                  <w:tcW w:w="23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7437F44" w14:textId="77777777" w:rsidR="00E02F30" w:rsidRPr="00E02F30" w:rsidRDefault="00E02F30" w:rsidP="00E02F30">
                  <w:pPr>
                    <w:ind w:firstLine="2"/>
                    <w:jc w:val="center"/>
                    <w:rPr>
                      <w:rFonts w:cs="Arial"/>
                      <w:sz w:val="20"/>
                      <w:szCs w:val="20"/>
                    </w:rPr>
                  </w:pPr>
                  <w:r w:rsidRPr="00E02F30">
                    <w:rPr>
                      <w:rFonts w:cs="Arial"/>
                      <w:sz w:val="20"/>
                      <w:szCs w:val="20"/>
                    </w:rPr>
                    <w:t xml:space="preserve">Raz na rok </w:t>
                  </w:r>
                  <w:r w:rsidRPr="00E02F30">
                    <w:rPr>
                      <w:rFonts w:cs="Arial"/>
                      <w:sz w:val="20"/>
                      <w:szCs w:val="20"/>
                      <w:vertAlign w:val="superscript"/>
                    </w:rPr>
                    <w:t>(3) (7)</w:t>
                  </w:r>
                </w:p>
              </w:tc>
              <w:tc>
                <w:tcPr>
                  <w:tcW w:w="2202" w:type="dxa"/>
                  <w:vMerge w:val="restart"/>
                  <w:tcBorders>
                    <w:top w:val="single" w:sz="4" w:space="0" w:color="000000"/>
                    <w:left w:val="single" w:sz="4" w:space="0" w:color="000000"/>
                    <w:right w:val="nil"/>
                  </w:tcBorders>
                  <w:shd w:val="clear" w:color="auto" w:fill="auto"/>
                  <w:tcMar>
                    <w:left w:w="28" w:type="dxa"/>
                    <w:right w:w="28" w:type="dxa"/>
                  </w:tcMar>
                  <w:vAlign w:val="center"/>
                </w:tcPr>
                <w:p w14:paraId="43760169" w14:textId="77777777" w:rsidR="00E02F30" w:rsidRPr="00E02F30" w:rsidRDefault="00E02F30" w:rsidP="00E02F30">
                  <w:pPr>
                    <w:jc w:val="center"/>
                    <w:rPr>
                      <w:rFonts w:cs="Arial"/>
                      <w:sz w:val="20"/>
                      <w:szCs w:val="20"/>
                    </w:rPr>
                  </w:pPr>
                  <w:r w:rsidRPr="00E02F30">
                    <w:rPr>
                      <w:rFonts w:cs="Arial"/>
                      <w:sz w:val="20"/>
                      <w:szCs w:val="20"/>
                    </w:rPr>
                    <w:t xml:space="preserve">Ze względu na stabilne poziomy emisji wnioskowana częstotliwość monitorowania wynosi raz na 1 rok </w:t>
                  </w:r>
                </w:p>
              </w:tc>
            </w:tr>
            <w:tr w:rsidR="00E02F30" w:rsidRPr="00E02F30" w14:paraId="0CAEA6C1" w14:textId="77777777" w:rsidTr="00A1631B">
              <w:trPr>
                <w:trHeight w:val="727"/>
              </w:trPr>
              <w:tc>
                <w:tcPr>
                  <w:tcW w:w="1853" w:type="dxa"/>
                  <w:tcBorders>
                    <w:top w:val="single" w:sz="4" w:space="0" w:color="000000"/>
                    <w:left w:val="nil"/>
                    <w:bottom w:val="single" w:sz="4" w:space="0" w:color="000000"/>
                    <w:right w:val="single" w:sz="4" w:space="0" w:color="000000"/>
                  </w:tcBorders>
                  <w:tcMar>
                    <w:left w:w="28" w:type="dxa"/>
                    <w:right w:w="28" w:type="dxa"/>
                  </w:tcMar>
                  <w:vAlign w:val="center"/>
                </w:tcPr>
                <w:p w14:paraId="06F14C6A" w14:textId="77777777" w:rsidR="00E02F30" w:rsidRPr="00E02F30" w:rsidRDefault="00E02F30" w:rsidP="00E02F30">
                  <w:pPr>
                    <w:ind w:left="165" w:firstLine="43"/>
                    <w:rPr>
                      <w:rFonts w:cs="Arial"/>
                      <w:sz w:val="20"/>
                      <w:szCs w:val="20"/>
                    </w:rPr>
                  </w:pPr>
                  <w:r w:rsidRPr="00E02F30">
                    <w:rPr>
                      <w:rFonts w:cs="Arial"/>
                      <w:sz w:val="20"/>
                      <w:szCs w:val="20"/>
                    </w:rPr>
                    <w:t>PM2,5 i PM10</w:t>
                  </w:r>
                </w:p>
              </w:tc>
              <w:tc>
                <w:tcPr>
                  <w:tcW w:w="29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0D2FE2" w14:textId="77777777" w:rsidR="00E02F30" w:rsidRPr="00E02F30" w:rsidRDefault="00E02F30" w:rsidP="00E02F30">
                  <w:pPr>
                    <w:jc w:val="center"/>
                    <w:rPr>
                      <w:rFonts w:cs="Arial"/>
                      <w:sz w:val="20"/>
                      <w:szCs w:val="20"/>
                    </w:rPr>
                  </w:pPr>
                  <w:r w:rsidRPr="00E02F30">
                    <w:rPr>
                      <w:rFonts w:cs="Arial"/>
                      <w:sz w:val="20"/>
                      <w:szCs w:val="20"/>
                    </w:rPr>
                    <w:t>Wszystkie procesy/źródła. Dowolny komin, dot.:</w:t>
                  </w:r>
                  <w:r w:rsidRPr="00E02F30">
                    <w:rPr>
                      <w:rFonts w:cs="Arial"/>
                      <w:sz w:val="20"/>
                      <w:szCs w:val="20"/>
                    </w:rPr>
                    <w:br/>
                    <w:t>E-1/Z, E-4/Z, E-5/Z, E-8/Z</w:t>
                  </w:r>
                </w:p>
              </w:tc>
              <w:tc>
                <w:tcPr>
                  <w:tcW w:w="2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F2E5D6" w14:textId="77777777" w:rsidR="00E02F30" w:rsidRPr="00E02F30" w:rsidRDefault="00E02F30" w:rsidP="00E02F30">
                  <w:pPr>
                    <w:ind w:right="24"/>
                    <w:jc w:val="center"/>
                    <w:rPr>
                      <w:rFonts w:cs="Arial"/>
                      <w:sz w:val="20"/>
                      <w:szCs w:val="20"/>
                    </w:rPr>
                  </w:pPr>
                  <w:r w:rsidRPr="00E02F30">
                    <w:rPr>
                      <w:rFonts w:cs="Arial"/>
                      <w:sz w:val="20"/>
                      <w:szCs w:val="20"/>
                    </w:rPr>
                    <w:t>EN ISO 23210</w:t>
                  </w:r>
                </w:p>
              </w:tc>
              <w:tc>
                <w:tcPr>
                  <w:tcW w:w="23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6842F2" w14:textId="77777777" w:rsidR="00E02F30" w:rsidRPr="00E02F30" w:rsidRDefault="00E02F30" w:rsidP="00E02F30">
                  <w:pPr>
                    <w:ind w:firstLine="2"/>
                    <w:jc w:val="center"/>
                    <w:rPr>
                      <w:rFonts w:cs="Arial"/>
                      <w:sz w:val="20"/>
                      <w:szCs w:val="20"/>
                    </w:rPr>
                  </w:pPr>
                  <w:r w:rsidRPr="00E02F30">
                    <w:rPr>
                      <w:rFonts w:cs="Arial"/>
                      <w:sz w:val="20"/>
                      <w:szCs w:val="20"/>
                    </w:rPr>
                    <w:t xml:space="preserve">Raz na rok </w:t>
                  </w:r>
                  <w:r w:rsidRPr="00E02F30">
                    <w:rPr>
                      <w:rFonts w:cs="Arial"/>
                      <w:sz w:val="20"/>
                      <w:szCs w:val="20"/>
                      <w:vertAlign w:val="superscript"/>
                    </w:rPr>
                    <w:t>(3) (7)</w:t>
                  </w:r>
                </w:p>
              </w:tc>
              <w:tc>
                <w:tcPr>
                  <w:tcW w:w="2202" w:type="dxa"/>
                  <w:vMerge/>
                  <w:tcBorders>
                    <w:left w:val="single" w:sz="4" w:space="0" w:color="000000"/>
                    <w:bottom w:val="single" w:sz="4" w:space="0" w:color="000000"/>
                    <w:right w:val="nil"/>
                  </w:tcBorders>
                  <w:shd w:val="clear" w:color="auto" w:fill="auto"/>
                  <w:tcMar>
                    <w:left w:w="28" w:type="dxa"/>
                    <w:right w:w="28" w:type="dxa"/>
                  </w:tcMar>
                  <w:vAlign w:val="center"/>
                </w:tcPr>
                <w:p w14:paraId="05DD0FAA" w14:textId="77777777" w:rsidR="00E02F30" w:rsidRPr="00E02F30" w:rsidRDefault="00E02F30" w:rsidP="00E02F30">
                  <w:pPr>
                    <w:jc w:val="center"/>
                    <w:rPr>
                      <w:rFonts w:cs="Arial"/>
                      <w:sz w:val="20"/>
                      <w:szCs w:val="20"/>
                    </w:rPr>
                  </w:pPr>
                </w:p>
              </w:tc>
            </w:tr>
            <w:tr w:rsidR="00E02F30" w:rsidRPr="00E02F30" w14:paraId="2E4AD28C" w14:textId="77777777" w:rsidTr="00A1631B">
              <w:trPr>
                <w:trHeight w:val="727"/>
              </w:trPr>
              <w:tc>
                <w:tcPr>
                  <w:tcW w:w="1853" w:type="dxa"/>
                  <w:tcBorders>
                    <w:top w:val="single" w:sz="4" w:space="0" w:color="000000"/>
                    <w:left w:val="nil"/>
                    <w:bottom w:val="single" w:sz="4" w:space="0" w:color="000000"/>
                    <w:right w:val="single" w:sz="4" w:space="0" w:color="000000"/>
                  </w:tcBorders>
                  <w:tcMar>
                    <w:left w:w="28" w:type="dxa"/>
                    <w:right w:w="28" w:type="dxa"/>
                  </w:tcMar>
                  <w:vAlign w:val="center"/>
                </w:tcPr>
                <w:p w14:paraId="23400438" w14:textId="77777777" w:rsidR="00E02F30" w:rsidRPr="00E02F30" w:rsidRDefault="00E02F30" w:rsidP="00E02F30">
                  <w:pPr>
                    <w:ind w:left="165" w:firstLine="43"/>
                    <w:rPr>
                      <w:rFonts w:cs="Arial"/>
                      <w:sz w:val="20"/>
                      <w:szCs w:val="20"/>
                    </w:rPr>
                  </w:pPr>
                  <w:r w:rsidRPr="00E02F30">
                    <w:rPr>
                      <w:rFonts w:cs="Arial"/>
                      <w:sz w:val="20"/>
                      <w:szCs w:val="20"/>
                    </w:rPr>
                    <w:t>Benzen</w:t>
                  </w:r>
                </w:p>
              </w:tc>
              <w:tc>
                <w:tcPr>
                  <w:tcW w:w="29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EEA478" w14:textId="77777777" w:rsidR="00E02F30" w:rsidRPr="00E02F30" w:rsidRDefault="00E02F30" w:rsidP="00E02F30">
                  <w:pPr>
                    <w:rPr>
                      <w:rFonts w:cs="Arial"/>
                      <w:sz w:val="20"/>
                      <w:szCs w:val="20"/>
                    </w:rPr>
                  </w:pPr>
                  <w:r w:rsidRPr="00E02F30">
                    <w:rPr>
                      <w:rFonts w:cs="Arial"/>
                      <w:sz w:val="20"/>
                      <w:szCs w:val="20"/>
                    </w:rPr>
                    <w:t>Wszystkie procesy/źródła. Dowolny komin, dot.:</w:t>
                  </w:r>
                  <w:r w:rsidRPr="00E02F30">
                    <w:rPr>
                      <w:rFonts w:cs="Arial"/>
                      <w:sz w:val="20"/>
                      <w:szCs w:val="20"/>
                    </w:rPr>
                    <w:br/>
                    <w:t>E-6/Z, E-9/Z</w:t>
                  </w:r>
                </w:p>
              </w:tc>
              <w:tc>
                <w:tcPr>
                  <w:tcW w:w="2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287E6B" w14:textId="77777777" w:rsidR="00E02F30" w:rsidRPr="00E02F30" w:rsidRDefault="00E02F30" w:rsidP="00E02F30">
                  <w:pPr>
                    <w:ind w:right="24"/>
                    <w:jc w:val="center"/>
                    <w:rPr>
                      <w:rFonts w:cs="Arial"/>
                      <w:sz w:val="20"/>
                      <w:szCs w:val="20"/>
                    </w:rPr>
                  </w:pPr>
                  <w:r w:rsidRPr="00E02F30">
                    <w:rPr>
                      <w:rFonts w:cs="Arial"/>
                      <w:sz w:val="20"/>
                      <w:szCs w:val="20"/>
                    </w:rPr>
                    <w:t>Brak normy EN</w:t>
                  </w:r>
                </w:p>
              </w:tc>
              <w:tc>
                <w:tcPr>
                  <w:tcW w:w="23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8674C9" w14:textId="77777777" w:rsidR="00E02F30" w:rsidRPr="00E02F30" w:rsidRDefault="00E02F30" w:rsidP="00E02F30">
                  <w:pPr>
                    <w:ind w:firstLine="2"/>
                    <w:jc w:val="center"/>
                    <w:rPr>
                      <w:rFonts w:cs="Arial"/>
                      <w:sz w:val="20"/>
                      <w:szCs w:val="20"/>
                    </w:rPr>
                  </w:pPr>
                  <w:r w:rsidRPr="00E02F30">
                    <w:rPr>
                      <w:rFonts w:cs="Arial"/>
                      <w:sz w:val="20"/>
                      <w:szCs w:val="20"/>
                    </w:rPr>
                    <w:t xml:space="preserve">Raz na 6 miesięcy </w:t>
                  </w:r>
                  <w:r w:rsidRPr="00E02F30">
                    <w:rPr>
                      <w:rFonts w:cs="Arial"/>
                      <w:sz w:val="20"/>
                      <w:szCs w:val="20"/>
                      <w:vertAlign w:val="superscript"/>
                    </w:rPr>
                    <w:t>(3)</w:t>
                  </w:r>
                </w:p>
              </w:tc>
              <w:tc>
                <w:tcPr>
                  <w:tcW w:w="2202"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83B196B" w14:textId="77777777" w:rsidR="00E02F30" w:rsidRPr="00E02F30" w:rsidRDefault="00E02F30" w:rsidP="00E02F30">
                  <w:pPr>
                    <w:jc w:val="center"/>
                    <w:rPr>
                      <w:rFonts w:cs="Arial"/>
                      <w:sz w:val="20"/>
                      <w:szCs w:val="20"/>
                    </w:rPr>
                  </w:pPr>
                  <w:r w:rsidRPr="00E02F30">
                    <w:rPr>
                      <w:rFonts w:cs="Arial"/>
                      <w:sz w:val="20"/>
                      <w:szCs w:val="20"/>
                    </w:rPr>
                    <w:t>-</w:t>
                  </w:r>
                </w:p>
              </w:tc>
            </w:tr>
            <w:tr w:rsidR="00E02F30" w:rsidRPr="00E02F30" w14:paraId="5BC2CC68" w14:textId="77777777" w:rsidTr="00A1631B">
              <w:trPr>
                <w:trHeight w:val="727"/>
              </w:trPr>
              <w:tc>
                <w:tcPr>
                  <w:tcW w:w="1853" w:type="dxa"/>
                  <w:tcBorders>
                    <w:top w:val="single" w:sz="4" w:space="0" w:color="000000"/>
                    <w:left w:val="nil"/>
                    <w:bottom w:val="single" w:sz="4" w:space="0" w:color="000000"/>
                    <w:right w:val="single" w:sz="4" w:space="0" w:color="000000"/>
                  </w:tcBorders>
                  <w:tcMar>
                    <w:left w:w="28" w:type="dxa"/>
                    <w:right w:w="28" w:type="dxa"/>
                  </w:tcMar>
                  <w:vAlign w:val="center"/>
                </w:tcPr>
                <w:p w14:paraId="077C12F0" w14:textId="77777777" w:rsidR="00E02F30" w:rsidRPr="00E02F30" w:rsidRDefault="00E02F30" w:rsidP="00E02F30">
                  <w:pPr>
                    <w:ind w:left="165" w:firstLine="43"/>
                    <w:rPr>
                      <w:rFonts w:cs="Arial"/>
                      <w:sz w:val="20"/>
                      <w:szCs w:val="20"/>
                    </w:rPr>
                  </w:pPr>
                  <w:r w:rsidRPr="00E02F30">
                    <w:rPr>
                      <w:rFonts w:cs="Arial"/>
                      <w:sz w:val="20"/>
                      <w:szCs w:val="20"/>
                    </w:rPr>
                    <w:t>Toluen</w:t>
                  </w:r>
                </w:p>
              </w:tc>
              <w:tc>
                <w:tcPr>
                  <w:tcW w:w="29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EF3F01" w14:textId="77777777" w:rsidR="00E02F30" w:rsidRPr="00E02F30" w:rsidRDefault="00E02F30" w:rsidP="00E02F30">
                  <w:pPr>
                    <w:rPr>
                      <w:rFonts w:cs="Arial"/>
                      <w:sz w:val="20"/>
                      <w:szCs w:val="20"/>
                    </w:rPr>
                  </w:pPr>
                  <w:r w:rsidRPr="00E02F30">
                    <w:rPr>
                      <w:rFonts w:cs="Arial"/>
                      <w:sz w:val="20"/>
                      <w:szCs w:val="20"/>
                    </w:rPr>
                    <w:t>Wszystkie procesy/źródła, dot.: E-2/Z, E-6/Z,E-7/Z</w:t>
                  </w:r>
                </w:p>
              </w:tc>
              <w:tc>
                <w:tcPr>
                  <w:tcW w:w="2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50DD96" w14:textId="77777777" w:rsidR="00E02F30" w:rsidRPr="00E02F30" w:rsidRDefault="00E02F30" w:rsidP="00E02F30">
                  <w:pPr>
                    <w:ind w:right="24"/>
                    <w:jc w:val="center"/>
                    <w:rPr>
                      <w:rFonts w:cs="Arial"/>
                      <w:sz w:val="20"/>
                      <w:szCs w:val="20"/>
                    </w:rPr>
                  </w:pPr>
                  <w:r w:rsidRPr="00E02F30">
                    <w:rPr>
                      <w:rFonts w:eastAsia="Calibri" w:cs="Arial"/>
                      <w:color w:val="000000"/>
                      <w:sz w:val="20"/>
                      <w:szCs w:val="20"/>
                    </w:rPr>
                    <w:t>Brak normy EN</w:t>
                  </w:r>
                </w:p>
              </w:tc>
              <w:tc>
                <w:tcPr>
                  <w:tcW w:w="23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517D44" w14:textId="77777777" w:rsidR="00E02F30" w:rsidRPr="00E02F30" w:rsidRDefault="00E02F30" w:rsidP="00E02F30">
                  <w:pPr>
                    <w:ind w:firstLine="2"/>
                    <w:jc w:val="center"/>
                    <w:rPr>
                      <w:rFonts w:cs="Arial"/>
                      <w:sz w:val="20"/>
                      <w:szCs w:val="20"/>
                    </w:rPr>
                  </w:pPr>
                  <w:r w:rsidRPr="00E02F30">
                    <w:rPr>
                      <w:rFonts w:eastAsia="Calibri" w:cs="Arial"/>
                      <w:color w:val="000000"/>
                      <w:sz w:val="20"/>
                      <w:szCs w:val="20"/>
                    </w:rPr>
                    <w:t xml:space="preserve">Raz na 6 miesięcy </w:t>
                  </w:r>
                  <w:r w:rsidRPr="00E02F30">
                    <w:rPr>
                      <w:rFonts w:eastAsia="Calibri" w:cs="Arial"/>
                      <w:color w:val="000000"/>
                      <w:sz w:val="20"/>
                      <w:szCs w:val="20"/>
                      <w:vertAlign w:val="superscript"/>
                    </w:rPr>
                    <w:t>(3)</w:t>
                  </w:r>
                </w:p>
              </w:tc>
              <w:tc>
                <w:tcPr>
                  <w:tcW w:w="2202"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43F4EE8" w14:textId="77777777" w:rsidR="00E02F30" w:rsidRPr="00E02F30" w:rsidRDefault="00E02F30" w:rsidP="00E02F30">
                  <w:pPr>
                    <w:jc w:val="center"/>
                    <w:rPr>
                      <w:rFonts w:cs="Arial"/>
                      <w:sz w:val="20"/>
                      <w:szCs w:val="20"/>
                    </w:rPr>
                  </w:pPr>
                  <w:r w:rsidRPr="00E02F30">
                    <w:rPr>
                      <w:rFonts w:cs="Arial"/>
                      <w:sz w:val="20"/>
                      <w:szCs w:val="20"/>
                    </w:rPr>
                    <w:t>-</w:t>
                  </w:r>
                </w:p>
              </w:tc>
            </w:tr>
            <w:tr w:rsidR="00E02F30" w:rsidRPr="00E02F30" w14:paraId="3F5B3D69" w14:textId="77777777" w:rsidTr="00A1631B">
              <w:trPr>
                <w:trHeight w:val="727"/>
              </w:trPr>
              <w:tc>
                <w:tcPr>
                  <w:tcW w:w="1853" w:type="dxa"/>
                  <w:tcBorders>
                    <w:top w:val="single" w:sz="4" w:space="0" w:color="000000"/>
                    <w:left w:val="nil"/>
                    <w:bottom w:val="single" w:sz="4" w:space="0" w:color="000000"/>
                    <w:right w:val="single" w:sz="4" w:space="0" w:color="000000"/>
                  </w:tcBorders>
                  <w:tcMar>
                    <w:left w:w="28" w:type="dxa"/>
                    <w:right w:w="28" w:type="dxa"/>
                  </w:tcMar>
                  <w:vAlign w:val="center"/>
                </w:tcPr>
                <w:p w14:paraId="5B289F7A" w14:textId="77777777" w:rsidR="00E02F30" w:rsidRPr="00E02F30" w:rsidRDefault="00E02F30" w:rsidP="00E02F30">
                  <w:pPr>
                    <w:ind w:left="165" w:firstLine="43"/>
                    <w:rPr>
                      <w:rFonts w:cs="Arial"/>
                      <w:sz w:val="20"/>
                      <w:szCs w:val="20"/>
                    </w:rPr>
                  </w:pPr>
                  <w:r w:rsidRPr="00E02F30">
                    <w:rPr>
                      <w:rFonts w:cs="Arial"/>
                      <w:sz w:val="20"/>
                      <w:szCs w:val="20"/>
                    </w:rPr>
                    <w:t>Amoniak</w:t>
                  </w:r>
                </w:p>
              </w:tc>
              <w:tc>
                <w:tcPr>
                  <w:tcW w:w="29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7AE22A" w14:textId="77777777" w:rsidR="00E02F30" w:rsidRPr="00E02F30" w:rsidRDefault="00E02F30" w:rsidP="00E02F30">
                  <w:pPr>
                    <w:rPr>
                      <w:rFonts w:cs="Arial"/>
                      <w:sz w:val="20"/>
                      <w:szCs w:val="20"/>
                    </w:rPr>
                  </w:pPr>
                  <w:r w:rsidRPr="00E02F30">
                    <w:rPr>
                      <w:rFonts w:cs="Arial"/>
                      <w:sz w:val="20"/>
                      <w:szCs w:val="20"/>
                    </w:rPr>
                    <w:t xml:space="preserve">Wszystkie pozostałe procesy/ źródła, </w:t>
                  </w:r>
                  <w:r w:rsidRPr="00E02F30">
                    <w:rPr>
                      <w:rFonts w:cs="Arial"/>
                      <w:sz w:val="20"/>
                      <w:szCs w:val="20"/>
                    </w:rPr>
                    <w:br/>
                    <w:t>dot. E-6/Z, E-8/Z</w:t>
                  </w:r>
                </w:p>
              </w:tc>
              <w:tc>
                <w:tcPr>
                  <w:tcW w:w="2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432CBD" w14:textId="77777777" w:rsidR="00E02F30" w:rsidRPr="00E02F30" w:rsidRDefault="00E02F30" w:rsidP="00E02F30">
                  <w:pPr>
                    <w:ind w:right="24"/>
                    <w:jc w:val="center"/>
                    <w:rPr>
                      <w:rFonts w:cs="Arial"/>
                      <w:sz w:val="20"/>
                      <w:szCs w:val="20"/>
                    </w:rPr>
                  </w:pPr>
                  <w:r w:rsidRPr="00E02F30">
                    <w:rPr>
                      <w:rFonts w:eastAsia="Calibri" w:cs="Arial"/>
                      <w:color w:val="000000"/>
                      <w:sz w:val="20"/>
                      <w:szCs w:val="20"/>
                    </w:rPr>
                    <w:t>EN 21877</w:t>
                  </w:r>
                </w:p>
              </w:tc>
              <w:tc>
                <w:tcPr>
                  <w:tcW w:w="23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183370" w14:textId="77777777" w:rsidR="00E02F30" w:rsidRPr="00E02F30" w:rsidRDefault="00E02F30" w:rsidP="00E02F30">
                  <w:pPr>
                    <w:ind w:firstLine="2"/>
                    <w:jc w:val="center"/>
                    <w:rPr>
                      <w:rFonts w:cs="Arial"/>
                      <w:sz w:val="20"/>
                      <w:szCs w:val="20"/>
                    </w:rPr>
                  </w:pPr>
                  <w:r w:rsidRPr="00E02F30">
                    <w:rPr>
                      <w:rFonts w:eastAsia="Calibri" w:cs="Arial"/>
                      <w:color w:val="000000"/>
                      <w:sz w:val="20"/>
                      <w:szCs w:val="20"/>
                    </w:rPr>
                    <w:t xml:space="preserve">Raz na 6 miesięcy </w:t>
                  </w:r>
                  <w:r w:rsidRPr="00E02F30">
                    <w:rPr>
                      <w:rFonts w:eastAsia="Calibri" w:cs="Arial"/>
                      <w:color w:val="000000"/>
                      <w:sz w:val="20"/>
                      <w:szCs w:val="20"/>
                      <w:vertAlign w:val="superscript"/>
                    </w:rPr>
                    <w:t>(3) (4)</w:t>
                  </w:r>
                </w:p>
              </w:tc>
              <w:tc>
                <w:tcPr>
                  <w:tcW w:w="2202"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47A354A" w14:textId="77777777" w:rsidR="00E02F30" w:rsidRPr="00E02F30" w:rsidRDefault="00E02F30" w:rsidP="00E02F30">
                  <w:pPr>
                    <w:jc w:val="center"/>
                    <w:rPr>
                      <w:rFonts w:cs="Arial"/>
                      <w:sz w:val="20"/>
                      <w:szCs w:val="20"/>
                    </w:rPr>
                  </w:pPr>
                  <w:r w:rsidRPr="00E02F30">
                    <w:rPr>
                      <w:rFonts w:eastAsia="Calibri" w:cs="Arial"/>
                      <w:color w:val="000000"/>
                      <w:sz w:val="20"/>
                      <w:szCs w:val="20"/>
                    </w:rPr>
                    <w:t>Minimalna częstotliwość monitorowania może zostać ograniczona do monitorowania raz na rok lub raz na 3 lata, jeżeli okaże się, że poziomy emisji są wystarczająco stabilne</w:t>
                  </w:r>
                </w:p>
              </w:tc>
            </w:tr>
            <w:tr w:rsidR="00E02F30" w:rsidRPr="00E02F30" w14:paraId="35E62B48" w14:textId="77777777" w:rsidTr="00A1631B">
              <w:trPr>
                <w:trHeight w:val="727"/>
              </w:trPr>
              <w:tc>
                <w:tcPr>
                  <w:tcW w:w="1853" w:type="dxa"/>
                  <w:tcBorders>
                    <w:top w:val="single" w:sz="4" w:space="0" w:color="000000"/>
                    <w:left w:val="nil"/>
                    <w:bottom w:val="single" w:sz="4" w:space="0" w:color="000000"/>
                    <w:right w:val="single" w:sz="4" w:space="0" w:color="000000"/>
                  </w:tcBorders>
                  <w:tcMar>
                    <w:left w:w="28" w:type="dxa"/>
                    <w:right w:w="28" w:type="dxa"/>
                  </w:tcMar>
                  <w:vAlign w:val="center"/>
                </w:tcPr>
                <w:p w14:paraId="2A4FC3B5" w14:textId="77777777" w:rsidR="00E02F30" w:rsidRPr="00E02F30" w:rsidRDefault="00E02F30" w:rsidP="00E02F30">
                  <w:pPr>
                    <w:ind w:left="165" w:firstLine="43"/>
                    <w:rPr>
                      <w:rFonts w:cs="Arial"/>
                      <w:sz w:val="20"/>
                      <w:szCs w:val="20"/>
                    </w:rPr>
                  </w:pPr>
                  <w:r w:rsidRPr="00E02F30">
                    <w:rPr>
                      <w:rFonts w:cs="Arial"/>
                      <w:sz w:val="20"/>
                      <w:szCs w:val="20"/>
                    </w:rPr>
                    <w:t xml:space="preserve">Substancje CMR inne niż substancje wymienione w innym miejscu w niniejszej tabeli </w:t>
                  </w:r>
                  <w:r w:rsidRPr="00E02F30">
                    <w:rPr>
                      <w:rFonts w:cs="Arial"/>
                      <w:sz w:val="20"/>
                      <w:szCs w:val="20"/>
                      <w:vertAlign w:val="superscript"/>
                    </w:rPr>
                    <w:t>(12)</w:t>
                  </w:r>
                </w:p>
              </w:tc>
              <w:tc>
                <w:tcPr>
                  <w:tcW w:w="29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13B312" w14:textId="77777777" w:rsidR="00E02F30" w:rsidRPr="00E02F30" w:rsidRDefault="00E02F30" w:rsidP="00E02F30">
                  <w:pPr>
                    <w:rPr>
                      <w:rFonts w:eastAsia="Calibri" w:cs="Arial"/>
                      <w:color w:val="000000"/>
                      <w:sz w:val="20"/>
                      <w:szCs w:val="20"/>
                    </w:rPr>
                  </w:pPr>
                  <w:r w:rsidRPr="00E02F30">
                    <w:rPr>
                      <w:rFonts w:eastAsia="Calibri" w:cs="Arial"/>
                      <w:color w:val="000000"/>
                      <w:sz w:val="20"/>
                      <w:szCs w:val="20"/>
                    </w:rPr>
                    <w:t xml:space="preserve">Wszystkie pozostałe procesy/źródła. Dowolny komin. </w:t>
                  </w:r>
                  <w:r w:rsidRPr="00E02F30">
                    <w:rPr>
                      <w:rFonts w:eastAsia="Calibri" w:cs="Arial"/>
                      <w:color w:val="000000"/>
                      <w:sz w:val="20"/>
                      <w:szCs w:val="20"/>
                    </w:rPr>
                    <w:br/>
                  </w:r>
                </w:p>
              </w:tc>
              <w:tc>
                <w:tcPr>
                  <w:tcW w:w="2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C99BD7" w14:textId="77777777" w:rsidR="00E02F30" w:rsidRPr="00E02F30" w:rsidRDefault="00E02F30" w:rsidP="00E02F30">
                  <w:pPr>
                    <w:ind w:right="24"/>
                    <w:jc w:val="center"/>
                    <w:rPr>
                      <w:rFonts w:eastAsia="Calibri" w:cs="Arial"/>
                      <w:color w:val="000000"/>
                      <w:sz w:val="20"/>
                      <w:szCs w:val="20"/>
                    </w:rPr>
                  </w:pPr>
                  <w:r w:rsidRPr="00E02F30">
                    <w:rPr>
                      <w:rFonts w:eastAsia="Calibri" w:cs="Arial"/>
                      <w:color w:val="000000"/>
                      <w:sz w:val="20"/>
                      <w:szCs w:val="20"/>
                    </w:rPr>
                    <w:t>Brak normy EN</w:t>
                  </w:r>
                </w:p>
              </w:tc>
              <w:tc>
                <w:tcPr>
                  <w:tcW w:w="23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6C934D" w14:textId="77777777" w:rsidR="00E02F30" w:rsidRPr="00E02F30" w:rsidRDefault="00E02F30" w:rsidP="00E02F30">
                  <w:pPr>
                    <w:ind w:firstLine="2"/>
                    <w:jc w:val="center"/>
                    <w:rPr>
                      <w:rFonts w:eastAsia="Calibri" w:cs="Arial"/>
                      <w:color w:val="000000"/>
                      <w:sz w:val="20"/>
                      <w:szCs w:val="20"/>
                    </w:rPr>
                  </w:pPr>
                  <w:r w:rsidRPr="00E02F30">
                    <w:rPr>
                      <w:rFonts w:eastAsia="Calibri" w:cs="Arial"/>
                      <w:color w:val="000000"/>
                      <w:sz w:val="20"/>
                      <w:szCs w:val="20"/>
                    </w:rPr>
                    <w:t xml:space="preserve">Raz na 6 miesięcy </w:t>
                  </w:r>
                  <w:r w:rsidRPr="00E02F30">
                    <w:rPr>
                      <w:rFonts w:eastAsia="Calibri" w:cs="Arial"/>
                      <w:color w:val="000000"/>
                      <w:sz w:val="20"/>
                      <w:szCs w:val="20"/>
                      <w:vertAlign w:val="superscript"/>
                    </w:rPr>
                    <w:t>(3)</w:t>
                  </w:r>
                </w:p>
              </w:tc>
              <w:tc>
                <w:tcPr>
                  <w:tcW w:w="2202"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05B9EC1" w14:textId="77777777" w:rsidR="00E02F30" w:rsidRPr="00E02F30" w:rsidRDefault="00E02F30" w:rsidP="00E02F30">
                  <w:pPr>
                    <w:jc w:val="center"/>
                    <w:rPr>
                      <w:rFonts w:cs="Arial"/>
                      <w:sz w:val="20"/>
                      <w:szCs w:val="20"/>
                    </w:rPr>
                  </w:pPr>
                  <w:r w:rsidRPr="00E02F30">
                    <w:rPr>
                      <w:rFonts w:eastAsia="Calibri" w:cs="Arial"/>
                      <w:color w:val="000000"/>
                      <w:sz w:val="20"/>
                      <w:szCs w:val="20"/>
                    </w:rPr>
                    <w:t>Brak substancji CMR innych niż wymienione w niniejszej tabeli</w:t>
                  </w:r>
                </w:p>
              </w:tc>
            </w:tr>
            <w:tr w:rsidR="00E02F30" w:rsidRPr="00E02F30" w14:paraId="2A2ACE5F" w14:textId="77777777" w:rsidTr="00A1631B">
              <w:trPr>
                <w:trHeight w:val="727"/>
              </w:trPr>
              <w:tc>
                <w:tcPr>
                  <w:tcW w:w="1853" w:type="dxa"/>
                  <w:tcBorders>
                    <w:top w:val="single" w:sz="4" w:space="0" w:color="000000"/>
                    <w:left w:val="nil"/>
                    <w:bottom w:val="single" w:sz="4" w:space="0" w:color="000000"/>
                    <w:right w:val="single" w:sz="4" w:space="0" w:color="000000"/>
                  </w:tcBorders>
                  <w:tcMar>
                    <w:left w:w="28" w:type="dxa"/>
                    <w:right w:w="28" w:type="dxa"/>
                  </w:tcMar>
                  <w:vAlign w:val="center"/>
                </w:tcPr>
                <w:p w14:paraId="5A172DF0" w14:textId="77777777" w:rsidR="00E02F30" w:rsidRPr="00E02F30" w:rsidRDefault="00E02F30" w:rsidP="00E02F30">
                  <w:pPr>
                    <w:ind w:left="165" w:firstLine="43"/>
                    <w:rPr>
                      <w:rFonts w:cs="Arial"/>
                      <w:sz w:val="20"/>
                      <w:szCs w:val="20"/>
                    </w:rPr>
                  </w:pPr>
                  <w:r w:rsidRPr="00E02F30">
                    <w:rPr>
                      <w:rFonts w:cs="Arial"/>
                      <w:sz w:val="20"/>
                      <w:szCs w:val="20"/>
                    </w:rPr>
                    <w:t>Całkowity lotny węgiel organiczny (TVOC)</w:t>
                  </w:r>
                </w:p>
              </w:tc>
              <w:tc>
                <w:tcPr>
                  <w:tcW w:w="296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4A46A6" w14:textId="77777777" w:rsidR="00E02F30" w:rsidRPr="00E02F30" w:rsidRDefault="00E02F30" w:rsidP="00E02F30">
                  <w:pPr>
                    <w:rPr>
                      <w:rFonts w:eastAsia="Calibri" w:cs="Arial"/>
                      <w:color w:val="000000"/>
                      <w:sz w:val="20"/>
                      <w:szCs w:val="20"/>
                    </w:rPr>
                  </w:pPr>
                  <w:r w:rsidRPr="00E02F30">
                    <w:rPr>
                      <w:rFonts w:eastAsia="Calibri" w:cs="Arial"/>
                      <w:color w:val="000000"/>
                      <w:sz w:val="20"/>
                      <w:szCs w:val="20"/>
                    </w:rPr>
                    <w:t>Wszystkie pozostałe procesy/ źródła. Dowolny komin o przepływie masowym TVOC wynoszącym &lt; 2 kg C/h, dot.: E-1/Z, E-2/Z, E-3/Z,, E-4/Z, E-5/Z, E-6/Z, E-7/Z, E-8/Z, E-9/Z</w:t>
                  </w:r>
                </w:p>
              </w:tc>
              <w:tc>
                <w:tcPr>
                  <w:tcW w:w="20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852ED0" w14:textId="77777777" w:rsidR="00E02F30" w:rsidRPr="00E02F30" w:rsidRDefault="00E02F30" w:rsidP="00E02F30">
                  <w:pPr>
                    <w:ind w:right="24"/>
                    <w:jc w:val="center"/>
                    <w:rPr>
                      <w:rFonts w:eastAsia="Calibri" w:cs="Arial"/>
                      <w:color w:val="000000"/>
                      <w:sz w:val="20"/>
                      <w:szCs w:val="20"/>
                    </w:rPr>
                  </w:pPr>
                  <w:r w:rsidRPr="00E02F30">
                    <w:rPr>
                      <w:rFonts w:eastAsia="Calibri" w:cs="Arial"/>
                      <w:color w:val="000000"/>
                      <w:sz w:val="20"/>
                      <w:szCs w:val="20"/>
                    </w:rPr>
                    <w:t>EN 12619</w:t>
                  </w:r>
                </w:p>
              </w:tc>
              <w:tc>
                <w:tcPr>
                  <w:tcW w:w="233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261B99A" w14:textId="77777777" w:rsidR="00E02F30" w:rsidRPr="00E02F30" w:rsidRDefault="00E02F30" w:rsidP="00E02F30">
                  <w:pPr>
                    <w:ind w:firstLine="2"/>
                    <w:jc w:val="center"/>
                    <w:rPr>
                      <w:rFonts w:eastAsia="Calibri" w:cs="Arial"/>
                      <w:color w:val="000000"/>
                      <w:sz w:val="20"/>
                      <w:szCs w:val="20"/>
                    </w:rPr>
                  </w:pPr>
                  <w:r w:rsidRPr="00E02F30">
                    <w:rPr>
                      <w:rFonts w:eastAsia="Calibri" w:cs="Arial"/>
                      <w:color w:val="000000"/>
                      <w:sz w:val="20"/>
                      <w:szCs w:val="20"/>
                    </w:rPr>
                    <w:t xml:space="preserve">Raz na 6 miesięcy </w:t>
                  </w:r>
                  <w:r w:rsidRPr="00E02F30">
                    <w:rPr>
                      <w:rFonts w:eastAsia="Calibri" w:cs="Arial"/>
                      <w:color w:val="000000"/>
                      <w:sz w:val="20"/>
                      <w:szCs w:val="20"/>
                      <w:vertAlign w:val="superscript"/>
                    </w:rPr>
                    <w:t>(3) (4)</w:t>
                  </w:r>
                </w:p>
              </w:tc>
              <w:tc>
                <w:tcPr>
                  <w:tcW w:w="2202"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A1A3332" w14:textId="77777777" w:rsidR="00E02F30" w:rsidRPr="00E02F30" w:rsidRDefault="00E02F30" w:rsidP="00E02F30">
                  <w:pPr>
                    <w:jc w:val="center"/>
                    <w:rPr>
                      <w:rFonts w:eastAsia="Calibri" w:cs="Arial"/>
                      <w:color w:val="000000"/>
                      <w:sz w:val="20"/>
                      <w:szCs w:val="20"/>
                    </w:rPr>
                  </w:pPr>
                  <w:r w:rsidRPr="00E02F30">
                    <w:rPr>
                      <w:rFonts w:eastAsia="Calibri" w:cs="Arial"/>
                      <w:color w:val="000000"/>
                      <w:sz w:val="20"/>
                      <w:szCs w:val="20"/>
                    </w:rPr>
                    <w:t>Minimalna częstotliwość monitorowania może zostać ograniczona do monitorowania raz na rok lub raz na 3 lata, jeżeli okaże się, że poziomy emisji są wystarczająco stabilne</w:t>
                  </w:r>
                </w:p>
              </w:tc>
            </w:tr>
          </w:tbl>
          <w:p w14:paraId="473BD7BF"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24F674CF" w14:textId="77777777" w:rsidTr="00A1631B">
        <w:trPr>
          <w:trHeight w:val="284"/>
        </w:trPr>
        <w:tc>
          <w:tcPr>
            <w:tcW w:w="10632" w:type="dxa"/>
            <w:gridSpan w:val="6"/>
            <w:shd w:val="clear" w:color="auto" w:fill="auto"/>
          </w:tcPr>
          <w:p w14:paraId="24E1D19C"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9</w:t>
            </w:r>
          </w:p>
          <w:p w14:paraId="0633019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Aby zwiększyć </w:t>
            </w:r>
            <w:proofErr w:type="spellStart"/>
            <w:r w:rsidRPr="00E02F30">
              <w:rPr>
                <w:rFonts w:eastAsia="Times New Roman" w:cs="Arial"/>
                <w:bCs/>
                <w:sz w:val="20"/>
                <w:szCs w:val="20"/>
                <w:lang w:eastAsia="pl-PL"/>
              </w:rPr>
              <w:t>zasobooszczędność</w:t>
            </w:r>
            <w:proofErr w:type="spellEnd"/>
            <w:r w:rsidRPr="00E02F30">
              <w:rPr>
                <w:rFonts w:eastAsia="Times New Roman" w:cs="Arial"/>
                <w:bCs/>
                <w:sz w:val="20"/>
                <w:szCs w:val="20"/>
                <w:lang w:eastAsia="pl-PL"/>
              </w:rPr>
              <w:t xml:space="preserve"> i ograniczyć przepływ masowy związków organicznych wysyłanych do końcowego oczyszczenia gazów odlotowych, w ramach BAT należy odzyskiwać związki organiczne z gazów odlotowych z procesu technologicznego za pomocą jednej z poniższych technik lub ich kombinacji oraz ponownie je wykorzystywać:</w:t>
            </w:r>
          </w:p>
          <w:p w14:paraId="6DD11FB3"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a)</w:t>
            </w:r>
            <w:r w:rsidRPr="00E02F30">
              <w:rPr>
                <w:rFonts w:eastAsia="Times New Roman" w:cs="Arial"/>
                <w:bCs/>
                <w:sz w:val="20"/>
                <w:szCs w:val="20"/>
                <w:lang w:eastAsia="pl-PL"/>
              </w:rPr>
              <w:tab/>
              <w:t>Absorpcja regeneracyjna</w:t>
            </w:r>
          </w:p>
          <w:p w14:paraId="0AB9FD0F"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b)</w:t>
            </w:r>
            <w:r w:rsidRPr="00E02F30">
              <w:rPr>
                <w:rFonts w:eastAsia="Times New Roman" w:cs="Arial"/>
                <w:bCs/>
                <w:sz w:val="20"/>
                <w:szCs w:val="20"/>
                <w:lang w:eastAsia="pl-PL"/>
              </w:rPr>
              <w:tab/>
              <w:t>Adsorpcja regeneracyjna</w:t>
            </w:r>
          </w:p>
          <w:p w14:paraId="1C2DD2A3"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c)</w:t>
            </w:r>
            <w:r w:rsidRPr="00E02F30">
              <w:rPr>
                <w:rFonts w:eastAsia="Times New Roman" w:cs="Arial"/>
                <w:bCs/>
                <w:sz w:val="20"/>
                <w:szCs w:val="20"/>
                <w:lang w:eastAsia="pl-PL"/>
              </w:rPr>
              <w:tab/>
              <w:t>Kondensacja</w:t>
            </w:r>
          </w:p>
        </w:tc>
      </w:tr>
      <w:tr w:rsidR="00E02F30" w:rsidRPr="00E02F30" w14:paraId="37240DBF" w14:textId="77777777" w:rsidTr="00A1631B">
        <w:trPr>
          <w:trHeight w:val="284"/>
        </w:trPr>
        <w:tc>
          <w:tcPr>
            <w:tcW w:w="1985" w:type="dxa"/>
            <w:gridSpan w:val="2"/>
            <w:shd w:val="clear" w:color="auto" w:fill="auto"/>
            <w:vAlign w:val="center"/>
          </w:tcPr>
          <w:p w14:paraId="1DEBE884"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7E43D615"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0B78E46F"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Zgodne</w:t>
            </w:r>
          </w:p>
          <w:p w14:paraId="37E03318"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Technika a:</w:t>
            </w:r>
          </w:p>
          <w:p w14:paraId="2F14DF1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 w etapie kondensacji powstaje woda kondensacyjna zawierająca składniki (reagenty). Woda ta kierowana jest do kolumn rektyfikacyjnych / zwrotnych, w których poddawana jest procesowi rektyfikacji, tj. rozdziału składników. Odzyskane składniki zawracane są do produkcji,</w:t>
            </w:r>
          </w:p>
          <w:p w14:paraId="4EC00246"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 w etapie rozpuszczania </w:t>
            </w:r>
            <w:proofErr w:type="spellStart"/>
            <w:r w:rsidRPr="00E02F30">
              <w:rPr>
                <w:rFonts w:eastAsia="Times New Roman" w:cs="Arial"/>
                <w:bCs/>
                <w:sz w:val="20"/>
                <w:szCs w:val="20"/>
                <w:lang w:eastAsia="pl-PL"/>
              </w:rPr>
              <w:t>alkidu</w:t>
            </w:r>
            <w:proofErr w:type="spellEnd"/>
            <w:r w:rsidRPr="00E02F30">
              <w:rPr>
                <w:rFonts w:eastAsia="Times New Roman" w:cs="Arial"/>
                <w:bCs/>
                <w:sz w:val="20"/>
                <w:szCs w:val="20"/>
                <w:lang w:eastAsia="pl-PL"/>
              </w:rPr>
              <w:t xml:space="preserve"> w styrenie powstają opary styrenu, które wychładzane są w układzie chłodnic zwrotnych i skraplaczy. Skroplone składniki (głównie styren) zawracane są na bieżąco do mieszalnika w którym następuje rozpuszczanie </w:t>
            </w:r>
            <w:proofErr w:type="spellStart"/>
            <w:r w:rsidRPr="00E02F30">
              <w:rPr>
                <w:rFonts w:eastAsia="Times New Roman" w:cs="Arial"/>
                <w:bCs/>
                <w:sz w:val="20"/>
                <w:szCs w:val="20"/>
                <w:lang w:eastAsia="pl-PL"/>
              </w:rPr>
              <w:t>alkidu</w:t>
            </w:r>
            <w:proofErr w:type="spellEnd"/>
          </w:p>
        </w:tc>
      </w:tr>
      <w:tr w:rsidR="00E02F30" w:rsidRPr="00E02F30" w14:paraId="743BC091" w14:textId="77777777" w:rsidTr="00A1631B">
        <w:trPr>
          <w:trHeight w:val="284"/>
        </w:trPr>
        <w:tc>
          <w:tcPr>
            <w:tcW w:w="10632" w:type="dxa"/>
            <w:gridSpan w:val="6"/>
            <w:shd w:val="clear" w:color="auto" w:fill="auto"/>
          </w:tcPr>
          <w:p w14:paraId="7D303BD0"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10</w:t>
            </w:r>
          </w:p>
          <w:p w14:paraId="3E739C30"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Aby zwiększyć efektywność energetyczną i ograniczyć przepływ masowy związków organicznych wysyłanych do końcowego oczyszczenia gazów odlotowych, w ramach BAT należy wysyłać gazy odlotowe z procesu technologicznego o wystarczającej wartości opałowej do jednostki spalania paliw połączonej, jeśli jest to technicznie możliwe, z odzyskiem ciepła. BAT 9 ma pierwszeństwo przed wysyłaniem gazów odlotowych z procesu technologicznego do jednostki spalania paliw.</w:t>
            </w:r>
          </w:p>
        </w:tc>
      </w:tr>
      <w:tr w:rsidR="00E02F30" w:rsidRPr="00E02F30" w14:paraId="01C36013" w14:textId="77777777" w:rsidTr="00A1631B">
        <w:trPr>
          <w:trHeight w:val="284"/>
        </w:trPr>
        <w:tc>
          <w:tcPr>
            <w:tcW w:w="1985" w:type="dxa"/>
            <w:gridSpan w:val="2"/>
            <w:shd w:val="clear" w:color="auto" w:fill="auto"/>
          </w:tcPr>
          <w:p w14:paraId="3357606E"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3A1B2936"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3F08E0DF"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52A7A63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 instalacji nie powstają gazy odlotowe o wysokiej wartości opałowej, które mogły by być spalane jako paliwo w jednostce spalania paliw. </w:t>
            </w:r>
          </w:p>
          <w:p w14:paraId="049FCE8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instalacji stosuje się techniki regeneracji związków organicznych, przedstawionych w BAT 9, które mają pierwszeństwo przed wysyłaniem gazów odlotowych z procesu technologicznego do jednostki spalania paliw.</w:t>
            </w:r>
          </w:p>
        </w:tc>
      </w:tr>
      <w:tr w:rsidR="00E02F30" w:rsidRPr="00E02F30" w14:paraId="1B347688" w14:textId="77777777" w:rsidTr="00A1631B">
        <w:trPr>
          <w:trHeight w:val="284"/>
        </w:trPr>
        <w:tc>
          <w:tcPr>
            <w:tcW w:w="10632" w:type="dxa"/>
            <w:gridSpan w:val="6"/>
            <w:shd w:val="clear" w:color="auto" w:fill="auto"/>
          </w:tcPr>
          <w:p w14:paraId="3F496782"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11. </w:t>
            </w:r>
          </w:p>
          <w:p w14:paraId="7E14BF51"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Aby ograniczyć emisje zorganizowane do powietrza związków organicznych, w ramach BAT należy stosować jedną z poniższych technik lub ich kombinację.</w:t>
            </w:r>
          </w:p>
          <w:p w14:paraId="7CFC7624" w14:textId="77777777" w:rsidR="00E02F30" w:rsidRPr="00E02F30" w:rsidRDefault="00E02F30" w:rsidP="00E02F30">
            <w:pPr>
              <w:spacing w:after="0" w:line="240" w:lineRule="auto"/>
              <w:rPr>
                <w:rFonts w:eastAsia="Times New Roman" w:cs="Arial"/>
                <w:bCs/>
                <w:sz w:val="20"/>
                <w:szCs w:val="20"/>
                <w:lang w:eastAsia="pl-PL"/>
              </w:rPr>
            </w:pPr>
          </w:p>
          <w:tbl>
            <w:tblPr>
              <w:tblStyle w:val="TableGrid"/>
              <w:tblW w:w="3584" w:type="pct"/>
              <w:tblInd w:w="1020" w:type="dxa"/>
              <w:tblLayout w:type="fixed"/>
              <w:tblCellMar>
                <w:top w:w="107" w:type="dxa"/>
              </w:tblCellMar>
              <w:tblLook w:val="04A0" w:firstRow="1" w:lastRow="0" w:firstColumn="1" w:lastColumn="0" w:noHBand="0" w:noVBand="1"/>
            </w:tblPr>
            <w:tblGrid>
              <w:gridCol w:w="519"/>
              <w:gridCol w:w="1191"/>
              <w:gridCol w:w="5756"/>
            </w:tblGrid>
            <w:tr w:rsidR="00E02F30" w:rsidRPr="00E02F30" w14:paraId="40A583ED" w14:textId="77777777" w:rsidTr="00A1631B">
              <w:trPr>
                <w:trHeight w:val="343"/>
              </w:trPr>
              <w:tc>
                <w:tcPr>
                  <w:tcW w:w="686" w:type="dxa"/>
                  <w:tcBorders>
                    <w:top w:val="single" w:sz="4" w:space="0" w:color="000000"/>
                    <w:left w:val="nil"/>
                    <w:bottom w:val="single" w:sz="4" w:space="0" w:color="000000"/>
                    <w:right w:val="nil"/>
                  </w:tcBorders>
                </w:tcPr>
                <w:p w14:paraId="7C4D3CAF" w14:textId="77777777" w:rsidR="00E02F30" w:rsidRPr="00E02F30" w:rsidRDefault="00E02F30" w:rsidP="00E02F30">
                  <w:pPr>
                    <w:rPr>
                      <w:rFonts w:cs="Arial"/>
                      <w:sz w:val="20"/>
                      <w:szCs w:val="20"/>
                    </w:rPr>
                  </w:pPr>
                </w:p>
              </w:tc>
              <w:tc>
                <w:tcPr>
                  <w:tcW w:w="1587" w:type="dxa"/>
                  <w:tcBorders>
                    <w:top w:val="single" w:sz="4" w:space="0" w:color="000000"/>
                    <w:left w:val="nil"/>
                    <w:bottom w:val="single" w:sz="4" w:space="0" w:color="000000"/>
                    <w:right w:val="single" w:sz="4" w:space="0" w:color="000000"/>
                  </w:tcBorders>
                </w:tcPr>
                <w:p w14:paraId="3A1DFE49" w14:textId="77777777" w:rsidR="00E02F30" w:rsidRPr="00E02F30" w:rsidRDefault="00E02F30" w:rsidP="00E02F30">
                  <w:pPr>
                    <w:ind w:left="415"/>
                    <w:rPr>
                      <w:rFonts w:cs="Arial"/>
                      <w:sz w:val="20"/>
                      <w:szCs w:val="20"/>
                    </w:rPr>
                  </w:pPr>
                  <w:r w:rsidRPr="00E02F30">
                    <w:rPr>
                      <w:rFonts w:cs="Arial"/>
                      <w:sz w:val="20"/>
                      <w:szCs w:val="20"/>
                    </w:rPr>
                    <w:t>Technika</w:t>
                  </w:r>
                </w:p>
              </w:tc>
              <w:tc>
                <w:tcPr>
                  <w:tcW w:w="7708" w:type="dxa"/>
                  <w:tcBorders>
                    <w:top w:val="single" w:sz="4" w:space="0" w:color="000000"/>
                    <w:left w:val="single" w:sz="4" w:space="0" w:color="000000"/>
                    <w:bottom w:val="single" w:sz="4" w:space="0" w:color="000000"/>
                    <w:right w:val="nil"/>
                  </w:tcBorders>
                </w:tcPr>
                <w:p w14:paraId="2BB101F9" w14:textId="77777777" w:rsidR="00E02F30" w:rsidRPr="00E02F30" w:rsidRDefault="00E02F30" w:rsidP="00E02F30">
                  <w:pPr>
                    <w:ind w:left="168"/>
                    <w:jc w:val="center"/>
                    <w:rPr>
                      <w:rFonts w:cs="Arial"/>
                      <w:sz w:val="20"/>
                      <w:szCs w:val="20"/>
                    </w:rPr>
                  </w:pPr>
                  <w:r w:rsidRPr="00E02F30">
                    <w:rPr>
                      <w:rFonts w:cs="Arial"/>
                      <w:sz w:val="20"/>
                      <w:szCs w:val="20"/>
                    </w:rPr>
                    <w:t>Stosowanie</w:t>
                  </w:r>
                </w:p>
              </w:tc>
            </w:tr>
            <w:tr w:rsidR="00E02F30" w:rsidRPr="00E02F30" w14:paraId="06217C25" w14:textId="77777777" w:rsidTr="00A1631B">
              <w:trPr>
                <w:trHeight w:val="359"/>
              </w:trPr>
              <w:tc>
                <w:tcPr>
                  <w:tcW w:w="686" w:type="dxa"/>
                  <w:tcBorders>
                    <w:top w:val="single" w:sz="4" w:space="0" w:color="000000"/>
                    <w:left w:val="nil"/>
                    <w:bottom w:val="single" w:sz="4" w:space="0" w:color="000000"/>
                    <w:right w:val="single" w:sz="4" w:space="0" w:color="000000"/>
                  </w:tcBorders>
                </w:tcPr>
                <w:p w14:paraId="28C2E61A" w14:textId="77777777" w:rsidR="00E02F30" w:rsidRPr="00E02F30" w:rsidRDefault="00E02F30" w:rsidP="00E02F30">
                  <w:pPr>
                    <w:rPr>
                      <w:rFonts w:cs="Arial"/>
                      <w:sz w:val="20"/>
                      <w:szCs w:val="20"/>
                    </w:rPr>
                  </w:pPr>
                  <w:r w:rsidRPr="00E02F30">
                    <w:rPr>
                      <w:rFonts w:cs="Arial"/>
                      <w:sz w:val="20"/>
                      <w:szCs w:val="20"/>
                    </w:rPr>
                    <w:t>a)</w:t>
                  </w:r>
                </w:p>
              </w:tc>
              <w:tc>
                <w:tcPr>
                  <w:tcW w:w="1587" w:type="dxa"/>
                  <w:tcBorders>
                    <w:top w:val="single" w:sz="4" w:space="0" w:color="000000"/>
                    <w:left w:val="single" w:sz="4" w:space="0" w:color="000000"/>
                    <w:bottom w:val="single" w:sz="4" w:space="0" w:color="000000"/>
                    <w:right w:val="single" w:sz="4" w:space="0" w:color="000000"/>
                  </w:tcBorders>
                </w:tcPr>
                <w:p w14:paraId="58024677" w14:textId="77777777" w:rsidR="00E02F30" w:rsidRPr="00E02F30" w:rsidRDefault="00E02F30" w:rsidP="00E02F30">
                  <w:pPr>
                    <w:ind w:left="112"/>
                    <w:rPr>
                      <w:rFonts w:cs="Arial"/>
                      <w:sz w:val="20"/>
                      <w:szCs w:val="20"/>
                    </w:rPr>
                  </w:pPr>
                  <w:r w:rsidRPr="00E02F30">
                    <w:rPr>
                      <w:rFonts w:cs="Arial"/>
                      <w:sz w:val="20"/>
                      <w:szCs w:val="20"/>
                    </w:rPr>
                    <w:t>Adsorpcja</w:t>
                  </w:r>
                </w:p>
              </w:tc>
              <w:tc>
                <w:tcPr>
                  <w:tcW w:w="7708" w:type="dxa"/>
                  <w:tcBorders>
                    <w:top w:val="single" w:sz="4" w:space="0" w:color="000000"/>
                    <w:left w:val="single" w:sz="4" w:space="0" w:color="000000"/>
                    <w:bottom w:val="single" w:sz="4" w:space="0" w:color="000000"/>
                    <w:right w:val="nil"/>
                  </w:tcBorders>
                </w:tcPr>
                <w:p w14:paraId="6A5626F5" w14:textId="77777777" w:rsidR="00E02F30" w:rsidRPr="00E02F30" w:rsidRDefault="00E02F30" w:rsidP="00E02F30">
                  <w:pPr>
                    <w:ind w:left="112"/>
                    <w:rPr>
                      <w:rFonts w:cs="Arial"/>
                      <w:sz w:val="20"/>
                      <w:szCs w:val="20"/>
                    </w:rPr>
                  </w:pPr>
                  <w:r w:rsidRPr="00E02F30">
                    <w:rPr>
                      <w:rFonts w:cs="Arial"/>
                      <w:sz w:val="20"/>
                      <w:szCs w:val="20"/>
                    </w:rPr>
                    <w:t>Zastosowanie ogólne</w:t>
                  </w:r>
                </w:p>
              </w:tc>
            </w:tr>
            <w:tr w:rsidR="00E02F30" w:rsidRPr="00E02F30" w14:paraId="35649652" w14:textId="77777777" w:rsidTr="00A1631B">
              <w:trPr>
                <w:trHeight w:val="359"/>
              </w:trPr>
              <w:tc>
                <w:tcPr>
                  <w:tcW w:w="686" w:type="dxa"/>
                  <w:tcBorders>
                    <w:top w:val="single" w:sz="4" w:space="0" w:color="000000"/>
                    <w:left w:val="nil"/>
                    <w:bottom w:val="single" w:sz="4" w:space="0" w:color="000000"/>
                    <w:right w:val="single" w:sz="4" w:space="0" w:color="000000"/>
                  </w:tcBorders>
                </w:tcPr>
                <w:p w14:paraId="4DA44393" w14:textId="77777777" w:rsidR="00E02F30" w:rsidRPr="00E02F30" w:rsidRDefault="00E02F30" w:rsidP="00E02F30">
                  <w:pPr>
                    <w:rPr>
                      <w:rFonts w:cs="Arial"/>
                      <w:sz w:val="20"/>
                      <w:szCs w:val="20"/>
                    </w:rPr>
                  </w:pPr>
                  <w:r w:rsidRPr="00E02F30">
                    <w:rPr>
                      <w:rFonts w:cs="Arial"/>
                      <w:sz w:val="20"/>
                      <w:szCs w:val="20"/>
                    </w:rPr>
                    <w:t>b)</w:t>
                  </w:r>
                </w:p>
              </w:tc>
              <w:tc>
                <w:tcPr>
                  <w:tcW w:w="1587" w:type="dxa"/>
                  <w:tcBorders>
                    <w:top w:val="single" w:sz="4" w:space="0" w:color="000000"/>
                    <w:left w:val="single" w:sz="4" w:space="0" w:color="000000"/>
                    <w:bottom w:val="single" w:sz="4" w:space="0" w:color="000000"/>
                    <w:right w:val="single" w:sz="4" w:space="0" w:color="000000"/>
                  </w:tcBorders>
                </w:tcPr>
                <w:p w14:paraId="31C137B8" w14:textId="77777777" w:rsidR="00E02F30" w:rsidRPr="00E02F30" w:rsidRDefault="00E02F30" w:rsidP="00E02F30">
                  <w:pPr>
                    <w:ind w:left="112"/>
                    <w:rPr>
                      <w:rFonts w:cs="Arial"/>
                      <w:sz w:val="20"/>
                      <w:szCs w:val="20"/>
                    </w:rPr>
                  </w:pPr>
                  <w:r w:rsidRPr="00E02F30">
                    <w:rPr>
                      <w:rFonts w:cs="Arial"/>
                      <w:sz w:val="20"/>
                      <w:szCs w:val="20"/>
                    </w:rPr>
                    <w:t>Absorpcja</w:t>
                  </w:r>
                </w:p>
              </w:tc>
              <w:tc>
                <w:tcPr>
                  <w:tcW w:w="7708" w:type="dxa"/>
                  <w:tcBorders>
                    <w:top w:val="single" w:sz="4" w:space="0" w:color="000000"/>
                    <w:left w:val="single" w:sz="4" w:space="0" w:color="000000"/>
                    <w:bottom w:val="single" w:sz="4" w:space="0" w:color="000000"/>
                    <w:right w:val="nil"/>
                  </w:tcBorders>
                </w:tcPr>
                <w:p w14:paraId="5C835519" w14:textId="77777777" w:rsidR="00E02F30" w:rsidRPr="00E02F30" w:rsidRDefault="00E02F30" w:rsidP="00E02F30">
                  <w:pPr>
                    <w:ind w:left="112"/>
                    <w:rPr>
                      <w:rFonts w:cs="Arial"/>
                      <w:sz w:val="20"/>
                      <w:szCs w:val="20"/>
                    </w:rPr>
                  </w:pPr>
                  <w:r w:rsidRPr="00E02F30">
                    <w:rPr>
                      <w:rFonts w:cs="Arial"/>
                      <w:sz w:val="20"/>
                      <w:szCs w:val="20"/>
                    </w:rPr>
                    <w:t>Zastosowanie ogólne</w:t>
                  </w:r>
                </w:p>
              </w:tc>
            </w:tr>
            <w:tr w:rsidR="00E02F30" w:rsidRPr="00E02F30" w14:paraId="4808A538" w14:textId="77777777" w:rsidTr="00A1631B">
              <w:trPr>
                <w:trHeight w:val="785"/>
              </w:trPr>
              <w:tc>
                <w:tcPr>
                  <w:tcW w:w="686" w:type="dxa"/>
                  <w:tcBorders>
                    <w:top w:val="single" w:sz="4" w:space="0" w:color="000000"/>
                    <w:left w:val="nil"/>
                    <w:bottom w:val="single" w:sz="4" w:space="0" w:color="000000"/>
                    <w:right w:val="single" w:sz="4" w:space="0" w:color="000000"/>
                  </w:tcBorders>
                  <w:vAlign w:val="center"/>
                </w:tcPr>
                <w:p w14:paraId="6EE79364" w14:textId="77777777" w:rsidR="00E02F30" w:rsidRPr="00E02F30" w:rsidRDefault="00E02F30" w:rsidP="00E02F30">
                  <w:pPr>
                    <w:rPr>
                      <w:rFonts w:cs="Arial"/>
                      <w:sz w:val="20"/>
                      <w:szCs w:val="20"/>
                    </w:rPr>
                  </w:pPr>
                  <w:r w:rsidRPr="00E02F30">
                    <w:rPr>
                      <w:rFonts w:cs="Arial"/>
                      <w:sz w:val="20"/>
                      <w:szCs w:val="20"/>
                    </w:rPr>
                    <w:t>c)</w:t>
                  </w:r>
                </w:p>
              </w:tc>
              <w:tc>
                <w:tcPr>
                  <w:tcW w:w="1587" w:type="dxa"/>
                  <w:tcBorders>
                    <w:top w:val="single" w:sz="4" w:space="0" w:color="000000"/>
                    <w:left w:val="single" w:sz="4" w:space="0" w:color="000000"/>
                    <w:bottom w:val="single" w:sz="4" w:space="0" w:color="000000"/>
                    <w:right w:val="single" w:sz="4" w:space="0" w:color="000000"/>
                  </w:tcBorders>
                  <w:vAlign w:val="center"/>
                </w:tcPr>
                <w:p w14:paraId="450E47BB" w14:textId="77777777" w:rsidR="00E02F30" w:rsidRPr="00E02F30" w:rsidRDefault="00E02F30" w:rsidP="00E02F30">
                  <w:pPr>
                    <w:ind w:left="112"/>
                    <w:rPr>
                      <w:rFonts w:cs="Arial"/>
                      <w:sz w:val="20"/>
                      <w:szCs w:val="20"/>
                    </w:rPr>
                  </w:pPr>
                  <w:r w:rsidRPr="00E02F30">
                    <w:rPr>
                      <w:rFonts w:cs="Arial"/>
                      <w:sz w:val="20"/>
                      <w:szCs w:val="20"/>
                    </w:rPr>
                    <w:t>Utlenianie katalityczne</w:t>
                  </w:r>
                </w:p>
              </w:tc>
              <w:tc>
                <w:tcPr>
                  <w:tcW w:w="7708" w:type="dxa"/>
                  <w:tcBorders>
                    <w:top w:val="single" w:sz="4" w:space="0" w:color="000000"/>
                    <w:left w:val="single" w:sz="4" w:space="0" w:color="000000"/>
                    <w:bottom w:val="single" w:sz="4" w:space="0" w:color="000000"/>
                    <w:right w:val="nil"/>
                  </w:tcBorders>
                </w:tcPr>
                <w:p w14:paraId="4FE2BA0F" w14:textId="77777777" w:rsidR="00E02F30" w:rsidRPr="00E02F30" w:rsidRDefault="00E02F30" w:rsidP="00E02F30">
                  <w:pPr>
                    <w:ind w:left="112"/>
                    <w:rPr>
                      <w:rFonts w:cs="Arial"/>
                      <w:sz w:val="20"/>
                      <w:szCs w:val="20"/>
                    </w:rPr>
                  </w:pPr>
                  <w:r w:rsidRPr="00E02F30">
                    <w:rPr>
                      <w:rFonts w:cs="Arial"/>
                      <w:sz w:val="20"/>
                      <w:szCs w:val="20"/>
                    </w:rPr>
                    <w:t>Zastosowanie tej techniki może być ograniczone ze względu na występowanie trucizn katalizatora w gazach odlotowych.</w:t>
                  </w:r>
                </w:p>
              </w:tc>
            </w:tr>
            <w:tr w:rsidR="00E02F30" w:rsidRPr="00E02F30" w14:paraId="51AEC739" w14:textId="77777777" w:rsidTr="00A1631B">
              <w:trPr>
                <w:trHeight w:val="359"/>
              </w:trPr>
              <w:tc>
                <w:tcPr>
                  <w:tcW w:w="686" w:type="dxa"/>
                  <w:tcBorders>
                    <w:top w:val="single" w:sz="4" w:space="0" w:color="000000"/>
                    <w:left w:val="nil"/>
                    <w:bottom w:val="single" w:sz="4" w:space="0" w:color="000000"/>
                    <w:right w:val="single" w:sz="4" w:space="0" w:color="000000"/>
                  </w:tcBorders>
                </w:tcPr>
                <w:p w14:paraId="0EB73209" w14:textId="77777777" w:rsidR="00E02F30" w:rsidRPr="00E02F30" w:rsidRDefault="00E02F30" w:rsidP="00E02F30">
                  <w:pPr>
                    <w:rPr>
                      <w:rFonts w:cs="Arial"/>
                      <w:sz w:val="20"/>
                      <w:szCs w:val="20"/>
                    </w:rPr>
                  </w:pPr>
                  <w:r w:rsidRPr="00E02F30">
                    <w:rPr>
                      <w:rFonts w:cs="Arial"/>
                      <w:sz w:val="20"/>
                      <w:szCs w:val="20"/>
                    </w:rPr>
                    <w:t>d)</w:t>
                  </w:r>
                </w:p>
              </w:tc>
              <w:tc>
                <w:tcPr>
                  <w:tcW w:w="1587" w:type="dxa"/>
                  <w:tcBorders>
                    <w:top w:val="single" w:sz="4" w:space="0" w:color="000000"/>
                    <w:left w:val="single" w:sz="4" w:space="0" w:color="000000"/>
                    <w:bottom w:val="single" w:sz="4" w:space="0" w:color="000000"/>
                    <w:right w:val="single" w:sz="4" w:space="0" w:color="000000"/>
                  </w:tcBorders>
                </w:tcPr>
                <w:p w14:paraId="25072AD5" w14:textId="77777777" w:rsidR="00E02F30" w:rsidRPr="00E02F30" w:rsidRDefault="00E02F30" w:rsidP="00E02F30">
                  <w:pPr>
                    <w:ind w:left="112"/>
                    <w:rPr>
                      <w:rFonts w:cs="Arial"/>
                      <w:sz w:val="20"/>
                      <w:szCs w:val="20"/>
                    </w:rPr>
                  </w:pPr>
                  <w:r w:rsidRPr="00E02F30">
                    <w:rPr>
                      <w:rFonts w:cs="Arial"/>
                      <w:sz w:val="20"/>
                      <w:szCs w:val="20"/>
                    </w:rPr>
                    <w:t>Kondensacja</w:t>
                  </w:r>
                </w:p>
              </w:tc>
              <w:tc>
                <w:tcPr>
                  <w:tcW w:w="7708" w:type="dxa"/>
                  <w:tcBorders>
                    <w:top w:val="single" w:sz="4" w:space="0" w:color="000000"/>
                    <w:left w:val="single" w:sz="4" w:space="0" w:color="000000"/>
                    <w:bottom w:val="single" w:sz="4" w:space="0" w:color="000000"/>
                    <w:right w:val="nil"/>
                  </w:tcBorders>
                </w:tcPr>
                <w:p w14:paraId="1F0303A0" w14:textId="77777777" w:rsidR="00E02F30" w:rsidRPr="00E02F30" w:rsidRDefault="00E02F30" w:rsidP="00E02F30">
                  <w:pPr>
                    <w:ind w:left="112"/>
                    <w:rPr>
                      <w:rFonts w:cs="Arial"/>
                      <w:sz w:val="20"/>
                      <w:szCs w:val="20"/>
                    </w:rPr>
                  </w:pPr>
                  <w:r w:rsidRPr="00E02F30">
                    <w:rPr>
                      <w:rFonts w:cs="Arial"/>
                      <w:sz w:val="20"/>
                      <w:szCs w:val="20"/>
                    </w:rPr>
                    <w:t>Zastosowanie ogólne</w:t>
                  </w:r>
                </w:p>
              </w:tc>
            </w:tr>
            <w:tr w:rsidR="00E02F30" w:rsidRPr="00E02F30" w14:paraId="7530354C" w14:textId="77777777" w:rsidTr="00A1631B">
              <w:trPr>
                <w:trHeight w:val="1820"/>
              </w:trPr>
              <w:tc>
                <w:tcPr>
                  <w:tcW w:w="686" w:type="dxa"/>
                  <w:tcBorders>
                    <w:top w:val="single" w:sz="4" w:space="0" w:color="000000"/>
                    <w:left w:val="nil"/>
                    <w:bottom w:val="single" w:sz="4" w:space="0" w:color="000000"/>
                    <w:right w:val="single" w:sz="4" w:space="0" w:color="000000"/>
                  </w:tcBorders>
                  <w:vAlign w:val="center"/>
                </w:tcPr>
                <w:p w14:paraId="391DB517" w14:textId="77777777" w:rsidR="00E02F30" w:rsidRPr="00E02F30" w:rsidRDefault="00E02F30" w:rsidP="00E02F30">
                  <w:pPr>
                    <w:rPr>
                      <w:rFonts w:cs="Arial"/>
                      <w:sz w:val="20"/>
                      <w:szCs w:val="20"/>
                    </w:rPr>
                  </w:pPr>
                  <w:r w:rsidRPr="00E02F30">
                    <w:rPr>
                      <w:rFonts w:cs="Arial"/>
                      <w:sz w:val="20"/>
                      <w:szCs w:val="20"/>
                    </w:rPr>
                    <w:t>e)</w:t>
                  </w:r>
                </w:p>
              </w:tc>
              <w:tc>
                <w:tcPr>
                  <w:tcW w:w="1587" w:type="dxa"/>
                  <w:tcBorders>
                    <w:top w:val="single" w:sz="4" w:space="0" w:color="000000"/>
                    <w:left w:val="single" w:sz="4" w:space="0" w:color="000000"/>
                    <w:bottom w:val="single" w:sz="4" w:space="0" w:color="000000"/>
                    <w:right w:val="single" w:sz="4" w:space="0" w:color="000000"/>
                  </w:tcBorders>
                  <w:vAlign w:val="center"/>
                </w:tcPr>
                <w:p w14:paraId="43B915F6" w14:textId="77777777" w:rsidR="00E02F30" w:rsidRPr="00E02F30" w:rsidRDefault="00E02F30" w:rsidP="00E02F30">
                  <w:pPr>
                    <w:ind w:left="112"/>
                    <w:rPr>
                      <w:rFonts w:cs="Arial"/>
                      <w:sz w:val="20"/>
                      <w:szCs w:val="20"/>
                    </w:rPr>
                  </w:pPr>
                  <w:r w:rsidRPr="00E02F30">
                    <w:rPr>
                      <w:rFonts w:cs="Arial"/>
                      <w:sz w:val="20"/>
                      <w:szCs w:val="20"/>
                    </w:rPr>
                    <w:t>Utlenianie termiczne</w:t>
                  </w:r>
                </w:p>
              </w:tc>
              <w:tc>
                <w:tcPr>
                  <w:tcW w:w="7708" w:type="dxa"/>
                  <w:tcBorders>
                    <w:top w:val="single" w:sz="4" w:space="0" w:color="000000"/>
                    <w:left w:val="single" w:sz="4" w:space="0" w:color="000000"/>
                    <w:bottom w:val="single" w:sz="4" w:space="0" w:color="000000"/>
                    <w:right w:val="nil"/>
                  </w:tcBorders>
                </w:tcPr>
                <w:p w14:paraId="2E8C59B5" w14:textId="77777777" w:rsidR="00E02F30" w:rsidRPr="00E02F30" w:rsidRDefault="00E02F30" w:rsidP="00E02F30">
                  <w:pPr>
                    <w:spacing w:after="113" w:line="219" w:lineRule="auto"/>
                    <w:ind w:left="112"/>
                    <w:rPr>
                      <w:rFonts w:cs="Arial"/>
                      <w:sz w:val="20"/>
                      <w:szCs w:val="20"/>
                    </w:rPr>
                  </w:pPr>
                  <w:r w:rsidRPr="00E02F30">
                    <w:rPr>
                      <w:rFonts w:cs="Arial"/>
                      <w:sz w:val="20"/>
                      <w:szCs w:val="20"/>
                    </w:rPr>
                    <w:t>Zastosowanie rekuperacyjnego lub regeneracyjnego utleniania termicznego może być ograniczone w przypadku istniejących zespołów urządzeń ze względu na ograniczenia konstrukcyjne lub eksploatacyjne.</w:t>
                  </w:r>
                </w:p>
                <w:p w14:paraId="595A3857" w14:textId="77777777" w:rsidR="00E02F30" w:rsidRPr="00E02F30" w:rsidRDefault="00E02F30" w:rsidP="00E02F30">
                  <w:pPr>
                    <w:ind w:left="112" w:right="-2"/>
                    <w:jc w:val="center"/>
                    <w:rPr>
                      <w:rFonts w:cs="Arial"/>
                      <w:sz w:val="20"/>
                      <w:szCs w:val="20"/>
                    </w:rPr>
                  </w:pPr>
                  <w:r w:rsidRPr="00E02F30">
                    <w:rPr>
                      <w:rFonts w:cs="Arial"/>
                      <w:sz w:val="20"/>
                      <w:szCs w:val="20"/>
                    </w:rPr>
                    <w:t>Zastosowanie tej techniki może być ograniczone w przypadku nadmiernego zapotrzebowania na energię ze względu na niską zawartość danych związków w gazach odlotowych z procesu technologicznego.</w:t>
                  </w:r>
                </w:p>
              </w:tc>
            </w:tr>
            <w:tr w:rsidR="00E02F30" w:rsidRPr="00E02F30" w14:paraId="6C5AB882" w14:textId="77777777" w:rsidTr="00A1631B">
              <w:trPr>
                <w:trHeight w:val="785"/>
              </w:trPr>
              <w:tc>
                <w:tcPr>
                  <w:tcW w:w="686" w:type="dxa"/>
                  <w:tcBorders>
                    <w:top w:val="single" w:sz="4" w:space="0" w:color="000000"/>
                    <w:left w:val="nil"/>
                    <w:bottom w:val="single" w:sz="4" w:space="0" w:color="000000"/>
                    <w:right w:val="single" w:sz="4" w:space="0" w:color="000000"/>
                  </w:tcBorders>
                  <w:vAlign w:val="center"/>
                </w:tcPr>
                <w:p w14:paraId="5579A0B1" w14:textId="77777777" w:rsidR="00E02F30" w:rsidRPr="00E02F30" w:rsidRDefault="00E02F30" w:rsidP="00E02F30">
                  <w:pPr>
                    <w:rPr>
                      <w:rFonts w:cs="Arial"/>
                      <w:sz w:val="20"/>
                      <w:szCs w:val="20"/>
                    </w:rPr>
                  </w:pPr>
                  <w:r w:rsidRPr="00E02F30">
                    <w:rPr>
                      <w:rFonts w:cs="Arial"/>
                      <w:sz w:val="20"/>
                      <w:szCs w:val="20"/>
                    </w:rPr>
                    <w:t>f)</w:t>
                  </w:r>
                </w:p>
              </w:tc>
              <w:tc>
                <w:tcPr>
                  <w:tcW w:w="1587" w:type="dxa"/>
                  <w:tcBorders>
                    <w:top w:val="single" w:sz="4" w:space="0" w:color="000000"/>
                    <w:left w:val="single" w:sz="4" w:space="0" w:color="000000"/>
                    <w:bottom w:val="single" w:sz="4" w:space="0" w:color="000000"/>
                    <w:right w:val="single" w:sz="4" w:space="0" w:color="000000"/>
                  </w:tcBorders>
                  <w:vAlign w:val="center"/>
                </w:tcPr>
                <w:p w14:paraId="36167859" w14:textId="77777777" w:rsidR="00E02F30" w:rsidRPr="00E02F30" w:rsidRDefault="00E02F30" w:rsidP="00E02F30">
                  <w:pPr>
                    <w:ind w:left="112"/>
                    <w:rPr>
                      <w:rFonts w:cs="Arial"/>
                      <w:sz w:val="20"/>
                      <w:szCs w:val="20"/>
                    </w:rPr>
                  </w:pPr>
                  <w:proofErr w:type="spellStart"/>
                  <w:r w:rsidRPr="00E02F30">
                    <w:rPr>
                      <w:rFonts w:cs="Arial"/>
                      <w:sz w:val="20"/>
                      <w:szCs w:val="20"/>
                    </w:rPr>
                    <w:t>Bioprocesy</w:t>
                  </w:r>
                  <w:proofErr w:type="spellEnd"/>
                </w:p>
              </w:tc>
              <w:tc>
                <w:tcPr>
                  <w:tcW w:w="7708" w:type="dxa"/>
                  <w:tcBorders>
                    <w:top w:val="single" w:sz="4" w:space="0" w:color="000000"/>
                    <w:left w:val="single" w:sz="4" w:space="0" w:color="000000"/>
                    <w:bottom w:val="single" w:sz="4" w:space="0" w:color="000000"/>
                    <w:right w:val="nil"/>
                  </w:tcBorders>
                </w:tcPr>
                <w:p w14:paraId="1713C434" w14:textId="77777777" w:rsidR="00E02F30" w:rsidRPr="00E02F30" w:rsidRDefault="00E02F30" w:rsidP="00E02F30">
                  <w:pPr>
                    <w:ind w:left="112" w:right="364"/>
                    <w:rPr>
                      <w:rFonts w:cs="Arial"/>
                      <w:sz w:val="20"/>
                      <w:szCs w:val="20"/>
                    </w:rPr>
                  </w:pPr>
                  <w:r w:rsidRPr="00E02F30">
                    <w:rPr>
                      <w:rFonts w:cs="Arial"/>
                      <w:sz w:val="20"/>
                      <w:szCs w:val="20"/>
                    </w:rPr>
                    <w:t>Możliwość zastosowania wyłącznie do oczyszczania związków biodegradowalnych.</w:t>
                  </w:r>
                </w:p>
              </w:tc>
            </w:tr>
          </w:tbl>
          <w:p w14:paraId="6F654737" w14:textId="77777777" w:rsidR="00E02F30" w:rsidRPr="00E02F30" w:rsidRDefault="00E02F30" w:rsidP="00E02F30">
            <w:pPr>
              <w:spacing w:after="0" w:line="240" w:lineRule="auto"/>
              <w:rPr>
                <w:rFonts w:eastAsia="Times New Roman" w:cs="Arial"/>
                <w:bCs/>
                <w:sz w:val="20"/>
                <w:szCs w:val="20"/>
                <w:lang w:eastAsia="pl-PL"/>
              </w:rPr>
            </w:pPr>
          </w:p>
          <w:p w14:paraId="1B69E9B7"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Tabela 1.1</w:t>
            </w:r>
          </w:p>
          <w:p w14:paraId="4937D823"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Poziomy emisji powiązane z najlepszymi dostępnymi technikami (BAT-AEL) w odniesieniu do emisji zorganizowanych związków organicznych do powietrza</w:t>
            </w:r>
          </w:p>
          <w:p w14:paraId="7E6B9B91" w14:textId="77777777" w:rsidR="00E02F30" w:rsidRPr="00E02F30" w:rsidRDefault="00E02F30" w:rsidP="00E02F30">
            <w:pPr>
              <w:spacing w:after="0" w:line="240" w:lineRule="auto"/>
              <w:rPr>
                <w:rFonts w:eastAsia="Times New Roman" w:cs="Arial"/>
                <w:bCs/>
                <w:sz w:val="20"/>
                <w:szCs w:val="20"/>
                <w:lang w:eastAsia="pl-PL"/>
              </w:rPr>
            </w:pPr>
          </w:p>
          <w:tbl>
            <w:tblPr>
              <w:tblStyle w:val="TableGrid"/>
              <w:tblW w:w="4500" w:type="pct"/>
              <w:tblInd w:w="1020" w:type="dxa"/>
              <w:tblLayout w:type="fixed"/>
              <w:tblCellMar>
                <w:top w:w="107" w:type="dxa"/>
              </w:tblCellMar>
              <w:tblLook w:val="04A0" w:firstRow="1" w:lastRow="0" w:firstColumn="1" w:lastColumn="0" w:noHBand="0" w:noVBand="1"/>
            </w:tblPr>
            <w:tblGrid>
              <w:gridCol w:w="2578"/>
              <w:gridCol w:w="2313"/>
              <w:gridCol w:w="2242"/>
              <w:gridCol w:w="2241"/>
            </w:tblGrid>
            <w:tr w:rsidR="00E02F30" w:rsidRPr="00E02F30" w14:paraId="3574675A" w14:textId="77777777" w:rsidTr="00A1631B">
              <w:trPr>
                <w:trHeight w:val="727"/>
              </w:trPr>
              <w:tc>
                <w:tcPr>
                  <w:tcW w:w="3449" w:type="dxa"/>
                  <w:tcBorders>
                    <w:top w:val="single" w:sz="4" w:space="0" w:color="000000"/>
                    <w:left w:val="nil"/>
                    <w:bottom w:val="single" w:sz="4" w:space="0" w:color="000000"/>
                    <w:right w:val="single" w:sz="4" w:space="0" w:color="000000"/>
                  </w:tcBorders>
                  <w:shd w:val="clear" w:color="auto" w:fill="auto"/>
                  <w:vAlign w:val="center"/>
                </w:tcPr>
                <w:p w14:paraId="013BF640" w14:textId="77777777" w:rsidR="00E02F30" w:rsidRPr="00E02F30" w:rsidRDefault="00E02F30" w:rsidP="00E02F30">
                  <w:pPr>
                    <w:ind w:right="114"/>
                    <w:jc w:val="center"/>
                    <w:rPr>
                      <w:rFonts w:cs="Arial"/>
                      <w:sz w:val="20"/>
                      <w:szCs w:val="20"/>
                    </w:rPr>
                  </w:pPr>
                  <w:r w:rsidRPr="00E02F30">
                    <w:rPr>
                      <w:rFonts w:cs="Arial"/>
                      <w:sz w:val="20"/>
                      <w:szCs w:val="20"/>
                    </w:rPr>
                    <w:t>Substancja/parametr</w:t>
                  </w:r>
                </w:p>
              </w:tc>
              <w:tc>
                <w:tcPr>
                  <w:tcW w:w="3092" w:type="dxa"/>
                  <w:tcBorders>
                    <w:top w:val="single" w:sz="4" w:space="0" w:color="000000"/>
                    <w:left w:val="single" w:sz="4" w:space="0" w:color="000000"/>
                    <w:bottom w:val="single" w:sz="4" w:space="0" w:color="000000"/>
                    <w:right w:val="nil"/>
                  </w:tcBorders>
                  <w:shd w:val="clear" w:color="auto" w:fill="auto"/>
                </w:tcPr>
                <w:p w14:paraId="7462B05E" w14:textId="77777777" w:rsidR="00E02F30" w:rsidRPr="00E02F30" w:rsidRDefault="00E02F30" w:rsidP="00E02F30">
                  <w:pPr>
                    <w:ind w:left="112"/>
                    <w:jc w:val="center"/>
                    <w:rPr>
                      <w:rFonts w:cs="Arial"/>
                      <w:sz w:val="20"/>
                      <w:szCs w:val="20"/>
                    </w:rPr>
                  </w:pPr>
                  <w:r w:rsidRPr="00E02F30">
                    <w:rPr>
                      <w:rFonts w:cs="Arial"/>
                      <w:sz w:val="20"/>
                      <w:szCs w:val="20"/>
                    </w:rPr>
                    <w:t>BAT-AEL (mg/Nm</w:t>
                  </w:r>
                  <w:r w:rsidRPr="00E02F30">
                    <w:rPr>
                      <w:rFonts w:cs="Arial"/>
                      <w:sz w:val="20"/>
                      <w:szCs w:val="20"/>
                      <w:vertAlign w:val="superscript"/>
                    </w:rPr>
                    <w:t>3</w:t>
                  </w:r>
                  <w:r w:rsidRPr="00E02F30">
                    <w:rPr>
                      <w:rFonts w:cs="Arial"/>
                      <w:sz w:val="20"/>
                      <w:szCs w:val="20"/>
                    </w:rPr>
                    <w:t>)</w:t>
                  </w:r>
                </w:p>
                <w:p w14:paraId="0914EC0E" w14:textId="77777777" w:rsidR="00E02F30" w:rsidRPr="00E02F30" w:rsidRDefault="00E02F30" w:rsidP="00E02F30">
                  <w:pPr>
                    <w:ind w:left="112"/>
                    <w:rPr>
                      <w:rFonts w:cs="Arial"/>
                      <w:sz w:val="20"/>
                      <w:szCs w:val="20"/>
                    </w:rPr>
                  </w:pPr>
                  <w:r w:rsidRPr="00E02F30">
                    <w:rPr>
                      <w:rFonts w:cs="Arial"/>
                      <w:sz w:val="20"/>
                      <w:szCs w:val="20"/>
                    </w:rPr>
                    <w:t xml:space="preserve">(Średnia dobowa lub średnia z okresu pobierania próbek)  </w:t>
                  </w:r>
                  <w:r w:rsidRPr="00E02F30">
                    <w:rPr>
                      <w:rFonts w:cs="Arial"/>
                      <w:sz w:val="20"/>
                      <w:szCs w:val="20"/>
                      <w:vertAlign w:val="superscript"/>
                    </w:rPr>
                    <w:t>(1)</w:t>
                  </w:r>
                </w:p>
              </w:tc>
              <w:tc>
                <w:tcPr>
                  <w:tcW w:w="2996" w:type="dxa"/>
                  <w:tcBorders>
                    <w:top w:val="single" w:sz="4" w:space="0" w:color="000000"/>
                    <w:left w:val="single" w:sz="4" w:space="0" w:color="000000"/>
                    <w:bottom w:val="single" w:sz="4" w:space="0" w:color="000000"/>
                    <w:right w:val="nil"/>
                  </w:tcBorders>
                  <w:shd w:val="clear" w:color="auto" w:fill="auto"/>
                  <w:vAlign w:val="center"/>
                </w:tcPr>
                <w:p w14:paraId="02B0954E" w14:textId="77777777" w:rsidR="00E02F30" w:rsidRPr="00E02F30" w:rsidRDefault="00E02F30" w:rsidP="00E02F30">
                  <w:pPr>
                    <w:ind w:left="112"/>
                    <w:jc w:val="center"/>
                    <w:rPr>
                      <w:rFonts w:cs="Arial"/>
                      <w:sz w:val="20"/>
                      <w:szCs w:val="20"/>
                    </w:rPr>
                  </w:pPr>
                  <w:r w:rsidRPr="00E02F30">
                    <w:rPr>
                      <w:rFonts w:cs="Arial"/>
                      <w:sz w:val="20"/>
                      <w:szCs w:val="20"/>
                    </w:rPr>
                    <w:t>Dotyczy emitora</w:t>
                  </w:r>
                </w:p>
              </w:tc>
              <w:tc>
                <w:tcPr>
                  <w:tcW w:w="2996" w:type="dxa"/>
                  <w:tcBorders>
                    <w:top w:val="single" w:sz="4" w:space="0" w:color="000000"/>
                    <w:left w:val="single" w:sz="4" w:space="0" w:color="000000"/>
                    <w:bottom w:val="single" w:sz="4" w:space="0" w:color="000000"/>
                    <w:right w:val="nil"/>
                  </w:tcBorders>
                  <w:shd w:val="clear" w:color="auto" w:fill="auto"/>
                  <w:vAlign w:val="center"/>
                </w:tcPr>
                <w:p w14:paraId="4B5C7800" w14:textId="77777777" w:rsidR="00E02F30" w:rsidRPr="00E02F30" w:rsidRDefault="00E02F30" w:rsidP="00E02F30">
                  <w:pPr>
                    <w:ind w:left="112"/>
                    <w:jc w:val="center"/>
                    <w:rPr>
                      <w:rFonts w:cs="Arial"/>
                      <w:sz w:val="20"/>
                      <w:szCs w:val="20"/>
                    </w:rPr>
                  </w:pPr>
                  <w:r w:rsidRPr="00E02F30">
                    <w:rPr>
                      <w:rFonts w:cs="Arial"/>
                      <w:sz w:val="20"/>
                      <w:szCs w:val="20"/>
                    </w:rPr>
                    <w:t>Obowiązywanie BAT-AEL</w:t>
                  </w:r>
                </w:p>
              </w:tc>
            </w:tr>
            <w:tr w:rsidR="00E02F30" w:rsidRPr="00E02F30" w14:paraId="7CACFCE4" w14:textId="77777777" w:rsidTr="00A1631B">
              <w:trPr>
                <w:trHeight w:val="359"/>
              </w:trPr>
              <w:tc>
                <w:tcPr>
                  <w:tcW w:w="3449" w:type="dxa"/>
                  <w:tcBorders>
                    <w:top w:val="single" w:sz="4" w:space="0" w:color="000000"/>
                    <w:left w:val="nil"/>
                    <w:bottom w:val="single" w:sz="4" w:space="0" w:color="000000"/>
                    <w:right w:val="single" w:sz="4" w:space="0" w:color="000000"/>
                  </w:tcBorders>
                  <w:shd w:val="clear" w:color="auto" w:fill="auto"/>
                  <w:vAlign w:val="center"/>
                </w:tcPr>
                <w:p w14:paraId="4DADBFE3" w14:textId="77777777" w:rsidR="00E02F30" w:rsidRPr="00E02F30" w:rsidRDefault="00E02F30" w:rsidP="00E02F30">
                  <w:pPr>
                    <w:rPr>
                      <w:rFonts w:cs="Arial"/>
                      <w:sz w:val="20"/>
                      <w:szCs w:val="20"/>
                    </w:rPr>
                  </w:pPr>
                  <w:r w:rsidRPr="00E02F30">
                    <w:rPr>
                      <w:rFonts w:cs="Arial"/>
                      <w:sz w:val="20"/>
                      <w:szCs w:val="20"/>
                    </w:rPr>
                    <w:t>Całkowity lotny węgiel organiczny (TVOC)</w:t>
                  </w:r>
                </w:p>
              </w:tc>
              <w:tc>
                <w:tcPr>
                  <w:tcW w:w="3092" w:type="dxa"/>
                  <w:tcBorders>
                    <w:top w:val="single" w:sz="4" w:space="0" w:color="000000"/>
                    <w:left w:val="single" w:sz="4" w:space="0" w:color="000000"/>
                    <w:bottom w:val="single" w:sz="4" w:space="0" w:color="000000"/>
                    <w:right w:val="nil"/>
                  </w:tcBorders>
                  <w:shd w:val="clear" w:color="auto" w:fill="auto"/>
                  <w:vAlign w:val="center"/>
                </w:tcPr>
                <w:p w14:paraId="1DA7394A" w14:textId="77777777" w:rsidR="00E02F30" w:rsidRPr="00E02F30" w:rsidRDefault="00E02F30" w:rsidP="00E02F30">
                  <w:pPr>
                    <w:ind w:left="111"/>
                    <w:jc w:val="center"/>
                    <w:rPr>
                      <w:rFonts w:cs="Arial"/>
                      <w:sz w:val="20"/>
                      <w:szCs w:val="20"/>
                    </w:rPr>
                  </w:pPr>
                  <w:r w:rsidRPr="00E02F30">
                    <w:rPr>
                      <w:rFonts w:cs="Arial"/>
                      <w:sz w:val="20"/>
                      <w:szCs w:val="20"/>
                    </w:rPr>
                    <w:t>&lt; 1–20 (</w:t>
                  </w:r>
                  <w:r w:rsidRPr="00E02F30">
                    <w:rPr>
                      <w:rFonts w:cs="Arial"/>
                      <w:sz w:val="20"/>
                      <w:szCs w:val="20"/>
                      <w:vertAlign w:val="superscript"/>
                    </w:rPr>
                    <w:t>2</w:t>
                  </w:r>
                  <w:r w:rsidRPr="00E02F30">
                    <w:rPr>
                      <w:rFonts w:cs="Arial"/>
                      <w:sz w:val="20"/>
                      <w:szCs w:val="20"/>
                    </w:rPr>
                    <w:t>) (</w:t>
                  </w:r>
                  <w:r w:rsidRPr="00E02F30">
                    <w:rPr>
                      <w:rFonts w:cs="Arial"/>
                      <w:sz w:val="20"/>
                      <w:szCs w:val="20"/>
                      <w:vertAlign w:val="superscript"/>
                    </w:rPr>
                    <w:t>3</w:t>
                  </w:r>
                  <w:r w:rsidRPr="00E02F30">
                    <w:rPr>
                      <w:rFonts w:cs="Arial"/>
                      <w:sz w:val="20"/>
                      <w:szCs w:val="20"/>
                    </w:rPr>
                    <w:t>) (</w:t>
                  </w:r>
                  <w:r w:rsidRPr="00E02F30">
                    <w:rPr>
                      <w:rFonts w:cs="Arial"/>
                      <w:sz w:val="20"/>
                      <w:szCs w:val="20"/>
                      <w:vertAlign w:val="superscript"/>
                    </w:rPr>
                    <w:t>4</w:t>
                  </w:r>
                  <w:r w:rsidRPr="00E02F30">
                    <w:rPr>
                      <w:rFonts w:cs="Arial"/>
                      <w:sz w:val="20"/>
                      <w:szCs w:val="20"/>
                    </w:rPr>
                    <w:t>) (</w:t>
                  </w:r>
                  <w:r w:rsidRPr="00E02F30">
                    <w:rPr>
                      <w:rFonts w:cs="Arial"/>
                      <w:sz w:val="20"/>
                      <w:szCs w:val="20"/>
                      <w:vertAlign w:val="superscript"/>
                    </w:rPr>
                    <w:t>5</w:t>
                  </w:r>
                  <w:r w:rsidRPr="00E02F30">
                    <w:rPr>
                      <w:rFonts w:cs="Arial"/>
                      <w:sz w:val="20"/>
                      <w:szCs w:val="20"/>
                    </w:rPr>
                    <w:t>)</w:t>
                  </w:r>
                </w:p>
              </w:tc>
              <w:tc>
                <w:tcPr>
                  <w:tcW w:w="2996" w:type="dxa"/>
                  <w:tcBorders>
                    <w:top w:val="single" w:sz="4" w:space="0" w:color="000000"/>
                    <w:left w:val="single" w:sz="4" w:space="0" w:color="000000"/>
                    <w:bottom w:val="single" w:sz="4" w:space="0" w:color="000000"/>
                    <w:right w:val="nil"/>
                  </w:tcBorders>
                  <w:shd w:val="clear" w:color="auto" w:fill="auto"/>
                  <w:vAlign w:val="center"/>
                </w:tcPr>
                <w:p w14:paraId="334D8CD9" w14:textId="77777777" w:rsidR="00E02F30" w:rsidRPr="00E02F30" w:rsidRDefault="00E02F30" w:rsidP="00E02F30">
                  <w:pPr>
                    <w:ind w:left="111"/>
                    <w:jc w:val="center"/>
                    <w:rPr>
                      <w:rFonts w:cs="Arial"/>
                      <w:sz w:val="20"/>
                      <w:szCs w:val="20"/>
                    </w:rPr>
                  </w:pPr>
                  <w:r w:rsidRPr="00E02F30">
                    <w:rPr>
                      <w:rFonts w:cs="Arial"/>
                      <w:sz w:val="20"/>
                      <w:szCs w:val="20"/>
                    </w:rPr>
                    <w:t>E-1/Z, E-2/Z, E-3/Z,</w:t>
                  </w:r>
                  <w:r w:rsidRPr="00E02F30">
                    <w:rPr>
                      <w:rFonts w:cs="Arial"/>
                      <w:sz w:val="20"/>
                      <w:szCs w:val="20"/>
                    </w:rPr>
                    <w:br/>
                    <w:t xml:space="preserve">E-4/Z, E-5/Z, E-6/Z, </w:t>
                  </w:r>
                  <w:r w:rsidRPr="00E02F30">
                    <w:rPr>
                      <w:rFonts w:cs="Arial"/>
                      <w:sz w:val="20"/>
                      <w:szCs w:val="20"/>
                    </w:rPr>
                    <w:br/>
                    <w:t>E-7/Z, E-8/Z, E-9/Z.</w:t>
                  </w:r>
                </w:p>
              </w:tc>
              <w:tc>
                <w:tcPr>
                  <w:tcW w:w="2996" w:type="dxa"/>
                  <w:tcBorders>
                    <w:top w:val="single" w:sz="4" w:space="0" w:color="000000"/>
                    <w:left w:val="single" w:sz="4" w:space="0" w:color="000000"/>
                    <w:bottom w:val="single" w:sz="4" w:space="0" w:color="000000"/>
                    <w:right w:val="nil"/>
                  </w:tcBorders>
                  <w:shd w:val="clear" w:color="auto" w:fill="auto"/>
                  <w:vAlign w:val="center"/>
                </w:tcPr>
                <w:p w14:paraId="412126D1" w14:textId="77777777" w:rsidR="00E02F30" w:rsidRPr="00E02F30" w:rsidRDefault="00E02F30" w:rsidP="00E02F30">
                  <w:pPr>
                    <w:ind w:left="111"/>
                    <w:jc w:val="center"/>
                    <w:rPr>
                      <w:rFonts w:cs="Arial"/>
                      <w:b/>
                      <w:bCs/>
                      <w:sz w:val="20"/>
                      <w:szCs w:val="20"/>
                    </w:rPr>
                  </w:pPr>
                  <w:r w:rsidRPr="00E02F30">
                    <w:rPr>
                      <w:rFonts w:cs="Arial"/>
                      <w:b/>
                      <w:bCs/>
                      <w:sz w:val="20"/>
                      <w:szCs w:val="20"/>
                    </w:rPr>
                    <w:t>BAT-AEL dotyczy wszystkich emitorów instalacji, tj.:</w:t>
                  </w:r>
                </w:p>
                <w:p w14:paraId="2FDAEC6E" w14:textId="77777777" w:rsidR="00E02F30" w:rsidRPr="00E02F30" w:rsidRDefault="00E02F30" w:rsidP="00E02F30">
                  <w:pPr>
                    <w:ind w:left="111"/>
                    <w:jc w:val="center"/>
                    <w:rPr>
                      <w:rFonts w:cs="Arial"/>
                      <w:sz w:val="20"/>
                      <w:szCs w:val="20"/>
                    </w:rPr>
                  </w:pPr>
                  <w:r w:rsidRPr="00E02F30">
                    <w:rPr>
                      <w:rFonts w:cs="Arial"/>
                      <w:sz w:val="20"/>
                      <w:szCs w:val="20"/>
                    </w:rPr>
                    <w:t xml:space="preserve">E-1/Z, E-2/Z, E-3/Z, </w:t>
                  </w:r>
                  <w:r w:rsidRPr="00E02F30">
                    <w:rPr>
                      <w:rFonts w:cs="Arial"/>
                      <w:sz w:val="20"/>
                      <w:szCs w:val="20"/>
                    </w:rPr>
                    <w:br/>
                    <w:t xml:space="preserve">E-4/Z, E-5/Z, E-6/Z, </w:t>
                  </w:r>
                  <w:r w:rsidRPr="00E02F30">
                    <w:rPr>
                      <w:rFonts w:cs="Arial"/>
                      <w:sz w:val="20"/>
                      <w:szCs w:val="20"/>
                    </w:rPr>
                    <w:br/>
                    <w:t>E-7/Z, E-8/Z, E-9/Z.</w:t>
                  </w:r>
                </w:p>
              </w:tc>
            </w:tr>
            <w:tr w:rsidR="00E02F30" w:rsidRPr="00E02F30" w14:paraId="24D76119" w14:textId="77777777" w:rsidTr="00A1631B">
              <w:trPr>
                <w:trHeight w:val="572"/>
              </w:trPr>
              <w:tc>
                <w:tcPr>
                  <w:tcW w:w="3449" w:type="dxa"/>
                  <w:tcBorders>
                    <w:top w:val="single" w:sz="4" w:space="0" w:color="000000"/>
                    <w:left w:val="nil"/>
                    <w:bottom w:val="single" w:sz="4" w:space="0" w:color="000000"/>
                    <w:right w:val="single" w:sz="4" w:space="0" w:color="000000"/>
                  </w:tcBorders>
                  <w:shd w:val="clear" w:color="auto" w:fill="auto"/>
                  <w:vAlign w:val="center"/>
                </w:tcPr>
                <w:p w14:paraId="136EBB3B" w14:textId="77777777" w:rsidR="00E02F30" w:rsidRPr="00E02F30" w:rsidRDefault="00E02F30" w:rsidP="00E02F30">
                  <w:pPr>
                    <w:rPr>
                      <w:rFonts w:cs="Arial"/>
                      <w:sz w:val="20"/>
                      <w:szCs w:val="20"/>
                    </w:rPr>
                  </w:pPr>
                  <w:r w:rsidRPr="00E02F30">
                    <w:rPr>
                      <w:rFonts w:cs="Arial"/>
                      <w:sz w:val="20"/>
                      <w:szCs w:val="20"/>
                    </w:rPr>
                    <w:t>Suma LZO sklasyfikowanych jako substancje CMR kategorii 2</w:t>
                  </w:r>
                </w:p>
              </w:tc>
              <w:tc>
                <w:tcPr>
                  <w:tcW w:w="3092" w:type="dxa"/>
                  <w:tcBorders>
                    <w:top w:val="single" w:sz="4" w:space="0" w:color="000000"/>
                    <w:left w:val="single" w:sz="4" w:space="0" w:color="000000"/>
                    <w:bottom w:val="single" w:sz="4" w:space="0" w:color="000000"/>
                    <w:right w:val="nil"/>
                  </w:tcBorders>
                  <w:shd w:val="clear" w:color="auto" w:fill="auto"/>
                  <w:vAlign w:val="center"/>
                </w:tcPr>
                <w:p w14:paraId="1A11786A" w14:textId="77777777" w:rsidR="00E02F30" w:rsidRPr="00E02F30" w:rsidRDefault="00E02F30" w:rsidP="00E02F30">
                  <w:pPr>
                    <w:ind w:left="112"/>
                    <w:jc w:val="center"/>
                    <w:rPr>
                      <w:rFonts w:cs="Arial"/>
                      <w:sz w:val="20"/>
                      <w:szCs w:val="20"/>
                    </w:rPr>
                  </w:pPr>
                  <w:r w:rsidRPr="00E02F30">
                    <w:rPr>
                      <w:rFonts w:cs="Arial"/>
                      <w:sz w:val="20"/>
                      <w:szCs w:val="20"/>
                    </w:rPr>
                    <w:t>&lt; 1–10 (</w:t>
                  </w:r>
                  <w:r w:rsidRPr="00E02F30">
                    <w:rPr>
                      <w:rFonts w:cs="Arial"/>
                      <w:sz w:val="20"/>
                      <w:szCs w:val="20"/>
                      <w:vertAlign w:val="superscript"/>
                    </w:rPr>
                    <w:t>7</w:t>
                  </w:r>
                  <w:r w:rsidRPr="00E02F30">
                    <w:rPr>
                      <w:rFonts w:cs="Arial"/>
                      <w:sz w:val="20"/>
                      <w:szCs w:val="20"/>
                    </w:rPr>
                    <w:t>)</w:t>
                  </w:r>
                </w:p>
              </w:tc>
              <w:tc>
                <w:tcPr>
                  <w:tcW w:w="2996" w:type="dxa"/>
                  <w:tcBorders>
                    <w:top w:val="single" w:sz="4" w:space="0" w:color="000000"/>
                    <w:left w:val="single" w:sz="4" w:space="0" w:color="000000"/>
                    <w:bottom w:val="single" w:sz="4" w:space="0" w:color="000000"/>
                    <w:right w:val="nil"/>
                  </w:tcBorders>
                  <w:shd w:val="clear" w:color="auto" w:fill="auto"/>
                  <w:vAlign w:val="center"/>
                </w:tcPr>
                <w:p w14:paraId="2B4533E8" w14:textId="77777777" w:rsidR="00E02F30" w:rsidRPr="00E02F30" w:rsidRDefault="00E02F30" w:rsidP="00E02F30">
                  <w:pPr>
                    <w:ind w:left="112"/>
                    <w:jc w:val="center"/>
                    <w:rPr>
                      <w:rFonts w:cs="Arial"/>
                      <w:sz w:val="20"/>
                      <w:szCs w:val="20"/>
                    </w:rPr>
                  </w:pPr>
                  <w:r w:rsidRPr="00E02F30">
                    <w:rPr>
                      <w:rFonts w:cs="Arial"/>
                      <w:sz w:val="20"/>
                      <w:szCs w:val="20"/>
                    </w:rPr>
                    <w:t>Jedyną substancją zidentyfikowaną jako CMR kategorii 2 jest toluen. Monitorowanie, jak i poziom BAT-AEL w ramach BAT 11 będzie obowiązywał indywidualnie dla tej substancji</w:t>
                  </w:r>
                </w:p>
              </w:tc>
              <w:tc>
                <w:tcPr>
                  <w:tcW w:w="2996" w:type="dxa"/>
                  <w:tcBorders>
                    <w:top w:val="single" w:sz="4" w:space="0" w:color="000000"/>
                    <w:left w:val="single" w:sz="4" w:space="0" w:color="000000"/>
                    <w:bottom w:val="single" w:sz="4" w:space="0" w:color="000000"/>
                    <w:right w:val="nil"/>
                  </w:tcBorders>
                  <w:shd w:val="clear" w:color="auto" w:fill="auto"/>
                  <w:vAlign w:val="center"/>
                </w:tcPr>
                <w:p w14:paraId="18E50401" w14:textId="77777777" w:rsidR="00E02F30" w:rsidRPr="00E02F30" w:rsidRDefault="00E02F30" w:rsidP="00E02F30">
                  <w:pPr>
                    <w:ind w:left="112"/>
                    <w:jc w:val="center"/>
                    <w:rPr>
                      <w:rFonts w:cs="Arial"/>
                      <w:sz w:val="20"/>
                      <w:szCs w:val="20"/>
                    </w:rPr>
                  </w:pPr>
                  <w:r w:rsidRPr="00E02F30">
                    <w:rPr>
                      <w:rFonts w:cs="Arial"/>
                      <w:sz w:val="20"/>
                      <w:szCs w:val="20"/>
                    </w:rPr>
                    <w:t>-</w:t>
                  </w:r>
                </w:p>
              </w:tc>
            </w:tr>
            <w:tr w:rsidR="00E02F30" w:rsidRPr="00E02F30" w14:paraId="61EE587E" w14:textId="77777777" w:rsidTr="00A1631B">
              <w:trPr>
                <w:trHeight w:val="359"/>
              </w:trPr>
              <w:tc>
                <w:tcPr>
                  <w:tcW w:w="3449" w:type="dxa"/>
                  <w:tcBorders>
                    <w:top w:val="single" w:sz="4" w:space="0" w:color="000000"/>
                    <w:left w:val="nil"/>
                    <w:bottom w:val="single" w:sz="4" w:space="0" w:color="000000"/>
                    <w:right w:val="single" w:sz="4" w:space="0" w:color="000000"/>
                  </w:tcBorders>
                  <w:shd w:val="clear" w:color="auto" w:fill="auto"/>
                  <w:vAlign w:val="center"/>
                </w:tcPr>
                <w:p w14:paraId="75B4C18A" w14:textId="77777777" w:rsidR="00E02F30" w:rsidRPr="00E02F30" w:rsidRDefault="00E02F30" w:rsidP="00E02F30">
                  <w:pPr>
                    <w:rPr>
                      <w:rFonts w:cs="Arial"/>
                      <w:sz w:val="20"/>
                      <w:szCs w:val="20"/>
                    </w:rPr>
                  </w:pPr>
                  <w:r w:rsidRPr="00E02F30">
                    <w:rPr>
                      <w:rFonts w:cs="Arial"/>
                      <w:sz w:val="20"/>
                      <w:szCs w:val="20"/>
                    </w:rPr>
                    <w:t>Benzen</w:t>
                  </w:r>
                </w:p>
              </w:tc>
              <w:tc>
                <w:tcPr>
                  <w:tcW w:w="3092" w:type="dxa"/>
                  <w:tcBorders>
                    <w:top w:val="single" w:sz="4" w:space="0" w:color="000000"/>
                    <w:left w:val="single" w:sz="4" w:space="0" w:color="000000"/>
                    <w:bottom w:val="single" w:sz="4" w:space="0" w:color="000000"/>
                    <w:right w:val="nil"/>
                  </w:tcBorders>
                  <w:shd w:val="clear" w:color="auto" w:fill="auto"/>
                  <w:vAlign w:val="center"/>
                </w:tcPr>
                <w:p w14:paraId="3271B396" w14:textId="77777777" w:rsidR="00E02F30" w:rsidRPr="00E02F30" w:rsidRDefault="00E02F30" w:rsidP="00E02F30">
                  <w:pPr>
                    <w:ind w:left="112"/>
                    <w:jc w:val="center"/>
                    <w:rPr>
                      <w:rFonts w:cs="Arial"/>
                      <w:sz w:val="20"/>
                      <w:szCs w:val="20"/>
                    </w:rPr>
                  </w:pPr>
                  <w:r w:rsidRPr="00E02F30">
                    <w:rPr>
                      <w:rFonts w:cs="Arial"/>
                      <w:sz w:val="20"/>
                      <w:szCs w:val="20"/>
                    </w:rPr>
                    <w:t>&lt; 0,5–1 (</w:t>
                  </w:r>
                  <w:r w:rsidRPr="00E02F30">
                    <w:rPr>
                      <w:rFonts w:cs="Arial"/>
                      <w:sz w:val="20"/>
                      <w:szCs w:val="20"/>
                      <w:vertAlign w:val="superscript"/>
                    </w:rPr>
                    <w:t>8</w:t>
                  </w:r>
                  <w:r w:rsidRPr="00E02F30">
                    <w:rPr>
                      <w:rFonts w:cs="Arial"/>
                      <w:sz w:val="20"/>
                      <w:szCs w:val="20"/>
                    </w:rPr>
                    <w:t>)</w:t>
                  </w:r>
                </w:p>
              </w:tc>
              <w:tc>
                <w:tcPr>
                  <w:tcW w:w="2996" w:type="dxa"/>
                  <w:tcBorders>
                    <w:top w:val="single" w:sz="4" w:space="0" w:color="000000"/>
                    <w:left w:val="single" w:sz="4" w:space="0" w:color="000000"/>
                    <w:bottom w:val="single" w:sz="4" w:space="0" w:color="000000"/>
                    <w:right w:val="nil"/>
                  </w:tcBorders>
                  <w:shd w:val="clear" w:color="auto" w:fill="auto"/>
                  <w:vAlign w:val="center"/>
                </w:tcPr>
                <w:p w14:paraId="4F033D0F" w14:textId="77777777" w:rsidR="00E02F30" w:rsidRPr="00E02F30" w:rsidRDefault="00E02F30" w:rsidP="00E02F30">
                  <w:pPr>
                    <w:ind w:left="112"/>
                    <w:jc w:val="center"/>
                    <w:rPr>
                      <w:rFonts w:cs="Arial"/>
                      <w:sz w:val="20"/>
                      <w:szCs w:val="20"/>
                    </w:rPr>
                  </w:pPr>
                  <w:r w:rsidRPr="00E02F30">
                    <w:rPr>
                      <w:rFonts w:cs="Arial"/>
                      <w:sz w:val="20"/>
                      <w:szCs w:val="20"/>
                    </w:rPr>
                    <w:t>E-6/Z, E-9/Z</w:t>
                  </w:r>
                </w:p>
                <w:p w14:paraId="4A4A51CC" w14:textId="77777777" w:rsidR="00E02F30" w:rsidRPr="00E02F30" w:rsidRDefault="00E02F30" w:rsidP="00E02F30">
                  <w:pPr>
                    <w:ind w:left="112"/>
                    <w:jc w:val="center"/>
                    <w:rPr>
                      <w:rFonts w:cs="Arial"/>
                      <w:sz w:val="20"/>
                      <w:szCs w:val="20"/>
                    </w:rPr>
                  </w:pPr>
                </w:p>
              </w:tc>
              <w:tc>
                <w:tcPr>
                  <w:tcW w:w="2996" w:type="dxa"/>
                  <w:tcBorders>
                    <w:top w:val="single" w:sz="4" w:space="0" w:color="000000"/>
                    <w:left w:val="single" w:sz="4" w:space="0" w:color="000000"/>
                    <w:bottom w:val="single" w:sz="4" w:space="0" w:color="000000"/>
                    <w:right w:val="nil"/>
                  </w:tcBorders>
                  <w:shd w:val="clear" w:color="auto" w:fill="auto"/>
                  <w:vAlign w:val="center"/>
                </w:tcPr>
                <w:p w14:paraId="2030E7C9" w14:textId="77777777" w:rsidR="00E02F30" w:rsidRPr="00E02F30" w:rsidRDefault="00E02F30" w:rsidP="00E02F30">
                  <w:pPr>
                    <w:ind w:left="112"/>
                    <w:jc w:val="center"/>
                    <w:rPr>
                      <w:rFonts w:cs="Arial"/>
                      <w:b/>
                      <w:bCs/>
                      <w:sz w:val="20"/>
                      <w:szCs w:val="20"/>
                    </w:rPr>
                  </w:pPr>
                  <w:r w:rsidRPr="00E02F30">
                    <w:rPr>
                      <w:rFonts w:cs="Arial"/>
                      <w:b/>
                      <w:bCs/>
                      <w:sz w:val="20"/>
                      <w:szCs w:val="20"/>
                    </w:rPr>
                    <w:t>BAT-AEL dotyczy:</w:t>
                  </w:r>
                </w:p>
                <w:p w14:paraId="0F38DA59" w14:textId="77777777" w:rsidR="00E02F30" w:rsidRPr="00E02F30" w:rsidRDefault="00E02F30" w:rsidP="00E02F30">
                  <w:pPr>
                    <w:ind w:left="112"/>
                    <w:jc w:val="center"/>
                    <w:rPr>
                      <w:rFonts w:cs="Arial"/>
                      <w:sz w:val="20"/>
                      <w:szCs w:val="20"/>
                    </w:rPr>
                  </w:pPr>
                  <w:r w:rsidRPr="00E02F30">
                    <w:rPr>
                      <w:rFonts w:cs="Arial"/>
                      <w:sz w:val="20"/>
                      <w:szCs w:val="20"/>
                    </w:rPr>
                    <w:t>E-9/Z</w:t>
                  </w:r>
                </w:p>
                <w:p w14:paraId="131D3105" w14:textId="77777777" w:rsidR="00E02F30" w:rsidRPr="00E02F30" w:rsidRDefault="00E02F30" w:rsidP="00E02F30">
                  <w:pPr>
                    <w:ind w:left="112"/>
                    <w:jc w:val="center"/>
                    <w:rPr>
                      <w:rFonts w:cs="Arial"/>
                      <w:sz w:val="20"/>
                      <w:szCs w:val="20"/>
                    </w:rPr>
                  </w:pPr>
                  <w:r w:rsidRPr="00E02F30">
                    <w:rPr>
                      <w:rFonts w:cs="Arial"/>
                      <w:sz w:val="20"/>
                      <w:szCs w:val="20"/>
                    </w:rPr>
                    <w:t xml:space="preserve">Dla pozostałych emitorów </w:t>
                  </w:r>
                  <w:r w:rsidRPr="00E02F30">
                    <w:rPr>
                      <w:rFonts w:cs="Arial"/>
                      <w:sz w:val="20"/>
                      <w:szCs w:val="20"/>
                    </w:rPr>
                    <w:br/>
                    <w:t>(tj. E-6/Z) spełniony jest warunek: przepływ masowy benzenu wynosi poniżej 1g/h</w:t>
                  </w:r>
                </w:p>
              </w:tc>
            </w:tr>
            <w:tr w:rsidR="00E02F30" w:rsidRPr="00E02F30" w14:paraId="4679B176" w14:textId="77777777" w:rsidTr="00A1631B">
              <w:trPr>
                <w:trHeight w:val="359"/>
              </w:trPr>
              <w:tc>
                <w:tcPr>
                  <w:tcW w:w="3449" w:type="dxa"/>
                  <w:tcBorders>
                    <w:top w:val="single" w:sz="4" w:space="0" w:color="000000"/>
                    <w:left w:val="nil"/>
                    <w:bottom w:val="single" w:sz="4" w:space="0" w:color="000000"/>
                    <w:right w:val="single" w:sz="4" w:space="0" w:color="000000"/>
                  </w:tcBorders>
                  <w:shd w:val="clear" w:color="auto" w:fill="auto"/>
                  <w:vAlign w:val="center"/>
                </w:tcPr>
                <w:p w14:paraId="0FC5C526" w14:textId="77777777" w:rsidR="00E02F30" w:rsidRPr="00E02F30" w:rsidRDefault="00E02F30" w:rsidP="00E02F30">
                  <w:pPr>
                    <w:rPr>
                      <w:rFonts w:cs="Arial"/>
                      <w:sz w:val="20"/>
                      <w:szCs w:val="20"/>
                    </w:rPr>
                  </w:pPr>
                  <w:r w:rsidRPr="00E02F30">
                    <w:rPr>
                      <w:rFonts w:cs="Arial"/>
                      <w:sz w:val="20"/>
                      <w:szCs w:val="20"/>
                    </w:rPr>
                    <w:t>Toluen</w:t>
                  </w:r>
                </w:p>
              </w:tc>
              <w:tc>
                <w:tcPr>
                  <w:tcW w:w="3092" w:type="dxa"/>
                  <w:tcBorders>
                    <w:top w:val="single" w:sz="4" w:space="0" w:color="000000"/>
                    <w:left w:val="single" w:sz="4" w:space="0" w:color="000000"/>
                    <w:bottom w:val="single" w:sz="4" w:space="0" w:color="000000"/>
                    <w:right w:val="nil"/>
                  </w:tcBorders>
                  <w:shd w:val="clear" w:color="auto" w:fill="auto"/>
                  <w:vAlign w:val="center"/>
                </w:tcPr>
                <w:p w14:paraId="31290172" w14:textId="77777777" w:rsidR="00E02F30" w:rsidRPr="00E02F30" w:rsidRDefault="00E02F30" w:rsidP="00E02F30">
                  <w:pPr>
                    <w:ind w:left="112"/>
                    <w:jc w:val="center"/>
                    <w:rPr>
                      <w:rFonts w:cs="Arial"/>
                      <w:sz w:val="20"/>
                      <w:szCs w:val="20"/>
                    </w:rPr>
                  </w:pPr>
                  <w:r w:rsidRPr="00E02F30">
                    <w:rPr>
                      <w:rFonts w:cs="Arial"/>
                      <w:sz w:val="20"/>
                      <w:szCs w:val="20"/>
                    </w:rPr>
                    <w:t>&lt; 0,5–1 (</w:t>
                  </w:r>
                  <w:r w:rsidRPr="00E02F30">
                    <w:rPr>
                      <w:rFonts w:cs="Arial"/>
                      <w:sz w:val="20"/>
                      <w:szCs w:val="20"/>
                      <w:vertAlign w:val="superscript"/>
                    </w:rPr>
                    <w:t>9</w:t>
                  </w:r>
                  <w:r w:rsidRPr="00E02F30">
                    <w:rPr>
                      <w:rFonts w:cs="Arial"/>
                      <w:sz w:val="20"/>
                      <w:szCs w:val="20"/>
                    </w:rPr>
                    <w:t>) (</w:t>
                  </w:r>
                  <w:r w:rsidRPr="00E02F30">
                    <w:rPr>
                      <w:rFonts w:cs="Arial"/>
                      <w:sz w:val="20"/>
                      <w:szCs w:val="20"/>
                      <w:vertAlign w:val="superscript"/>
                    </w:rPr>
                    <w:t>11</w:t>
                  </w:r>
                  <w:r w:rsidRPr="00E02F30">
                    <w:rPr>
                      <w:rFonts w:cs="Arial"/>
                      <w:sz w:val="20"/>
                      <w:szCs w:val="20"/>
                    </w:rPr>
                    <w:t>)</w:t>
                  </w:r>
                </w:p>
              </w:tc>
              <w:tc>
                <w:tcPr>
                  <w:tcW w:w="2996" w:type="dxa"/>
                  <w:tcBorders>
                    <w:top w:val="single" w:sz="4" w:space="0" w:color="000000"/>
                    <w:left w:val="single" w:sz="4" w:space="0" w:color="000000"/>
                    <w:bottom w:val="single" w:sz="4" w:space="0" w:color="000000"/>
                    <w:right w:val="nil"/>
                  </w:tcBorders>
                  <w:shd w:val="clear" w:color="auto" w:fill="auto"/>
                  <w:vAlign w:val="center"/>
                </w:tcPr>
                <w:p w14:paraId="0D294690" w14:textId="77777777" w:rsidR="00E02F30" w:rsidRPr="00E02F30" w:rsidRDefault="00E02F30" w:rsidP="00E02F30">
                  <w:pPr>
                    <w:ind w:left="112"/>
                    <w:jc w:val="center"/>
                    <w:rPr>
                      <w:rFonts w:cs="Arial"/>
                      <w:sz w:val="20"/>
                      <w:szCs w:val="20"/>
                    </w:rPr>
                  </w:pPr>
                  <w:r w:rsidRPr="00E02F30">
                    <w:rPr>
                      <w:rFonts w:cs="Arial"/>
                      <w:sz w:val="20"/>
                      <w:szCs w:val="20"/>
                    </w:rPr>
                    <w:t>E-2/Z, E-6/Z, E-7/Z</w:t>
                  </w:r>
                </w:p>
              </w:tc>
              <w:tc>
                <w:tcPr>
                  <w:tcW w:w="2996" w:type="dxa"/>
                  <w:tcBorders>
                    <w:top w:val="single" w:sz="4" w:space="0" w:color="000000"/>
                    <w:left w:val="single" w:sz="4" w:space="0" w:color="000000"/>
                    <w:bottom w:val="single" w:sz="4" w:space="0" w:color="000000"/>
                    <w:right w:val="nil"/>
                  </w:tcBorders>
                  <w:shd w:val="clear" w:color="auto" w:fill="auto"/>
                  <w:vAlign w:val="center"/>
                </w:tcPr>
                <w:p w14:paraId="0384B51E" w14:textId="77777777" w:rsidR="00E02F30" w:rsidRPr="00E02F30" w:rsidRDefault="00E02F30" w:rsidP="00E02F30">
                  <w:pPr>
                    <w:ind w:left="112"/>
                    <w:jc w:val="center"/>
                    <w:rPr>
                      <w:rFonts w:cs="Arial"/>
                      <w:b/>
                      <w:bCs/>
                      <w:sz w:val="20"/>
                      <w:szCs w:val="20"/>
                    </w:rPr>
                  </w:pPr>
                  <w:r w:rsidRPr="00E02F30">
                    <w:rPr>
                      <w:rFonts w:cs="Arial"/>
                      <w:b/>
                      <w:bCs/>
                      <w:sz w:val="20"/>
                      <w:szCs w:val="20"/>
                    </w:rPr>
                    <w:t>BAT-AEL nie ma zastosowania</w:t>
                  </w:r>
                </w:p>
                <w:p w14:paraId="1524F939" w14:textId="77777777" w:rsidR="00E02F30" w:rsidRPr="00E02F30" w:rsidRDefault="00E02F30" w:rsidP="00E02F30">
                  <w:pPr>
                    <w:ind w:left="112"/>
                    <w:jc w:val="center"/>
                    <w:rPr>
                      <w:rFonts w:cs="Arial"/>
                      <w:sz w:val="20"/>
                      <w:szCs w:val="20"/>
                    </w:rPr>
                  </w:pPr>
                  <w:r w:rsidRPr="00E02F30">
                    <w:rPr>
                      <w:rFonts w:cs="Arial"/>
                      <w:sz w:val="20"/>
                      <w:szCs w:val="20"/>
                    </w:rPr>
                    <w:t>Dla wszystkich emitorów spełniony jest warunek: przepływ masowy toluenu wynosi poniżej np. 50 g/h</w:t>
                  </w:r>
                </w:p>
              </w:tc>
            </w:tr>
          </w:tbl>
          <w:p w14:paraId="4599C6B8" w14:textId="77777777" w:rsidR="00E02F30" w:rsidRPr="00E02F30" w:rsidRDefault="00E02F30">
            <w:pPr>
              <w:numPr>
                <w:ilvl w:val="0"/>
                <w:numId w:val="57"/>
              </w:numPr>
              <w:spacing w:after="4" w:line="233" w:lineRule="auto"/>
              <w:ind w:left="1233" w:right="13" w:hanging="227"/>
              <w:jc w:val="both"/>
              <w:rPr>
                <w:rFonts w:eastAsia="Calibri" w:cs="Arial"/>
                <w:color w:val="000000"/>
                <w:sz w:val="20"/>
                <w:szCs w:val="20"/>
                <w:lang w:eastAsia="pl-PL"/>
              </w:rPr>
            </w:pPr>
            <w:r w:rsidRPr="00E02F30">
              <w:rPr>
                <w:rFonts w:eastAsia="Calibri" w:cs="Arial"/>
                <w:color w:val="000000"/>
                <w:sz w:val="20"/>
                <w:szCs w:val="20"/>
                <w:lang w:eastAsia="pl-PL"/>
              </w:rPr>
              <w:t>W przypadku rodzajów działalności wymienionych w pkt 8 i 10 części 1 załącznika VII do IED zakresy BAT-AEL mają zastosowanie w zakresie, w jakim prowadzą do niższych poziomów emisji niż dopuszczalne wielkości emisji określone w częściach 2 i 4 załącznika VII do IED.</w:t>
            </w:r>
          </w:p>
          <w:p w14:paraId="37696C4B" w14:textId="77777777" w:rsidR="00E02F30" w:rsidRPr="00E02F30" w:rsidRDefault="00E02F30">
            <w:pPr>
              <w:numPr>
                <w:ilvl w:val="0"/>
                <w:numId w:val="57"/>
              </w:numPr>
              <w:spacing w:after="4" w:line="233" w:lineRule="auto"/>
              <w:ind w:left="1233" w:right="13" w:hanging="227"/>
              <w:jc w:val="both"/>
              <w:rPr>
                <w:rFonts w:eastAsia="Calibri" w:cs="Arial"/>
                <w:color w:val="000000"/>
                <w:sz w:val="20"/>
                <w:szCs w:val="20"/>
                <w:lang w:eastAsia="pl-PL"/>
              </w:rPr>
            </w:pPr>
            <w:r w:rsidRPr="00E02F30">
              <w:rPr>
                <w:rFonts w:eastAsia="Calibri" w:cs="Arial"/>
                <w:color w:val="000000"/>
                <w:sz w:val="20"/>
                <w:szCs w:val="20"/>
                <w:lang w:eastAsia="pl-PL"/>
              </w:rPr>
              <w:t>TVOC wyraża się w mg C/Nm3.</w:t>
            </w:r>
          </w:p>
          <w:p w14:paraId="626C3EDA" w14:textId="77777777" w:rsidR="00E02F30" w:rsidRPr="00E02F30" w:rsidRDefault="00E02F30">
            <w:pPr>
              <w:numPr>
                <w:ilvl w:val="0"/>
                <w:numId w:val="57"/>
              </w:numPr>
              <w:spacing w:after="4" w:line="233" w:lineRule="auto"/>
              <w:ind w:left="1233" w:right="13" w:hanging="227"/>
              <w:jc w:val="both"/>
              <w:rPr>
                <w:rFonts w:eastAsia="Calibri" w:cs="Arial"/>
                <w:color w:val="000000"/>
                <w:sz w:val="20"/>
                <w:szCs w:val="20"/>
                <w:lang w:eastAsia="pl-PL"/>
              </w:rPr>
            </w:pPr>
            <w:r w:rsidRPr="00E02F30">
              <w:rPr>
                <w:rFonts w:eastAsia="Calibri" w:cs="Arial"/>
                <w:color w:val="000000"/>
                <w:sz w:val="20"/>
                <w:szCs w:val="20"/>
                <w:lang w:eastAsia="pl-PL"/>
              </w:rPr>
              <w:t>W przypadku produkcji polimerów BAT-AEL może nie mieć zastosowania do emisji z wykańczania (np. wytłaczania, suszenia, mieszania) oraz ze składowania polimerów.</w:t>
            </w:r>
          </w:p>
          <w:p w14:paraId="6DB42794" w14:textId="77777777" w:rsidR="00E02F30" w:rsidRPr="00E02F30" w:rsidRDefault="00E02F30">
            <w:pPr>
              <w:numPr>
                <w:ilvl w:val="0"/>
                <w:numId w:val="57"/>
              </w:numPr>
              <w:spacing w:after="4" w:line="233" w:lineRule="auto"/>
              <w:ind w:left="1233" w:right="13" w:hanging="227"/>
              <w:jc w:val="both"/>
              <w:rPr>
                <w:rFonts w:eastAsia="Calibri" w:cs="Arial"/>
                <w:color w:val="000000"/>
                <w:sz w:val="20"/>
                <w:szCs w:val="20"/>
                <w:lang w:eastAsia="pl-PL"/>
              </w:rPr>
            </w:pPr>
            <w:r w:rsidRPr="00E02F30">
              <w:rPr>
                <w:rFonts w:eastAsia="Calibri" w:cs="Arial"/>
                <w:color w:val="000000"/>
                <w:sz w:val="20"/>
                <w:szCs w:val="20"/>
                <w:lang w:eastAsia="pl-PL"/>
              </w:rPr>
              <w:t>BAT-AEL nie ma zastosowania do niewielkich emisji (tj. gdy przepływ masowy TVOC wynosi poniżej np. 100 g C/h), jeżeli w strumieniu gazów odlotowych nie zidentyfikowano żadnych substancji CMR jako istotnych na podstawie wykazu, o którym mowa w BAT 2.</w:t>
            </w:r>
          </w:p>
          <w:p w14:paraId="335F58AB" w14:textId="77777777" w:rsidR="00E02F30" w:rsidRPr="00E02F30" w:rsidRDefault="00E02F30">
            <w:pPr>
              <w:numPr>
                <w:ilvl w:val="0"/>
                <w:numId w:val="57"/>
              </w:numPr>
              <w:spacing w:after="4" w:line="233" w:lineRule="auto"/>
              <w:ind w:left="1289" w:right="13" w:hanging="283"/>
              <w:jc w:val="both"/>
              <w:rPr>
                <w:rFonts w:eastAsia="Calibri" w:cs="Arial"/>
                <w:color w:val="000000"/>
                <w:sz w:val="20"/>
                <w:szCs w:val="20"/>
                <w:lang w:eastAsia="pl-PL"/>
              </w:rPr>
            </w:pPr>
            <w:r w:rsidRPr="00E02F30">
              <w:rPr>
                <w:rFonts w:eastAsia="Calibri" w:cs="Arial"/>
                <w:color w:val="000000"/>
                <w:sz w:val="20"/>
                <w:szCs w:val="20"/>
                <w:lang w:eastAsia="pl-PL"/>
              </w:rPr>
              <w:t>Górna granica zakresu BAT-AEL może być wyższa i wynosić do 30 mg/Nm3 w przypadku stosowania technik odzyskiwania materiałów (np. rozpuszczalników, zob. BAT 9), jeżeli spełnione są oba następujące warunki:</w:t>
            </w:r>
          </w:p>
          <w:p w14:paraId="6BD9745B" w14:textId="77777777" w:rsidR="00E02F30" w:rsidRPr="00E02F30" w:rsidRDefault="00E02F30" w:rsidP="00E02F30">
            <w:pPr>
              <w:spacing w:after="4" w:line="233" w:lineRule="auto"/>
              <w:ind w:left="1289" w:right="13"/>
              <w:jc w:val="center"/>
              <w:rPr>
                <w:rFonts w:eastAsia="Calibri" w:cs="Arial"/>
                <w:color w:val="000000"/>
                <w:sz w:val="20"/>
                <w:szCs w:val="20"/>
                <w:lang w:eastAsia="pl-PL"/>
              </w:rPr>
            </w:pPr>
            <w:r w:rsidRPr="00E02F30">
              <w:rPr>
                <w:rFonts w:eastAsia="Calibri" w:cs="Arial"/>
                <w:color w:val="000000"/>
                <w:sz w:val="20"/>
                <w:szCs w:val="20"/>
                <w:lang w:eastAsia="pl-PL"/>
              </w:rPr>
              <w:t>— obecność substancji sklasyfikowanych jako substancje CMR kategorii 1 A/1B lub 2 określa się jako nieistotną (zob. BAT 2);</w:t>
            </w:r>
          </w:p>
          <w:p w14:paraId="1051B7E7" w14:textId="77777777" w:rsidR="00E02F30" w:rsidRPr="00E02F30" w:rsidRDefault="00E02F30" w:rsidP="00E02F30">
            <w:pPr>
              <w:spacing w:after="4" w:line="233" w:lineRule="auto"/>
              <w:ind w:left="1289" w:right="13"/>
              <w:jc w:val="center"/>
              <w:rPr>
                <w:rFonts w:eastAsia="Calibri" w:cs="Arial"/>
                <w:color w:val="000000"/>
                <w:sz w:val="20"/>
                <w:szCs w:val="20"/>
                <w:lang w:eastAsia="pl-PL"/>
              </w:rPr>
            </w:pPr>
            <w:r w:rsidRPr="00E02F30">
              <w:rPr>
                <w:rFonts w:eastAsia="Calibri" w:cs="Arial"/>
                <w:color w:val="000000"/>
                <w:sz w:val="20"/>
                <w:szCs w:val="20"/>
                <w:lang w:eastAsia="pl-PL"/>
              </w:rPr>
              <w:t>— efektywność redukcji emisji TVOC przez układ oczyszczania gazów odlotowych wynosi ≥ 95 %.</w:t>
            </w:r>
          </w:p>
          <w:p w14:paraId="2A08E1AD" w14:textId="77777777" w:rsidR="00E02F30" w:rsidRPr="00E02F30" w:rsidRDefault="00E02F30">
            <w:pPr>
              <w:numPr>
                <w:ilvl w:val="0"/>
                <w:numId w:val="57"/>
              </w:numPr>
              <w:spacing w:after="4" w:line="233" w:lineRule="auto"/>
              <w:ind w:left="1233" w:right="13" w:hanging="227"/>
              <w:jc w:val="both"/>
              <w:rPr>
                <w:rFonts w:eastAsia="Times New Roman" w:cs="Arial"/>
                <w:sz w:val="20"/>
                <w:szCs w:val="20"/>
                <w:lang w:eastAsia="pl-PL"/>
              </w:rPr>
            </w:pPr>
            <w:r w:rsidRPr="00E02F30">
              <w:rPr>
                <w:rFonts w:eastAsia="Times New Roman" w:cs="Arial"/>
                <w:sz w:val="20"/>
                <w:szCs w:val="20"/>
                <w:lang w:eastAsia="pl-PL"/>
              </w:rPr>
              <w:t>BAT-AEL nie ma zastosowania do niewielkich emisji (tj. gdy przepływ masowy sumy LZO sklasyfikowanych jako substancje CMR kategorii 1 A lub 1B wynosi poniżej np. 1 g/h).</w:t>
            </w:r>
          </w:p>
          <w:p w14:paraId="31C66BA3" w14:textId="77777777" w:rsidR="00E02F30" w:rsidRPr="00E02F30" w:rsidRDefault="00E02F30">
            <w:pPr>
              <w:numPr>
                <w:ilvl w:val="0"/>
                <w:numId w:val="57"/>
              </w:numPr>
              <w:spacing w:after="4" w:line="233" w:lineRule="auto"/>
              <w:ind w:left="1233" w:right="13" w:hanging="227"/>
              <w:jc w:val="both"/>
              <w:rPr>
                <w:rFonts w:eastAsia="Times New Roman" w:cs="Arial"/>
                <w:sz w:val="20"/>
                <w:szCs w:val="20"/>
                <w:lang w:eastAsia="pl-PL"/>
              </w:rPr>
            </w:pPr>
            <w:r w:rsidRPr="00E02F30">
              <w:rPr>
                <w:rFonts w:eastAsia="Times New Roman" w:cs="Arial"/>
                <w:sz w:val="20"/>
                <w:szCs w:val="20"/>
                <w:lang w:eastAsia="pl-PL"/>
              </w:rPr>
              <w:t>BAT-AEL nie ma zastosowania do niewielkich emisji (tj. gdy przepływ masowy sumy LZO sklasyfikowanych jako substancje CMR kategorii 2 wynosi poniżej np. 50 g/h).</w:t>
            </w:r>
          </w:p>
          <w:p w14:paraId="241C1220" w14:textId="77777777" w:rsidR="00E02F30" w:rsidRPr="00E02F30" w:rsidRDefault="00E02F30">
            <w:pPr>
              <w:numPr>
                <w:ilvl w:val="0"/>
                <w:numId w:val="57"/>
              </w:numPr>
              <w:spacing w:after="4" w:line="233" w:lineRule="auto"/>
              <w:ind w:left="1233" w:right="13" w:hanging="227"/>
              <w:jc w:val="both"/>
              <w:rPr>
                <w:rFonts w:eastAsia="Times New Roman" w:cs="Arial"/>
                <w:sz w:val="20"/>
                <w:szCs w:val="20"/>
                <w:lang w:eastAsia="pl-PL"/>
              </w:rPr>
            </w:pPr>
            <w:r w:rsidRPr="00E02F30">
              <w:rPr>
                <w:rFonts w:eastAsia="Times New Roman" w:cs="Arial"/>
                <w:sz w:val="20"/>
                <w:szCs w:val="20"/>
                <w:lang w:eastAsia="pl-PL"/>
              </w:rPr>
              <w:t>BAT-AEL nie ma zastosowania do niewielkich emisji (tj. gdy przepływ masowy danej substancji wynosi poniżej np. 1 g/h).</w:t>
            </w:r>
          </w:p>
          <w:p w14:paraId="63F01B28" w14:textId="77777777" w:rsidR="00E02F30" w:rsidRPr="00E02F30" w:rsidRDefault="00E02F30">
            <w:pPr>
              <w:numPr>
                <w:ilvl w:val="0"/>
                <w:numId w:val="57"/>
              </w:numPr>
              <w:spacing w:after="4" w:line="233" w:lineRule="auto"/>
              <w:ind w:left="1233" w:right="13" w:hanging="227"/>
              <w:jc w:val="both"/>
              <w:rPr>
                <w:rFonts w:eastAsia="Times New Roman" w:cs="Arial"/>
                <w:sz w:val="20"/>
                <w:szCs w:val="20"/>
                <w:lang w:eastAsia="pl-PL"/>
              </w:rPr>
            </w:pPr>
            <w:r w:rsidRPr="00E02F30">
              <w:rPr>
                <w:rFonts w:eastAsia="Times New Roman" w:cs="Arial"/>
                <w:sz w:val="20"/>
                <w:szCs w:val="20"/>
                <w:lang w:eastAsia="pl-PL"/>
              </w:rPr>
              <w:t>BAT-AEL nie ma zastosowania do niewielkich emisji (tj. gdy przepływ masowy danej substancji wynosi poniżej np. 50 g/h).</w:t>
            </w:r>
          </w:p>
          <w:p w14:paraId="0D4EBCF4" w14:textId="77777777" w:rsidR="00E02F30" w:rsidRPr="00E02F30" w:rsidRDefault="00E02F30">
            <w:pPr>
              <w:numPr>
                <w:ilvl w:val="0"/>
                <w:numId w:val="57"/>
              </w:numPr>
              <w:spacing w:after="4" w:line="233" w:lineRule="auto"/>
              <w:ind w:left="1233" w:right="13" w:hanging="227"/>
              <w:jc w:val="both"/>
              <w:rPr>
                <w:rFonts w:eastAsia="Times New Roman" w:cs="Arial"/>
                <w:sz w:val="20"/>
                <w:szCs w:val="20"/>
                <w:lang w:eastAsia="pl-PL"/>
              </w:rPr>
            </w:pPr>
            <w:r w:rsidRPr="00E02F30">
              <w:rPr>
                <w:rFonts w:eastAsia="Times New Roman" w:cs="Arial"/>
                <w:sz w:val="20"/>
                <w:szCs w:val="20"/>
                <w:lang w:eastAsia="pl-PL"/>
              </w:rPr>
              <w:t>Górna granica zakresu BAT-AEL może być wyższa i wynosić do 15 mg/Nm3 w przypadku stosowania technik odzyskiwania materiałów (np. rozpuszczalników, zob. BAT 9), jeżeli efektywność redukcji emisji z układu oczyszczania gazów odlotowych wynosi ≥ 95 %.</w:t>
            </w:r>
          </w:p>
          <w:p w14:paraId="20B393F1" w14:textId="77777777" w:rsidR="00E02F30" w:rsidRPr="00E02F30" w:rsidRDefault="00E02F30">
            <w:pPr>
              <w:numPr>
                <w:ilvl w:val="0"/>
                <w:numId w:val="57"/>
              </w:numPr>
              <w:spacing w:after="4" w:line="233" w:lineRule="auto"/>
              <w:ind w:left="1233" w:right="13" w:hanging="227"/>
              <w:jc w:val="both"/>
              <w:rPr>
                <w:rFonts w:eastAsia="Times New Roman" w:cs="Arial"/>
                <w:sz w:val="20"/>
                <w:szCs w:val="20"/>
                <w:lang w:eastAsia="pl-PL"/>
              </w:rPr>
            </w:pPr>
            <w:r w:rsidRPr="00E02F30">
              <w:rPr>
                <w:rFonts w:eastAsia="Times New Roman" w:cs="Arial"/>
                <w:sz w:val="20"/>
                <w:szCs w:val="20"/>
                <w:lang w:eastAsia="pl-PL"/>
              </w:rPr>
              <w:t>Górna granica zakresu BAT-AEL może być wyższa i wynosić do 20 mg/Nm3 w przypadku stosowania technik odzyskiwania toluenu (zob. BAT 9), jeżeli efektywność redukcji emisji z układu oczyszczania gazów odlotowych wynosi ≥ 95 %.</w:t>
            </w:r>
          </w:p>
          <w:p w14:paraId="243F39FA" w14:textId="77777777" w:rsidR="00E02F30" w:rsidRPr="00E02F30" w:rsidRDefault="00E02F30" w:rsidP="00E02F30">
            <w:pPr>
              <w:spacing w:after="0" w:line="240" w:lineRule="auto"/>
              <w:rPr>
                <w:rFonts w:eastAsia="Times New Roman" w:cs="Arial"/>
                <w:bCs/>
                <w:sz w:val="20"/>
                <w:szCs w:val="20"/>
                <w:lang w:eastAsia="pl-PL"/>
              </w:rPr>
            </w:pPr>
          </w:p>
          <w:p w14:paraId="289FF2DB"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Powiązane monitorowanie opisano w BAT 8.</w:t>
            </w:r>
          </w:p>
        </w:tc>
      </w:tr>
      <w:tr w:rsidR="00E02F30" w:rsidRPr="00E02F30" w14:paraId="60186ECA" w14:textId="77777777" w:rsidTr="00A1631B">
        <w:trPr>
          <w:trHeight w:val="284"/>
        </w:trPr>
        <w:tc>
          <w:tcPr>
            <w:tcW w:w="1985" w:type="dxa"/>
            <w:gridSpan w:val="2"/>
            <w:shd w:val="clear" w:color="auto" w:fill="auto"/>
            <w:vAlign w:val="center"/>
          </w:tcPr>
          <w:p w14:paraId="46B3F10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0031BD03"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0F2CC30E"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Zgodne</w:t>
            </w:r>
          </w:p>
          <w:p w14:paraId="4343B4F2"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Stosowane techniki w instalacji:</w:t>
            </w:r>
          </w:p>
          <w:p w14:paraId="17818D5A"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 dopalacz termiczny komorowy regeneracyjny – spalanie związków organicznych w zanieczyszczonym powietrzu pochodzącym z urządzeń technologicznych. W przypadku awarii oczyszczanie w adsorberze z węglem aktywnym (E-2/Z)</w:t>
            </w:r>
          </w:p>
        </w:tc>
      </w:tr>
      <w:tr w:rsidR="00E02F30" w:rsidRPr="00E02F30" w14:paraId="1531AE4E" w14:textId="77777777" w:rsidTr="00A1631B">
        <w:trPr>
          <w:trHeight w:val="284"/>
        </w:trPr>
        <w:tc>
          <w:tcPr>
            <w:tcW w:w="10632" w:type="dxa"/>
            <w:gridSpan w:val="6"/>
            <w:shd w:val="clear" w:color="auto" w:fill="auto"/>
          </w:tcPr>
          <w:p w14:paraId="245F24F5"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12.</w:t>
            </w:r>
          </w:p>
          <w:p w14:paraId="7119A238"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Aby ograniczyć emisje zorganizowane do powietrza PCDD/F z oczyszczania termicznego gazów odlotowych zawierających chlor lub związki chloru, w ramach BAT należy stosować techniki określone w lit. a) i b) oraz jedną z poniższych technik określonych w lit. c)–e) lub ich kombinację.</w:t>
            </w:r>
          </w:p>
          <w:p w14:paraId="7F7128AA" w14:textId="77777777" w:rsidR="00E02F30" w:rsidRPr="00E02F30" w:rsidRDefault="00E02F30" w:rsidP="00E02F30">
            <w:pPr>
              <w:spacing w:after="0" w:line="240" w:lineRule="auto"/>
              <w:rPr>
                <w:rFonts w:eastAsia="Times New Roman" w:cs="Arial"/>
                <w:bCs/>
                <w:sz w:val="20"/>
                <w:szCs w:val="20"/>
                <w:lang w:eastAsia="pl-PL"/>
              </w:rPr>
            </w:pPr>
          </w:p>
          <w:p w14:paraId="3331F85F"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Tabela 1.2</w:t>
            </w:r>
          </w:p>
          <w:p w14:paraId="1F121CAC" w14:textId="77777777" w:rsidR="00E02F30" w:rsidRPr="00E02F30" w:rsidRDefault="00E02F30" w:rsidP="00E02F30">
            <w:pPr>
              <w:spacing w:after="0" w:line="240" w:lineRule="auto"/>
              <w:rPr>
                <w:rFonts w:eastAsia="Times New Roman" w:cs="Arial"/>
                <w:sz w:val="20"/>
                <w:szCs w:val="20"/>
                <w:lang w:eastAsia="pl-PL"/>
              </w:rPr>
            </w:pPr>
            <w:r w:rsidRPr="00E02F30">
              <w:rPr>
                <w:rFonts w:eastAsia="Times New Roman" w:cs="Arial"/>
                <w:sz w:val="20"/>
                <w:szCs w:val="20"/>
                <w:lang w:eastAsia="pl-PL"/>
              </w:rPr>
              <w:t xml:space="preserve">Poziom emisji powiązany z najlepszymi dostępnymi technikami (BAT-AEL) w odniesieniu do emisji zorganizowanych do powietrza PCDD/F z oczyszczania termicznego gazów odlotowych zawierających chlor lub związki chloru </w:t>
            </w:r>
          </w:p>
          <w:tbl>
            <w:tblPr>
              <w:tblW w:w="8164" w:type="dxa"/>
              <w:tblInd w:w="1020" w:type="dxa"/>
              <w:tblLayout w:type="fixed"/>
              <w:tblCellMar>
                <w:top w:w="107" w:type="dxa"/>
                <w:right w:w="115" w:type="dxa"/>
              </w:tblCellMar>
              <w:tblLook w:val="04A0" w:firstRow="1" w:lastRow="0" w:firstColumn="1" w:lastColumn="0" w:noHBand="0" w:noVBand="1"/>
            </w:tblPr>
            <w:tblGrid>
              <w:gridCol w:w="1752"/>
              <w:gridCol w:w="2015"/>
              <w:gridCol w:w="4397"/>
            </w:tblGrid>
            <w:tr w:rsidR="00E02F30" w:rsidRPr="00E02F30" w14:paraId="1ACBD118" w14:textId="77777777" w:rsidTr="00A1631B">
              <w:trPr>
                <w:trHeight w:val="535"/>
              </w:trPr>
              <w:tc>
                <w:tcPr>
                  <w:tcW w:w="1752" w:type="dxa"/>
                  <w:tcBorders>
                    <w:top w:val="single" w:sz="4" w:space="0" w:color="000000"/>
                    <w:left w:val="nil"/>
                    <w:bottom w:val="single" w:sz="4" w:space="0" w:color="000000"/>
                    <w:right w:val="single" w:sz="4" w:space="0" w:color="000000"/>
                  </w:tcBorders>
                  <w:vAlign w:val="center"/>
                </w:tcPr>
                <w:p w14:paraId="14E2A2E4"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Substancja/parametr</w:t>
                  </w:r>
                </w:p>
              </w:tc>
              <w:tc>
                <w:tcPr>
                  <w:tcW w:w="2015" w:type="dxa"/>
                  <w:tcBorders>
                    <w:top w:val="single" w:sz="4" w:space="0" w:color="000000"/>
                    <w:left w:val="single" w:sz="4" w:space="0" w:color="000000"/>
                    <w:bottom w:val="single" w:sz="4" w:space="0" w:color="000000"/>
                    <w:right w:val="nil"/>
                  </w:tcBorders>
                </w:tcPr>
                <w:p w14:paraId="558FC557" w14:textId="77777777" w:rsidR="00E02F30" w:rsidRPr="00E02F30" w:rsidRDefault="00E02F30" w:rsidP="00E02F30">
                  <w:pPr>
                    <w:spacing w:after="0" w:line="240" w:lineRule="auto"/>
                    <w:rPr>
                      <w:rFonts w:eastAsia="Times New Roman" w:cs="Arial"/>
                      <w:bCs/>
                      <w:sz w:val="20"/>
                      <w:szCs w:val="20"/>
                      <w:lang w:eastAsia="pl-PL"/>
                    </w:rPr>
                  </w:pPr>
                </w:p>
              </w:tc>
              <w:tc>
                <w:tcPr>
                  <w:tcW w:w="4397" w:type="dxa"/>
                  <w:tcBorders>
                    <w:top w:val="single" w:sz="4" w:space="0" w:color="000000"/>
                    <w:left w:val="nil"/>
                    <w:bottom w:val="single" w:sz="4" w:space="0" w:color="000000"/>
                    <w:right w:val="nil"/>
                  </w:tcBorders>
                </w:tcPr>
                <w:p w14:paraId="07928382"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BAT-AEL (</w:t>
                  </w:r>
                  <w:proofErr w:type="spellStart"/>
                  <w:r w:rsidRPr="00E02F30">
                    <w:rPr>
                      <w:rFonts w:eastAsia="Times New Roman" w:cs="Arial"/>
                      <w:bCs/>
                      <w:sz w:val="20"/>
                      <w:szCs w:val="20"/>
                      <w:lang w:eastAsia="pl-PL"/>
                    </w:rPr>
                    <w:t>ng</w:t>
                  </w:r>
                  <w:proofErr w:type="spellEnd"/>
                  <w:r w:rsidRPr="00E02F30">
                    <w:rPr>
                      <w:rFonts w:eastAsia="Times New Roman" w:cs="Arial"/>
                      <w:bCs/>
                      <w:sz w:val="20"/>
                      <w:szCs w:val="20"/>
                      <w:lang w:eastAsia="pl-PL"/>
                    </w:rPr>
                    <w:t xml:space="preserve"> I-TEQ/Nm</w:t>
                  </w:r>
                  <w:r w:rsidRPr="00E02F30">
                    <w:rPr>
                      <w:rFonts w:eastAsia="Times New Roman" w:cs="Arial"/>
                      <w:bCs/>
                      <w:sz w:val="20"/>
                      <w:szCs w:val="20"/>
                      <w:vertAlign w:val="superscript"/>
                      <w:lang w:eastAsia="pl-PL"/>
                    </w:rPr>
                    <w:t>3</w:t>
                  </w:r>
                  <w:r w:rsidRPr="00E02F30">
                    <w:rPr>
                      <w:rFonts w:eastAsia="Times New Roman" w:cs="Arial"/>
                      <w:bCs/>
                      <w:sz w:val="20"/>
                      <w:szCs w:val="20"/>
                      <w:lang w:eastAsia="pl-PL"/>
                    </w:rPr>
                    <w:t>) (średnia z okresu pobierania próbek)</w:t>
                  </w:r>
                </w:p>
              </w:tc>
            </w:tr>
            <w:tr w:rsidR="00E02F30" w:rsidRPr="00E02F30" w14:paraId="5D3C02BD" w14:textId="77777777" w:rsidTr="00A1631B">
              <w:trPr>
                <w:trHeight w:val="359"/>
              </w:trPr>
              <w:tc>
                <w:tcPr>
                  <w:tcW w:w="1752" w:type="dxa"/>
                  <w:tcBorders>
                    <w:top w:val="single" w:sz="4" w:space="0" w:color="000000"/>
                    <w:left w:val="nil"/>
                    <w:bottom w:val="single" w:sz="4" w:space="0" w:color="000000"/>
                    <w:right w:val="single" w:sz="4" w:space="0" w:color="000000"/>
                  </w:tcBorders>
                </w:tcPr>
                <w:p w14:paraId="18214868"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PCDD/F</w:t>
                  </w:r>
                </w:p>
              </w:tc>
              <w:tc>
                <w:tcPr>
                  <w:tcW w:w="2015" w:type="dxa"/>
                  <w:tcBorders>
                    <w:top w:val="single" w:sz="4" w:space="0" w:color="000000"/>
                    <w:left w:val="single" w:sz="4" w:space="0" w:color="000000"/>
                    <w:bottom w:val="single" w:sz="4" w:space="0" w:color="000000"/>
                    <w:right w:val="nil"/>
                  </w:tcBorders>
                </w:tcPr>
                <w:p w14:paraId="4FE38A95"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&lt; 0,01–0,05</w:t>
                  </w:r>
                </w:p>
              </w:tc>
              <w:tc>
                <w:tcPr>
                  <w:tcW w:w="4397" w:type="dxa"/>
                  <w:tcBorders>
                    <w:top w:val="single" w:sz="4" w:space="0" w:color="000000"/>
                    <w:left w:val="nil"/>
                    <w:bottom w:val="single" w:sz="4" w:space="0" w:color="000000"/>
                    <w:right w:val="nil"/>
                  </w:tcBorders>
                </w:tcPr>
                <w:p w14:paraId="674856EF" w14:textId="77777777" w:rsidR="00E02F30" w:rsidRPr="00E02F30" w:rsidRDefault="00E02F30" w:rsidP="00E02F30">
                  <w:pPr>
                    <w:spacing w:after="0" w:line="240" w:lineRule="auto"/>
                    <w:rPr>
                      <w:rFonts w:eastAsia="Times New Roman" w:cs="Arial"/>
                      <w:bCs/>
                      <w:sz w:val="20"/>
                      <w:szCs w:val="20"/>
                      <w:lang w:eastAsia="pl-PL"/>
                    </w:rPr>
                  </w:pPr>
                </w:p>
              </w:tc>
            </w:tr>
          </w:tbl>
          <w:p w14:paraId="6241E66C"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14F5CA98" w14:textId="77777777" w:rsidTr="00A1631B">
        <w:trPr>
          <w:trHeight w:val="284"/>
        </w:trPr>
        <w:tc>
          <w:tcPr>
            <w:tcW w:w="1985" w:type="dxa"/>
            <w:gridSpan w:val="2"/>
            <w:shd w:val="clear" w:color="auto" w:fill="auto"/>
          </w:tcPr>
          <w:p w14:paraId="2DF89D7C"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35BE6BE6"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653E25D4"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1C3E169A"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Cs/>
                <w:sz w:val="20"/>
                <w:szCs w:val="20"/>
                <w:lang w:eastAsia="pl-PL"/>
              </w:rPr>
              <w:t>W instalacji nie zachodzi emisja PCDD/F</w:t>
            </w:r>
          </w:p>
        </w:tc>
      </w:tr>
      <w:tr w:rsidR="00E02F30" w:rsidRPr="00E02F30" w14:paraId="7BC8DAE9" w14:textId="77777777" w:rsidTr="00A1631B">
        <w:trPr>
          <w:trHeight w:val="284"/>
        </w:trPr>
        <w:tc>
          <w:tcPr>
            <w:tcW w:w="10632" w:type="dxa"/>
            <w:gridSpan w:val="6"/>
            <w:shd w:val="clear" w:color="auto" w:fill="auto"/>
          </w:tcPr>
          <w:p w14:paraId="3469E8FC"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13.</w:t>
            </w:r>
          </w:p>
          <w:p w14:paraId="5E1BD520"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 xml:space="preserve">Aby zwiększyć </w:t>
            </w:r>
            <w:proofErr w:type="spellStart"/>
            <w:r w:rsidRPr="00E02F30">
              <w:rPr>
                <w:rFonts w:eastAsia="Times New Roman" w:cs="Arial"/>
                <w:bCs/>
                <w:sz w:val="20"/>
                <w:szCs w:val="20"/>
                <w:lang w:eastAsia="pl-PL"/>
              </w:rPr>
              <w:t>zasobooszczędność</w:t>
            </w:r>
            <w:proofErr w:type="spellEnd"/>
            <w:r w:rsidRPr="00E02F30">
              <w:rPr>
                <w:rFonts w:eastAsia="Times New Roman" w:cs="Arial"/>
                <w:bCs/>
                <w:sz w:val="20"/>
                <w:szCs w:val="20"/>
                <w:lang w:eastAsia="pl-PL"/>
              </w:rPr>
              <w:t xml:space="preserve"> i ograniczyć przepływ masowy pyłu i metali zawartych w pyle wysyłanych do końcowego oczyszczenia gazów odlotowych, w ramach BAT należy odzyskiwać materiały z gazów odlotowych z procesu technologicznego za pomocą jednej z poniższych technik lub ich kombinacji oraz ponownie je wykorzystywać.</w:t>
            </w:r>
          </w:p>
          <w:tbl>
            <w:tblPr>
              <w:tblStyle w:val="TableGrid"/>
              <w:tblW w:w="4000" w:type="pct"/>
              <w:tblInd w:w="1020" w:type="dxa"/>
              <w:tblLayout w:type="fixed"/>
              <w:tblCellMar>
                <w:top w:w="107" w:type="dxa"/>
                <w:right w:w="115" w:type="dxa"/>
              </w:tblCellMar>
              <w:tblLook w:val="04A0" w:firstRow="1" w:lastRow="0" w:firstColumn="1" w:lastColumn="0" w:noHBand="0" w:noVBand="1"/>
            </w:tblPr>
            <w:tblGrid>
              <w:gridCol w:w="457"/>
              <w:gridCol w:w="3761"/>
              <w:gridCol w:w="1954"/>
              <w:gridCol w:w="2161"/>
            </w:tblGrid>
            <w:tr w:rsidR="00E02F30" w:rsidRPr="00E02F30" w14:paraId="27422ED5" w14:textId="77777777" w:rsidTr="00A1631B">
              <w:trPr>
                <w:trHeight w:val="343"/>
              </w:trPr>
              <w:tc>
                <w:tcPr>
                  <w:tcW w:w="448" w:type="dxa"/>
                  <w:tcBorders>
                    <w:top w:val="single" w:sz="4" w:space="0" w:color="000000"/>
                    <w:left w:val="nil"/>
                    <w:bottom w:val="single" w:sz="4" w:space="0" w:color="000000"/>
                    <w:right w:val="nil"/>
                  </w:tcBorders>
                </w:tcPr>
                <w:p w14:paraId="6CCC14B3" w14:textId="77777777" w:rsidR="00E02F30" w:rsidRPr="00E02F30" w:rsidRDefault="00E02F30" w:rsidP="00E02F30">
                  <w:pPr>
                    <w:rPr>
                      <w:rFonts w:cs="Arial"/>
                      <w:sz w:val="20"/>
                      <w:szCs w:val="20"/>
                    </w:rPr>
                  </w:pPr>
                </w:p>
              </w:tc>
              <w:tc>
                <w:tcPr>
                  <w:tcW w:w="3685" w:type="dxa"/>
                  <w:tcBorders>
                    <w:top w:val="single" w:sz="4" w:space="0" w:color="000000"/>
                    <w:left w:val="nil"/>
                    <w:bottom w:val="single" w:sz="4" w:space="0" w:color="000000"/>
                    <w:right w:val="single" w:sz="4" w:space="0" w:color="000000"/>
                  </w:tcBorders>
                </w:tcPr>
                <w:p w14:paraId="6C42FC54" w14:textId="77777777" w:rsidR="00E02F30" w:rsidRPr="00E02F30" w:rsidRDefault="00E02F30" w:rsidP="00E02F30">
                  <w:pPr>
                    <w:ind w:left="1265"/>
                    <w:rPr>
                      <w:rFonts w:cs="Arial"/>
                      <w:sz w:val="20"/>
                      <w:szCs w:val="20"/>
                    </w:rPr>
                  </w:pPr>
                  <w:r w:rsidRPr="00E02F30">
                    <w:rPr>
                      <w:rFonts w:cs="Arial"/>
                      <w:sz w:val="20"/>
                      <w:szCs w:val="20"/>
                    </w:rPr>
                    <w:t>Technika</w:t>
                  </w:r>
                </w:p>
              </w:tc>
              <w:tc>
                <w:tcPr>
                  <w:tcW w:w="1914" w:type="dxa"/>
                  <w:tcBorders>
                    <w:top w:val="single" w:sz="4" w:space="0" w:color="000000"/>
                    <w:left w:val="single" w:sz="4" w:space="0" w:color="000000"/>
                    <w:bottom w:val="single" w:sz="4" w:space="0" w:color="000000"/>
                    <w:right w:val="nil"/>
                  </w:tcBorders>
                </w:tcPr>
                <w:p w14:paraId="60D71288" w14:textId="77777777" w:rsidR="00E02F30" w:rsidRPr="00E02F30" w:rsidRDefault="00E02F30" w:rsidP="00E02F30">
                  <w:pPr>
                    <w:rPr>
                      <w:rFonts w:cs="Arial"/>
                      <w:sz w:val="20"/>
                      <w:szCs w:val="20"/>
                    </w:rPr>
                  </w:pPr>
                </w:p>
              </w:tc>
              <w:tc>
                <w:tcPr>
                  <w:tcW w:w="2117" w:type="dxa"/>
                  <w:tcBorders>
                    <w:top w:val="single" w:sz="4" w:space="0" w:color="000000"/>
                    <w:left w:val="nil"/>
                    <w:bottom w:val="single" w:sz="4" w:space="0" w:color="000000"/>
                    <w:right w:val="nil"/>
                  </w:tcBorders>
                </w:tcPr>
                <w:p w14:paraId="35EEDA87" w14:textId="77777777" w:rsidR="00E02F30" w:rsidRPr="00E02F30" w:rsidRDefault="00E02F30" w:rsidP="00E02F30">
                  <w:pPr>
                    <w:rPr>
                      <w:rFonts w:cs="Arial"/>
                      <w:sz w:val="20"/>
                      <w:szCs w:val="20"/>
                    </w:rPr>
                  </w:pPr>
                  <w:r w:rsidRPr="00E02F30">
                    <w:rPr>
                      <w:rFonts w:cs="Arial"/>
                      <w:sz w:val="20"/>
                      <w:szCs w:val="20"/>
                    </w:rPr>
                    <w:t>Opis</w:t>
                  </w:r>
                </w:p>
              </w:tc>
            </w:tr>
            <w:tr w:rsidR="00E02F30" w:rsidRPr="00E02F30" w14:paraId="2927A744" w14:textId="77777777" w:rsidTr="00A1631B">
              <w:trPr>
                <w:trHeight w:val="359"/>
              </w:trPr>
              <w:tc>
                <w:tcPr>
                  <w:tcW w:w="448" w:type="dxa"/>
                  <w:tcBorders>
                    <w:top w:val="single" w:sz="4" w:space="0" w:color="000000"/>
                    <w:left w:val="nil"/>
                    <w:bottom w:val="single" w:sz="4" w:space="0" w:color="000000"/>
                    <w:right w:val="single" w:sz="4" w:space="0" w:color="000000"/>
                  </w:tcBorders>
                </w:tcPr>
                <w:p w14:paraId="310B674A" w14:textId="77777777" w:rsidR="00E02F30" w:rsidRPr="00E02F30" w:rsidRDefault="00E02F30" w:rsidP="00E02F30">
                  <w:pPr>
                    <w:ind w:left="102"/>
                    <w:rPr>
                      <w:rFonts w:cs="Arial"/>
                      <w:sz w:val="20"/>
                      <w:szCs w:val="20"/>
                    </w:rPr>
                  </w:pPr>
                  <w:r w:rsidRPr="00E02F30">
                    <w:rPr>
                      <w:rFonts w:cs="Arial"/>
                      <w:sz w:val="20"/>
                      <w:szCs w:val="20"/>
                    </w:rPr>
                    <w:t>a)</w:t>
                  </w:r>
                </w:p>
              </w:tc>
              <w:tc>
                <w:tcPr>
                  <w:tcW w:w="3685" w:type="dxa"/>
                  <w:tcBorders>
                    <w:top w:val="single" w:sz="4" w:space="0" w:color="000000"/>
                    <w:left w:val="single" w:sz="4" w:space="0" w:color="000000"/>
                    <w:bottom w:val="single" w:sz="4" w:space="0" w:color="000000"/>
                    <w:right w:val="single" w:sz="4" w:space="0" w:color="000000"/>
                  </w:tcBorders>
                </w:tcPr>
                <w:p w14:paraId="1D86476B" w14:textId="77777777" w:rsidR="00E02F30" w:rsidRPr="00E02F30" w:rsidRDefault="00E02F30" w:rsidP="00E02F30">
                  <w:pPr>
                    <w:ind w:left="112"/>
                    <w:rPr>
                      <w:rFonts w:cs="Arial"/>
                      <w:sz w:val="20"/>
                      <w:szCs w:val="20"/>
                    </w:rPr>
                  </w:pPr>
                  <w:r w:rsidRPr="00E02F30">
                    <w:rPr>
                      <w:rFonts w:cs="Arial"/>
                      <w:sz w:val="20"/>
                      <w:szCs w:val="20"/>
                    </w:rPr>
                    <w:t>Cyklon</w:t>
                  </w:r>
                </w:p>
              </w:tc>
              <w:tc>
                <w:tcPr>
                  <w:tcW w:w="1914" w:type="dxa"/>
                  <w:tcBorders>
                    <w:top w:val="single" w:sz="4" w:space="0" w:color="000000"/>
                    <w:left w:val="single" w:sz="4" w:space="0" w:color="000000"/>
                    <w:bottom w:val="single" w:sz="4" w:space="0" w:color="000000"/>
                    <w:right w:val="nil"/>
                  </w:tcBorders>
                </w:tcPr>
                <w:p w14:paraId="436E9CED" w14:textId="77777777" w:rsidR="00E02F30" w:rsidRPr="00E02F30" w:rsidRDefault="00E02F30" w:rsidP="00E02F30">
                  <w:pPr>
                    <w:ind w:left="112"/>
                    <w:rPr>
                      <w:rFonts w:cs="Arial"/>
                      <w:sz w:val="20"/>
                      <w:szCs w:val="20"/>
                    </w:rPr>
                  </w:pPr>
                  <w:r w:rsidRPr="00E02F30">
                    <w:rPr>
                      <w:rFonts w:cs="Arial"/>
                      <w:sz w:val="20"/>
                      <w:szCs w:val="20"/>
                    </w:rPr>
                    <w:t>Zob. sekcja 1.4.1.</w:t>
                  </w:r>
                </w:p>
              </w:tc>
              <w:tc>
                <w:tcPr>
                  <w:tcW w:w="2117" w:type="dxa"/>
                  <w:tcBorders>
                    <w:top w:val="single" w:sz="4" w:space="0" w:color="000000"/>
                    <w:left w:val="nil"/>
                    <w:bottom w:val="single" w:sz="4" w:space="0" w:color="000000"/>
                    <w:right w:val="nil"/>
                  </w:tcBorders>
                </w:tcPr>
                <w:p w14:paraId="05870DC3" w14:textId="77777777" w:rsidR="00E02F30" w:rsidRPr="00E02F30" w:rsidRDefault="00E02F30" w:rsidP="00E02F30">
                  <w:pPr>
                    <w:rPr>
                      <w:rFonts w:cs="Arial"/>
                      <w:sz w:val="20"/>
                      <w:szCs w:val="20"/>
                    </w:rPr>
                  </w:pPr>
                </w:p>
              </w:tc>
            </w:tr>
            <w:tr w:rsidR="00E02F30" w:rsidRPr="00E02F30" w14:paraId="4B2EB274" w14:textId="77777777" w:rsidTr="00A1631B">
              <w:trPr>
                <w:trHeight w:val="359"/>
              </w:trPr>
              <w:tc>
                <w:tcPr>
                  <w:tcW w:w="448" w:type="dxa"/>
                  <w:tcBorders>
                    <w:top w:val="single" w:sz="4" w:space="0" w:color="000000"/>
                    <w:left w:val="nil"/>
                    <w:bottom w:val="single" w:sz="4" w:space="0" w:color="000000"/>
                    <w:right w:val="single" w:sz="4" w:space="0" w:color="000000"/>
                  </w:tcBorders>
                </w:tcPr>
                <w:p w14:paraId="7148A2BC" w14:textId="77777777" w:rsidR="00E02F30" w:rsidRPr="00E02F30" w:rsidRDefault="00E02F30" w:rsidP="00E02F30">
                  <w:pPr>
                    <w:ind w:left="95"/>
                    <w:rPr>
                      <w:rFonts w:cs="Arial"/>
                      <w:sz w:val="20"/>
                      <w:szCs w:val="20"/>
                    </w:rPr>
                  </w:pPr>
                  <w:r w:rsidRPr="00E02F30">
                    <w:rPr>
                      <w:rFonts w:cs="Arial"/>
                      <w:sz w:val="20"/>
                      <w:szCs w:val="20"/>
                    </w:rPr>
                    <w:t>b)</w:t>
                  </w:r>
                </w:p>
              </w:tc>
              <w:tc>
                <w:tcPr>
                  <w:tcW w:w="3685" w:type="dxa"/>
                  <w:tcBorders>
                    <w:top w:val="single" w:sz="4" w:space="0" w:color="000000"/>
                    <w:left w:val="single" w:sz="4" w:space="0" w:color="000000"/>
                    <w:bottom w:val="single" w:sz="4" w:space="0" w:color="000000"/>
                    <w:right w:val="single" w:sz="4" w:space="0" w:color="000000"/>
                  </w:tcBorders>
                </w:tcPr>
                <w:p w14:paraId="0A97E7A2" w14:textId="77777777" w:rsidR="00E02F30" w:rsidRPr="00E02F30" w:rsidRDefault="00E02F30" w:rsidP="00E02F30">
                  <w:pPr>
                    <w:ind w:left="112"/>
                    <w:rPr>
                      <w:rFonts w:cs="Arial"/>
                      <w:sz w:val="20"/>
                      <w:szCs w:val="20"/>
                    </w:rPr>
                  </w:pPr>
                  <w:r w:rsidRPr="00E02F30">
                    <w:rPr>
                      <w:rFonts w:cs="Arial"/>
                      <w:sz w:val="20"/>
                      <w:szCs w:val="20"/>
                    </w:rPr>
                    <w:t>Filtr tkaninowy</w:t>
                  </w:r>
                </w:p>
              </w:tc>
              <w:tc>
                <w:tcPr>
                  <w:tcW w:w="1914" w:type="dxa"/>
                  <w:tcBorders>
                    <w:top w:val="single" w:sz="4" w:space="0" w:color="000000"/>
                    <w:left w:val="single" w:sz="4" w:space="0" w:color="000000"/>
                    <w:bottom w:val="single" w:sz="4" w:space="0" w:color="000000"/>
                    <w:right w:val="nil"/>
                  </w:tcBorders>
                </w:tcPr>
                <w:p w14:paraId="009DE389" w14:textId="77777777" w:rsidR="00E02F30" w:rsidRPr="00E02F30" w:rsidRDefault="00E02F30" w:rsidP="00E02F30">
                  <w:pPr>
                    <w:ind w:left="112"/>
                    <w:rPr>
                      <w:rFonts w:cs="Arial"/>
                      <w:sz w:val="20"/>
                      <w:szCs w:val="20"/>
                    </w:rPr>
                  </w:pPr>
                  <w:r w:rsidRPr="00E02F30">
                    <w:rPr>
                      <w:rFonts w:cs="Arial"/>
                      <w:sz w:val="20"/>
                      <w:szCs w:val="20"/>
                    </w:rPr>
                    <w:t>Zob. sekcja 1.4.1.</w:t>
                  </w:r>
                </w:p>
              </w:tc>
              <w:tc>
                <w:tcPr>
                  <w:tcW w:w="2117" w:type="dxa"/>
                  <w:tcBorders>
                    <w:top w:val="single" w:sz="4" w:space="0" w:color="000000"/>
                    <w:left w:val="nil"/>
                    <w:bottom w:val="single" w:sz="4" w:space="0" w:color="000000"/>
                    <w:right w:val="nil"/>
                  </w:tcBorders>
                </w:tcPr>
                <w:p w14:paraId="442E9C4B" w14:textId="77777777" w:rsidR="00E02F30" w:rsidRPr="00E02F30" w:rsidRDefault="00E02F30" w:rsidP="00E02F30">
                  <w:pPr>
                    <w:rPr>
                      <w:rFonts w:cs="Arial"/>
                      <w:sz w:val="20"/>
                      <w:szCs w:val="20"/>
                    </w:rPr>
                  </w:pPr>
                </w:p>
              </w:tc>
            </w:tr>
            <w:tr w:rsidR="00E02F30" w:rsidRPr="00E02F30" w14:paraId="2B516A9A" w14:textId="77777777" w:rsidTr="00A1631B">
              <w:trPr>
                <w:trHeight w:val="359"/>
              </w:trPr>
              <w:tc>
                <w:tcPr>
                  <w:tcW w:w="448" w:type="dxa"/>
                  <w:tcBorders>
                    <w:top w:val="single" w:sz="4" w:space="0" w:color="000000"/>
                    <w:left w:val="nil"/>
                    <w:bottom w:val="single" w:sz="4" w:space="0" w:color="000000"/>
                    <w:right w:val="single" w:sz="4" w:space="0" w:color="000000"/>
                  </w:tcBorders>
                </w:tcPr>
                <w:p w14:paraId="5980DCD6" w14:textId="77777777" w:rsidR="00E02F30" w:rsidRPr="00E02F30" w:rsidRDefault="00E02F30" w:rsidP="00E02F30">
                  <w:pPr>
                    <w:ind w:left="103"/>
                    <w:rPr>
                      <w:rFonts w:cs="Arial"/>
                      <w:sz w:val="20"/>
                      <w:szCs w:val="20"/>
                    </w:rPr>
                  </w:pPr>
                  <w:r w:rsidRPr="00E02F30">
                    <w:rPr>
                      <w:rFonts w:cs="Arial"/>
                      <w:sz w:val="20"/>
                      <w:szCs w:val="20"/>
                    </w:rPr>
                    <w:t>c)</w:t>
                  </w:r>
                </w:p>
              </w:tc>
              <w:tc>
                <w:tcPr>
                  <w:tcW w:w="3685" w:type="dxa"/>
                  <w:tcBorders>
                    <w:top w:val="single" w:sz="4" w:space="0" w:color="000000"/>
                    <w:left w:val="single" w:sz="4" w:space="0" w:color="000000"/>
                    <w:bottom w:val="single" w:sz="4" w:space="0" w:color="000000"/>
                    <w:right w:val="single" w:sz="4" w:space="0" w:color="000000"/>
                  </w:tcBorders>
                </w:tcPr>
                <w:p w14:paraId="3FA4EFA2" w14:textId="77777777" w:rsidR="00E02F30" w:rsidRPr="00E02F30" w:rsidRDefault="00E02F30" w:rsidP="00E02F30">
                  <w:pPr>
                    <w:ind w:left="112"/>
                    <w:rPr>
                      <w:rFonts w:cs="Arial"/>
                      <w:sz w:val="20"/>
                      <w:szCs w:val="20"/>
                    </w:rPr>
                  </w:pPr>
                  <w:r w:rsidRPr="00E02F30">
                    <w:rPr>
                      <w:rFonts w:cs="Arial"/>
                      <w:sz w:val="20"/>
                      <w:szCs w:val="20"/>
                    </w:rPr>
                    <w:t>Absorpcja</w:t>
                  </w:r>
                </w:p>
              </w:tc>
              <w:tc>
                <w:tcPr>
                  <w:tcW w:w="1914" w:type="dxa"/>
                  <w:tcBorders>
                    <w:top w:val="single" w:sz="4" w:space="0" w:color="000000"/>
                    <w:left w:val="single" w:sz="4" w:space="0" w:color="000000"/>
                    <w:bottom w:val="single" w:sz="4" w:space="0" w:color="000000"/>
                    <w:right w:val="nil"/>
                  </w:tcBorders>
                </w:tcPr>
                <w:p w14:paraId="3589F74A" w14:textId="77777777" w:rsidR="00E02F30" w:rsidRPr="00E02F30" w:rsidRDefault="00E02F30" w:rsidP="00E02F30">
                  <w:pPr>
                    <w:ind w:left="112"/>
                    <w:rPr>
                      <w:rFonts w:cs="Arial"/>
                      <w:sz w:val="20"/>
                      <w:szCs w:val="20"/>
                    </w:rPr>
                  </w:pPr>
                  <w:r w:rsidRPr="00E02F30">
                    <w:rPr>
                      <w:rFonts w:cs="Arial"/>
                      <w:sz w:val="20"/>
                      <w:szCs w:val="20"/>
                    </w:rPr>
                    <w:t>Zob. sekcja 1.4.1.</w:t>
                  </w:r>
                </w:p>
              </w:tc>
              <w:tc>
                <w:tcPr>
                  <w:tcW w:w="2117" w:type="dxa"/>
                  <w:tcBorders>
                    <w:top w:val="single" w:sz="4" w:space="0" w:color="000000"/>
                    <w:left w:val="nil"/>
                    <w:bottom w:val="single" w:sz="4" w:space="0" w:color="000000"/>
                    <w:right w:val="nil"/>
                  </w:tcBorders>
                </w:tcPr>
                <w:p w14:paraId="08E098C5" w14:textId="77777777" w:rsidR="00E02F30" w:rsidRPr="00E02F30" w:rsidRDefault="00E02F30" w:rsidP="00E02F30">
                  <w:pPr>
                    <w:rPr>
                      <w:rFonts w:cs="Arial"/>
                      <w:sz w:val="20"/>
                      <w:szCs w:val="20"/>
                    </w:rPr>
                  </w:pPr>
                </w:p>
              </w:tc>
            </w:tr>
          </w:tbl>
          <w:p w14:paraId="6D734FCA"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25492302" w14:textId="77777777" w:rsidTr="00A1631B">
        <w:trPr>
          <w:trHeight w:val="284"/>
        </w:trPr>
        <w:tc>
          <w:tcPr>
            <w:tcW w:w="1985" w:type="dxa"/>
            <w:gridSpan w:val="2"/>
            <w:shd w:val="clear" w:color="auto" w:fill="auto"/>
            <w:vAlign w:val="center"/>
          </w:tcPr>
          <w:p w14:paraId="63831773"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37278BE4"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032E8000"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29F12F22"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W instalacji nie są odzyskiwane materiały z gazów odlotowych z procesu technologicznego (brak technologicznego uzasadnienia ze względu na skalę działalności i zastosowane urządzenia). Zastosowane urządzenia ochronne przedstawiono w opisie spełnienia wymogów BAT 14.</w:t>
            </w:r>
          </w:p>
          <w:p w14:paraId="24A9E87F"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Wszystkie odpady powstające w stosowanych urządzeniach ograniczających emisję pyłu są segregowane, ważone, znakowane i magazynowane w wyznaczonych miejscach, a następnie przekazywane odbiorcom zewnętrznym celem odzysku i/lub unieszkodliwienia</w:t>
            </w:r>
          </w:p>
        </w:tc>
      </w:tr>
      <w:tr w:rsidR="00E02F30" w:rsidRPr="00E02F30" w14:paraId="672BAD1B" w14:textId="77777777" w:rsidTr="00A1631B">
        <w:trPr>
          <w:trHeight w:val="284"/>
        </w:trPr>
        <w:tc>
          <w:tcPr>
            <w:tcW w:w="10632" w:type="dxa"/>
            <w:gridSpan w:val="6"/>
            <w:shd w:val="clear" w:color="auto" w:fill="auto"/>
          </w:tcPr>
          <w:p w14:paraId="01D0D986"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14</w:t>
            </w:r>
          </w:p>
          <w:p w14:paraId="44359C55"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Aby ograniczyć emisje zorganizowane do powietrza pyłu i metali zawartych w pyle, w ramach BAT należy stosować jedną z poniższych technik lub ich kombinację.</w:t>
            </w:r>
          </w:p>
          <w:p w14:paraId="57BB3AA0" w14:textId="77777777" w:rsidR="00E02F30" w:rsidRPr="00E02F30" w:rsidRDefault="00E02F30" w:rsidP="00E02F30">
            <w:pPr>
              <w:spacing w:after="0" w:line="240" w:lineRule="auto"/>
              <w:rPr>
                <w:rFonts w:eastAsia="Times New Roman" w:cs="Arial"/>
                <w:bCs/>
                <w:sz w:val="20"/>
                <w:szCs w:val="20"/>
                <w:lang w:eastAsia="pl-PL"/>
              </w:rPr>
            </w:pPr>
          </w:p>
          <w:tbl>
            <w:tblPr>
              <w:tblStyle w:val="TableGrid"/>
              <w:tblW w:w="4000" w:type="pct"/>
              <w:tblInd w:w="1020" w:type="dxa"/>
              <w:tblLayout w:type="fixed"/>
              <w:tblCellMar>
                <w:top w:w="107" w:type="dxa"/>
                <w:left w:w="95" w:type="dxa"/>
              </w:tblCellMar>
              <w:tblLook w:val="04A0" w:firstRow="1" w:lastRow="0" w:firstColumn="1" w:lastColumn="0" w:noHBand="0" w:noVBand="1"/>
            </w:tblPr>
            <w:tblGrid>
              <w:gridCol w:w="458"/>
              <w:gridCol w:w="2199"/>
              <w:gridCol w:w="2025"/>
              <w:gridCol w:w="3651"/>
            </w:tblGrid>
            <w:tr w:rsidR="00E02F30" w:rsidRPr="00E02F30" w14:paraId="1385E5BD" w14:textId="77777777" w:rsidTr="00A1631B">
              <w:trPr>
                <w:trHeight w:val="343"/>
              </w:trPr>
              <w:tc>
                <w:tcPr>
                  <w:tcW w:w="448" w:type="dxa"/>
                  <w:tcBorders>
                    <w:top w:val="single" w:sz="4" w:space="0" w:color="000000"/>
                    <w:left w:val="nil"/>
                    <w:bottom w:val="single" w:sz="4" w:space="0" w:color="000000"/>
                    <w:right w:val="nil"/>
                  </w:tcBorders>
                </w:tcPr>
                <w:p w14:paraId="44C5037C" w14:textId="77777777" w:rsidR="00E02F30" w:rsidRPr="00E02F30" w:rsidRDefault="00E02F30" w:rsidP="00E02F30">
                  <w:pPr>
                    <w:rPr>
                      <w:rFonts w:cs="Arial"/>
                      <w:sz w:val="20"/>
                      <w:szCs w:val="20"/>
                    </w:rPr>
                  </w:pPr>
                </w:p>
              </w:tc>
              <w:tc>
                <w:tcPr>
                  <w:tcW w:w="2154" w:type="dxa"/>
                  <w:tcBorders>
                    <w:top w:val="single" w:sz="4" w:space="0" w:color="000000"/>
                    <w:left w:val="nil"/>
                    <w:bottom w:val="single" w:sz="4" w:space="0" w:color="000000"/>
                    <w:right w:val="single" w:sz="4" w:space="0" w:color="000000"/>
                  </w:tcBorders>
                </w:tcPr>
                <w:p w14:paraId="55239372" w14:textId="77777777" w:rsidR="00E02F30" w:rsidRPr="00E02F30" w:rsidRDefault="00E02F30" w:rsidP="00E02F30">
                  <w:pPr>
                    <w:ind w:left="404"/>
                    <w:rPr>
                      <w:rFonts w:cs="Arial"/>
                      <w:sz w:val="20"/>
                      <w:szCs w:val="20"/>
                    </w:rPr>
                  </w:pPr>
                  <w:r w:rsidRPr="00E02F30">
                    <w:rPr>
                      <w:rFonts w:cs="Arial"/>
                      <w:sz w:val="20"/>
                      <w:szCs w:val="20"/>
                    </w:rPr>
                    <w:t>Technika</w:t>
                  </w:r>
                </w:p>
              </w:tc>
              <w:tc>
                <w:tcPr>
                  <w:tcW w:w="1984" w:type="dxa"/>
                  <w:tcBorders>
                    <w:top w:val="single" w:sz="4" w:space="0" w:color="000000"/>
                    <w:left w:val="single" w:sz="4" w:space="0" w:color="000000"/>
                    <w:bottom w:val="single" w:sz="4" w:space="0" w:color="000000"/>
                    <w:right w:val="single" w:sz="4" w:space="0" w:color="000000"/>
                  </w:tcBorders>
                </w:tcPr>
                <w:p w14:paraId="50DC6FBA" w14:textId="77777777" w:rsidR="00E02F30" w:rsidRPr="00E02F30" w:rsidRDefault="00E02F30" w:rsidP="00E02F30">
                  <w:pPr>
                    <w:ind w:right="95"/>
                    <w:jc w:val="center"/>
                    <w:rPr>
                      <w:rFonts w:cs="Arial"/>
                      <w:sz w:val="20"/>
                      <w:szCs w:val="20"/>
                    </w:rPr>
                  </w:pPr>
                  <w:r w:rsidRPr="00E02F30">
                    <w:rPr>
                      <w:rFonts w:cs="Arial"/>
                      <w:sz w:val="20"/>
                      <w:szCs w:val="20"/>
                    </w:rPr>
                    <w:t>Opis</w:t>
                  </w:r>
                </w:p>
              </w:tc>
              <w:tc>
                <w:tcPr>
                  <w:tcW w:w="3577" w:type="dxa"/>
                  <w:tcBorders>
                    <w:top w:val="single" w:sz="4" w:space="0" w:color="000000"/>
                    <w:left w:val="single" w:sz="4" w:space="0" w:color="000000"/>
                    <w:bottom w:val="single" w:sz="4" w:space="0" w:color="000000"/>
                    <w:right w:val="nil"/>
                  </w:tcBorders>
                </w:tcPr>
                <w:p w14:paraId="33B72151" w14:textId="77777777" w:rsidR="00E02F30" w:rsidRPr="00E02F30" w:rsidRDefault="00E02F30" w:rsidP="00E02F30">
                  <w:pPr>
                    <w:ind w:left="16"/>
                    <w:jc w:val="center"/>
                    <w:rPr>
                      <w:rFonts w:cs="Arial"/>
                      <w:sz w:val="20"/>
                      <w:szCs w:val="20"/>
                    </w:rPr>
                  </w:pPr>
                  <w:r w:rsidRPr="00E02F30">
                    <w:rPr>
                      <w:rFonts w:cs="Arial"/>
                      <w:sz w:val="20"/>
                      <w:szCs w:val="20"/>
                    </w:rPr>
                    <w:t>Stosowanie</w:t>
                  </w:r>
                </w:p>
              </w:tc>
            </w:tr>
            <w:tr w:rsidR="00E02F30" w:rsidRPr="00E02F30" w14:paraId="34F2F998" w14:textId="77777777" w:rsidTr="00A1631B">
              <w:trPr>
                <w:trHeight w:val="998"/>
              </w:trPr>
              <w:tc>
                <w:tcPr>
                  <w:tcW w:w="448" w:type="dxa"/>
                  <w:tcBorders>
                    <w:top w:val="single" w:sz="4" w:space="0" w:color="000000"/>
                    <w:left w:val="nil"/>
                    <w:bottom w:val="single" w:sz="4" w:space="0" w:color="000000"/>
                    <w:right w:val="single" w:sz="4" w:space="0" w:color="000000"/>
                  </w:tcBorders>
                  <w:vAlign w:val="center"/>
                </w:tcPr>
                <w:p w14:paraId="12CB37D0" w14:textId="77777777" w:rsidR="00E02F30" w:rsidRPr="00E02F30" w:rsidRDefault="00E02F30" w:rsidP="00E02F30">
                  <w:pPr>
                    <w:ind w:left="7"/>
                    <w:rPr>
                      <w:rFonts w:cs="Arial"/>
                      <w:sz w:val="20"/>
                      <w:szCs w:val="20"/>
                    </w:rPr>
                  </w:pPr>
                  <w:r w:rsidRPr="00E02F30">
                    <w:rPr>
                      <w:rFonts w:cs="Arial"/>
                      <w:sz w:val="20"/>
                      <w:szCs w:val="20"/>
                    </w:rPr>
                    <w:t>a)</w:t>
                  </w:r>
                </w:p>
              </w:tc>
              <w:tc>
                <w:tcPr>
                  <w:tcW w:w="2154" w:type="dxa"/>
                  <w:tcBorders>
                    <w:top w:val="single" w:sz="4" w:space="0" w:color="000000"/>
                    <w:left w:val="single" w:sz="4" w:space="0" w:color="000000"/>
                    <w:bottom w:val="single" w:sz="4" w:space="0" w:color="000000"/>
                    <w:right w:val="single" w:sz="4" w:space="0" w:color="000000"/>
                  </w:tcBorders>
                  <w:vAlign w:val="center"/>
                </w:tcPr>
                <w:p w14:paraId="1928EA3A" w14:textId="77777777" w:rsidR="00E02F30" w:rsidRPr="00E02F30" w:rsidRDefault="00E02F30" w:rsidP="00E02F30">
                  <w:pPr>
                    <w:ind w:left="17"/>
                    <w:rPr>
                      <w:rFonts w:cs="Arial"/>
                      <w:sz w:val="20"/>
                      <w:szCs w:val="20"/>
                    </w:rPr>
                  </w:pPr>
                  <w:r w:rsidRPr="00E02F30">
                    <w:rPr>
                      <w:rFonts w:cs="Arial"/>
                      <w:sz w:val="20"/>
                      <w:szCs w:val="20"/>
                    </w:rPr>
                    <w:t>Filtr absolutny</w:t>
                  </w:r>
                </w:p>
              </w:tc>
              <w:tc>
                <w:tcPr>
                  <w:tcW w:w="1984" w:type="dxa"/>
                  <w:tcBorders>
                    <w:top w:val="single" w:sz="4" w:space="0" w:color="000000"/>
                    <w:left w:val="single" w:sz="4" w:space="0" w:color="000000"/>
                    <w:bottom w:val="single" w:sz="4" w:space="0" w:color="000000"/>
                    <w:right w:val="single" w:sz="4" w:space="0" w:color="000000"/>
                  </w:tcBorders>
                  <w:vAlign w:val="center"/>
                </w:tcPr>
                <w:p w14:paraId="51AE675F" w14:textId="77777777" w:rsidR="00E02F30" w:rsidRPr="00E02F30" w:rsidRDefault="00E02F30" w:rsidP="00E02F30">
                  <w:pPr>
                    <w:ind w:left="17"/>
                    <w:rPr>
                      <w:rFonts w:cs="Arial"/>
                      <w:sz w:val="20"/>
                      <w:szCs w:val="20"/>
                    </w:rPr>
                  </w:pPr>
                  <w:r w:rsidRPr="00E02F30">
                    <w:rPr>
                      <w:rFonts w:cs="Arial"/>
                      <w:sz w:val="20"/>
                      <w:szCs w:val="20"/>
                    </w:rPr>
                    <w:t>Zob. sekcja 1.4.1.</w:t>
                  </w:r>
                </w:p>
              </w:tc>
              <w:tc>
                <w:tcPr>
                  <w:tcW w:w="3577" w:type="dxa"/>
                  <w:tcBorders>
                    <w:top w:val="single" w:sz="4" w:space="0" w:color="000000"/>
                    <w:left w:val="single" w:sz="4" w:space="0" w:color="000000"/>
                    <w:bottom w:val="single" w:sz="4" w:space="0" w:color="000000"/>
                    <w:right w:val="nil"/>
                  </w:tcBorders>
                </w:tcPr>
                <w:p w14:paraId="2AC0791C" w14:textId="77777777" w:rsidR="00E02F30" w:rsidRPr="00E02F30" w:rsidRDefault="00E02F30" w:rsidP="00E02F30">
                  <w:pPr>
                    <w:ind w:left="17"/>
                    <w:jc w:val="center"/>
                    <w:rPr>
                      <w:rFonts w:cs="Arial"/>
                      <w:sz w:val="20"/>
                      <w:szCs w:val="20"/>
                    </w:rPr>
                  </w:pPr>
                  <w:r w:rsidRPr="00E02F30">
                    <w:rPr>
                      <w:rFonts w:cs="Arial"/>
                      <w:sz w:val="20"/>
                      <w:szCs w:val="20"/>
                    </w:rPr>
                    <w:t>Zastosowanie tej techniki może być ograniczone w przypadku lepkiego pyłu lub gdy temperatura gazów odlotowych jest niższa niż temperatura punktu rosy.</w:t>
                  </w:r>
                </w:p>
              </w:tc>
            </w:tr>
            <w:tr w:rsidR="00E02F30" w:rsidRPr="00E02F30" w14:paraId="4A9318EA" w14:textId="77777777" w:rsidTr="00A1631B">
              <w:trPr>
                <w:trHeight w:val="359"/>
              </w:trPr>
              <w:tc>
                <w:tcPr>
                  <w:tcW w:w="448" w:type="dxa"/>
                  <w:tcBorders>
                    <w:top w:val="single" w:sz="4" w:space="0" w:color="000000"/>
                    <w:left w:val="nil"/>
                    <w:bottom w:val="single" w:sz="4" w:space="0" w:color="000000"/>
                    <w:right w:val="single" w:sz="4" w:space="0" w:color="000000"/>
                  </w:tcBorders>
                </w:tcPr>
                <w:p w14:paraId="685E0E90" w14:textId="77777777" w:rsidR="00E02F30" w:rsidRPr="00E02F30" w:rsidRDefault="00E02F30" w:rsidP="00E02F30">
                  <w:pPr>
                    <w:rPr>
                      <w:rFonts w:cs="Arial"/>
                      <w:sz w:val="20"/>
                      <w:szCs w:val="20"/>
                    </w:rPr>
                  </w:pPr>
                  <w:r w:rsidRPr="00E02F30">
                    <w:rPr>
                      <w:rFonts w:cs="Arial"/>
                      <w:sz w:val="20"/>
                      <w:szCs w:val="20"/>
                    </w:rPr>
                    <w:t>b)</w:t>
                  </w:r>
                </w:p>
              </w:tc>
              <w:tc>
                <w:tcPr>
                  <w:tcW w:w="2154" w:type="dxa"/>
                  <w:tcBorders>
                    <w:top w:val="single" w:sz="4" w:space="0" w:color="000000"/>
                    <w:left w:val="single" w:sz="4" w:space="0" w:color="000000"/>
                    <w:bottom w:val="single" w:sz="4" w:space="0" w:color="000000"/>
                    <w:right w:val="single" w:sz="4" w:space="0" w:color="000000"/>
                  </w:tcBorders>
                </w:tcPr>
                <w:p w14:paraId="7B619C0D" w14:textId="77777777" w:rsidR="00E02F30" w:rsidRPr="00E02F30" w:rsidRDefault="00E02F30" w:rsidP="00E02F30">
                  <w:pPr>
                    <w:ind w:left="17"/>
                    <w:rPr>
                      <w:rFonts w:cs="Arial"/>
                      <w:sz w:val="20"/>
                      <w:szCs w:val="20"/>
                    </w:rPr>
                  </w:pPr>
                  <w:r w:rsidRPr="00E02F30">
                    <w:rPr>
                      <w:rFonts w:cs="Arial"/>
                      <w:sz w:val="20"/>
                      <w:szCs w:val="20"/>
                    </w:rPr>
                    <w:t>Absorpcja</w:t>
                  </w:r>
                </w:p>
              </w:tc>
              <w:tc>
                <w:tcPr>
                  <w:tcW w:w="1984" w:type="dxa"/>
                  <w:tcBorders>
                    <w:top w:val="single" w:sz="4" w:space="0" w:color="000000"/>
                    <w:left w:val="single" w:sz="4" w:space="0" w:color="000000"/>
                    <w:bottom w:val="single" w:sz="4" w:space="0" w:color="000000"/>
                    <w:right w:val="single" w:sz="4" w:space="0" w:color="000000"/>
                  </w:tcBorders>
                </w:tcPr>
                <w:p w14:paraId="6AAC9495" w14:textId="77777777" w:rsidR="00E02F30" w:rsidRPr="00E02F30" w:rsidRDefault="00E02F30" w:rsidP="00E02F30">
                  <w:pPr>
                    <w:ind w:left="17"/>
                    <w:rPr>
                      <w:rFonts w:cs="Arial"/>
                      <w:sz w:val="20"/>
                      <w:szCs w:val="20"/>
                    </w:rPr>
                  </w:pPr>
                  <w:r w:rsidRPr="00E02F30">
                    <w:rPr>
                      <w:rFonts w:cs="Arial"/>
                      <w:sz w:val="20"/>
                      <w:szCs w:val="20"/>
                    </w:rPr>
                    <w:t>Zob. sekcja 1.4.1.</w:t>
                  </w:r>
                </w:p>
              </w:tc>
              <w:tc>
                <w:tcPr>
                  <w:tcW w:w="3577" w:type="dxa"/>
                  <w:tcBorders>
                    <w:top w:val="single" w:sz="4" w:space="0" w:color="000000"/>
                    <w:left w:val="single" w:sz="4" w:space="0" w:color="000000"/>
                    <w:bottom w:val="single" w:sz="4" w:space="0" w:color="000000"/>
                    <w:right w:val="nil"/>
                  </w:tcBorders>
                </w:tcPr>
                <w:p w14:paraId="79CD0DB0" w14:textId="77777777" w:rsidR="00E02F30" w:rsidRPr="00E02F30" w:rsidRDefault="00E02F30" w:rsidP="00E02F30">
                  <w:pPr>
                    <w:ind w:left="17"/>
                    <w:rPr>
                      <w:rFonts w:cs="Arial"/>
                      <w:sz w:val="20"/>
                      <w:szCs w:val="20"/>
                    </w:rPr>
                  </w:pPr>
                  <w:r w:rsidRPr="00E02F30">
                    <w:rPr>
                      <w:rFonts w:cs="Arial"/>
                      <w:sz w:val="20"/>
                      <w:szCs w:val="20"/>
                    </w:rPr>
                    <w:t>Zastosowanie ogólne</w:t>
                  </w:r>
                </w:p>
              </w:tc>
            </w:tr>
            <w:tr w:rsidR="00E02F30" w:rsidRPr="00E02F30" w14:paraId="4F45E29D" w14:textId="77777777" w:rsidTr="00A1631B">
              <w:trPr>
                <w:trHeight w:val="998"/>
              </w:trPr>
              <w:tc>
                <w:tcPr>
                  <w:tcW w:w="448" w:type="dxa"/>
                  <w:tcBorders>
                    <w:top w:val="single" w:sz="4" w:space="0" w:color="000000"/>
                    <w:left w:val="nil"/>
                    <w:bottom w:val="single" w:sz="4" w:space="0" w:color="000000"/>
                    <w:right w:val="single" w:sz="4" w:space="0" w:color="000000"/>
                  </w:tcBorders>
                  <w:vAlign w:val="center"/>
                </w:tcPr>
                <w:p w14:paraId="082FAC24" w14:textId="77777777" w:rsidR="00E02F30" w:rsidRPr="00E02F30" w:rsidRDefault="00E02F30" w:rsidP="00E02F30">
                  <w:pPr>
                    <w:ind w:left="8"/>
                    <w:rPr>
                      <w:rFonts w:cs="Arial"/>
                      <w:sz w:val="20"/>
                      <w:szCs w:val="20"/>
                    </w:rPr>
                  </w:pPr>
                  <w:r w:rsidRPr="00E02F30">
                    <w:rPr>
                      <w:rFonts w:cs="Arial"/>
                      <w:sz w:val="20"/>
                      <w:szCs w:val="20"/>
                    </w:rPr>
                    <w:t>c)</w:t>
                  </w:r>
                </w:p>
              </w:tc>
              <w:tc>
                <w:tcPr>
                  <w:tcW w:w="2154" w:type="dxa"/>
                  <w:tcBorders>
                    <w:top w:val="single" w:sz="4" w:space="0" w:color="000000"/>
                    <w:left w:val="single" w:sz="4" w:space="0" w:color="000000"/>
                    <w:bottom w:val="single" w:sz="4" w:space="0" w:color="000000"/>
                    <w:right w:val="single" w:sz="4" w:space="0" w:color="000000"/>
                  </w:tcBorders>
                  <w:vAlign w:val="center"/>
                </w:tcPr>
                <w:p w14:paraId="27EBA078" w14:textId="77777777" w:rsidR="00E02F30" w:rsidRPr="00E02F30" w:rsidRDefault="00E02F30" w:rsidP="00E02F30">
                  <w:pPr>
                    <w:ind w:left="17"/>
                    <w:rPr>
                      <w:rFonts w:cs="Arial"/>
                      <w:sz w:val="20"/>
                      <w:szCs w:val="20"/>
                    </w:rPr>
                  </w:pPr>
                  <w:r w:rsidRPr="00E02F30">
                    <w:rPr>
                      <w:rFonts w:cs="Arial"/>
                      <w:sz w:val="20"/>
                      <w:szCs w:val="20"/>
                    </w:rPr>
                    <w:t>Filtr tkaninowy</w:t>
                  </w:r>
                </w:p>
              </w:tc>
              <w:tc>
                <w:tcPr>
                  <w:tcW w:w="1984" w:type="dxa"/>
                  <w:tcBorders>
                    <w:top w:val="single" w:sz="4" w:space="0" w:color="000000"/>
                    <w:left w:val="single" w:sz="4" w:space="0" w:color="000000"/>
                    <w:bottom w:val="single" w:sz="4" w:space="0" w:color="000000"/>
                    <w:right w:val="single" w:sz="4" w:space="0" w:color="000000"/>
                  </w:tcBorders>
                  <w:vAlign w:val="center"/>
                </w:tcPr>
                <w:p w14:paraId="1577E8B3" w14:textId="77777777" w:rsidR="00E02F30" w:rsidRPr="00E02F30" w:rsidRDefault="00E02F30" w:rsidP="00E02F30">
                  <w:pPr>
                    <w:ind w:left="17"/>
                    <w:rPr>
                      <w:rFonts w:cs="Arial"/>
                      <w:sz w:val="20"/>
                      <w:szCs w:val="20"/>
                    </w:rPr>
                  </w:pPr>
                  <w:r w:rsidRPr="00E02F30">
                    <w:rPr>
                      <w:rFonts w:cs="Arial"/>
                      <w:sz w:val="20"/>
                      <w:szCs w:val="20"/>
                    </w:rPr>
                    <w:t>Zob. sekcja 1.4.1.</w:t>
                  </w:r>
                </w:p>
              </w:tc>
              <w:tc>
                <w:tcPr>
                  <w:tcW w:w="3577" w:type="dxa"/>
                  <w:tcBorders>
                    <w:top w:val="single" w:sz="4" w:space="0" w:color="000000"/>
                    <w:left w:val="single" w:sz="4" w:space="0" w:color="000000"/>
                    <w:bottom w:val="single" w:sz="4" w:space="0" w:color="000000"/>
                    <w:right w:val="nil"/>
                  </w:tcBorders>
                </w:tcPr>
                <w:p w14:paraId="3426CAFC" w14:textId="77777777" w:rsidR="00E02F30" w:rsidRPr="00E02F30" w:rsidRDefault="00E02F30" w:rsidP="00E02F30">
                  <w:pPr>
                    <w:ind w:left="17"/>
                    <w:jc w:val="center"/>
                    <w:rPr>
                      <w:rFonts w:cs="Arial"/>
                      <w:sz w:val="20"/>
                      <w:szCs w:val="20"/>
                    </w:rPr>
                  </w:pPr>
                  <w:r w:rsidRPr="00E02F30">
                    <w:rPr>
                      <w:rFonts w:cs="Arial"/>
                      <w:sz w:val="20"/>
                      <w:szCs w:val="20"/>
                    </w:rPr>
                    <w:t>Zastosowanie tej techniki może być ograniczone w przypadku lepkiego pyłu lub gdy temperatura gazów odlotowych jest niższa niż temperatura punktu rosy.</w:t>
                  </w:r>
                </w:p>
              </w:tc>
            </w:tr>
            <w:tr w:rsidR="00E02F30" w:rsidRPr="00E02F30" w14:paraId="479BBB95" w14:textId="77777777" w:rsidTr="00A1631B">
              <w:trPr>
                <w:trHeight w:val="572"/>
              </w:trPr>
              <w:tc>
                <w:tcPr>
                  <w:tcW w:w="448" w:type="dxa"/>
                  <w:tcBorders>
                    <w:top w:val="single" w:sz="4" w:space="0" w:color="000000"/>
                    <w:left w:val="nil"/>
                    <w:bottom w:val="single" w:sz="4" w:space="0" w:color="000000"/>
                    <w:right w:val="single" w:sz="4" w:space="0" w:color="000000"/>
                  </w:tcBorders>
                  <w:vAlign w:val="center"/>
                </w:tcPr>
                <w:p w14:paraId="47137C4C" w14:textId="77777777" w:rsidR="00E02F30" w:rsidRPr="00E02F30" w:rsidRDefault="00E02F30" w:rsidP="00E02F30">
                  <w:pPr>
                    <w:ind w:left="5"/>
                    <w:rPr>
                      <w:rFonts w:cs="Arial"/>
                      <w:sz w:val="20"/>
                      <w:szCs w:val="20"/>
                    </w:rPr>
                  </w:pPr>
                  <w:r w:rsidRPr="00E02F30">
                    <w:rPr>
                      <w:rFonts w:cs="Arial"/>
                      <w:sz w:val="20"/>
                      <w:szCs w:val="20"/>
                    </w:rPr>
                    <w:t>d.</w:t>
                  </w:r>
                </w:p>
              </w:tc>
              <w:tc>
                <w:tcPr>
                  <w:tcW w:w="2154" w:type="dxa"/>
                  <w:tcBorders>
                    <w:top w:val="single" w:sz="4" w:space="0" w:color="000000"/>
                    <w:left w:val="single" w:sz="4" w:space="0" w:color="000000"/>
                    <w:bottom w:val="single" w:sz="4" w:space="0" w:color="000000"/>
                    <w:right w:val="single" w:sz="4" w:space="0" w:color="000000"/>
                  </w:tcBorders>
                </w:tcPr>
                <w:p w14:paraId="51945297" w14:textId="77777777" w:rsidR="00E02F30" w:rsidRPr="00E02F30" w:rsidRDefault="00E02F30" w:rsidP="00E02F30">
                  <w:pPr>
                    <w:ind w:left="17"/>
                    <w:rPr>
                      <w:rFonts w:cs="Arial"/>
                      <w:sz w:val="20"/>
                      <w:szCs w:val="20"/>
                    </w:rPr>
                  </w:pPr>
                  <w:r w:rsidRPr="00E02F30">
                    <w:rPr>
                      <w:rFonts w:cs="Arial"/>
                      <w:sz w:val="20"/>
                      <w:szCs w:val="20"/>
                    </w:rPr>
                    <w:t>Wysokosprawny filtr powietrza</w:t>
                  </w:r>
                </w:p>
              </w:tc>
              <w:tc>
                <w:tcPr>
                  <w:tcW w:w="1984" w:type="dxa"/>
                  <w:tcBorders>
                    <w:top w:val="single" w:sz="4" w:space="0" w:color="000000"/>
                    <w:left w:val="single" w:sz="4" w:space="0" w:color="000000"/>
                    <w:bottom w:val="single" w:sz="4" w:space="0" w:color="000000"/>
                    <w:right w:val="single" w:sz="4" w:space="0" w:color="000000"/>
                  </w:tcBorders>
                  <w:vAlign w:val="center"/>
                </w:tcPr>
                <w:p w14:paraId="423142AC" w14:textId="77777777" w:rsidR="00E02F30" w:rsidRPr="00E02F30" w:rsidRDefault="00E02F30" w:rsidP="00E02F30">
                  <w:pPr>
                    <w:ind w:left="17"/>
                    <w:rPr>
                      <w:rFonts w:cs="Arial"/>
                      <w:sz w:val="20"/>
                      <w:szCs w:val="20"/>
                    </w:rPr>
                  </w:pPr>
                  <w:r w:rsidRPr="00E02F30">
                    <w:rPr>
                      <w:rFonts w:cs="Arial"/>
                      <w:sz w:val="20"/>
                      <w:szCs w:val="20"/>
                    </w:rPr>
                    <w:t>Zob. sekcja 1.4.1.</w:t>
                  </w:r>
                </w:p>
              </w:tc>
              <w:tc>
                <w:tcPr>
                  <w:tcW w:w="3577" w:type="dxa"/>
                  <w:tcBorders>
                    <w:top w:val="single" w:sz="4" w:space="0" w:color="000000"/>
                    <w:left w:val="single" w:sz="4" w:space="0" w:color="000000"/>
                    <w:bottom w:val="single" w:sz="4" w:space="0" w:color="000000"/>
                    <w:right w:val="nil"/>
                  </w:tcBorders>
                  <w:vAlign w:val="center"/>
                </w:tcPr>
                <w:p w14:paraId="76D795D3" w14:textId="77777777" w:rsidR="00E02F30" w:rsidRPr="00E02F30" w:rsidRDefault="00E02F30" w:rsidP="00E02F30">
                  <w:pPr>
                    <w:ind w:left="17"/>
                    <w:rPr>
                      <w:rFonts w:cs="Arial"/>
                      <w:sz w:val="20"/>
                      <w:szCs w:val="20"/>
                    </w:rPr>
                  </w:pPr>
                  <w:r w:rsidRPr="00E02F30">
                    <w:rPr>
                      <w:rFonts w:cs="Arial"/>
                      <w:sz w:val="20"/>
                      <w:szCs w:val="20"/>
                    </w:rPr>
                    <w:t>Zastosowanie ogólne</w:t>
                  </w:r>
                </w:p>
              </w:tc>
            </w:tr>
            <w:tr w:rsidR="00E02F30" w:rsidRPr="00E02F30" w14:paraId="79C82FD2" w14:textId="77777777" w:rsidTr="00A1631B">
              <w:trPr>
                <w:trHeight w:val="359"/>
              </w:trPr>
              <w:tc>
                <w:tcPr>
                  <w:tcW w:w="448" w:type="dxa"/>
                  <w:tcBorders>
                    <w:top w:val="single" w:sz="4" w:space="0" w:color="000000"/>
                    <w:left w:val="nil"/>
                    <w:bottom w:val="single" w:sz="4" w:space="0" w:color="000000"/>
                    <w:right w:val="single" w:sz="4" w:space="0" w:color="000000"/>
                  </w:tcBorders>
                </w:tcPr>
                <w:p w14:paraId="3C782DC1" w14:textId="77777777" w:rsidR="00E02F30" w:rsidRPr="00E02F30" w:rsidRDefault="00E02F30" w:rsidP="00E02F30">
                  <w:pPr>
                    <w:ind w:left="12"/>
                    <w:rPr>
                      <w:rFonts w:cs="Arial"/>
                      <w:sz w:val="20"/>
                      <w:szCs w:val="20"/>
                    </w:rPr>
                  </w:pPr>
                  <w:r w:rsidRPr="00E02F30">
                    <w:rPr>
                      <w:rFonts w:cs="Arial"/>
                      <w:sz w:val="20"/>
                      <w:szCs w:val="20"/>
                    </w:rPr>
                    <w:t>e.</w:t>
                  </w:r>
                </w:p>
              </w:tc>
              <w:tc>
                <w:tcPr>
                  <w:tcW w:w="2154" w:type="dxa"/>
                  <w:tcBorders>
                    <w:top w:val="single" w:sz="4" w:space="0" w:color="000000"/>
                    <w:left w:val="single" w:sz="4" w:space="0" w:color="000000"/>
                    <w:bottom w:val="single" w:sz="4" w:space="0" w:color="000000"/>
                    <w:right w:val="single" w:sz="4" w:space="0" w:color="000000"/>
                  </w:tcBorders>
                </w:tcPr>
                <w:p w14:paraId="69800ACB" w14:textId="77777777" w:rsidR="00E02F30" w:rsidRPr="00E02F30" w:rsidRDefault="00E02F30" w:rsidP="00E02F30">
                  <w:pPr>
                    <w:ind w:left="17"/>
                    <w:rPr>
                      <w:rFonts w:cs="Arial"/>
                      <w:sz w:val="20"/>
                      <w:szCs w:val="20"/>
                    </w:rPr>
                  </w:pPr>
                  <w:r w:rsidRPr="00E02F30">
                    <w:rPr>
                      <w:rFonts w:cs="Arial"/>
                      <w:sz w:val="20"/>
                      <w:szCs w:val="20"/>
                    </w:rPr>
                    <w:t>Cyklon</w:t>
                  </w:r>
                </w:p>
              </w:tc>
              <w:tc>
                <w:tcPr>
                  <w:tcW w:w="1984" w:type="dxa"/>
                  <w:tcBorders>
                    <w:top w:val="single" w:sz="4" w:space="0" w:color="000000"/>
                    <w:left w:val="single" w:sz="4" w:space="0" w:color="000000"/>
                    <w:bottom w:val="single" w:sz="4" w:space="0" w:color="000000"/>
                    <w:right w:val="single" w:sz="4" w:space="0" w:color="000000"/>
                  </w:tcBorders>
                </w:tcPr>
                <w:p w14:paraId="702B0B19" w14:textId="77777777" w:rsidR="00E02F30" w:rsidRPr="00E02F30" w:rsidRDefault="00E02F30" w:rsidP="00E02F30">
                  <w:pPr>
                    <w:ind w:left="17"/>
                    <w:rPr>
                      <w:rFonts w:cs="Arial"/>
                      <w:sz w:val="20"/>
                      <w:szCs w:val="20"/>
                    </w:rPr>
                  </w:pPr>
                  <w:r w:rsidRPr="00E02F30">
                    <w:rPr>
                      <w:rFonts w:cs="Arial"/>
                      <w:sz w:val="20"/>
                      <w:szCs w:val="20"/>
                    </w:rPr>
                    <w:t>Zob. sekcja 1.4.1.</w:t>
                  </w:r>
                </w:p>
              </w:tc>
              <w:tc>
                <w:tcPr>
                  <w:tcW w:w="3577" w:type="dxa"/>
                  <w:tcBorders>
                    <w:top w:val="single" w:sz="4" w:space="0" w:color="000000"/>
                    <w:left w:val="single" w:sz="4" w:space="0" w:color="000000"/>
                    <w:bottom w:val="single" w:sz="4" w:space="0" w:color="000000"/>
                    <w:right w:val="nil"/>
                  </w:tcBorders>
                </w:tcPr>
                <w:p w14:paraId="3E55B9DD" w14:textId="77777777" w:rsidR="00E02F30" w:rsidRPr="00E02F30" w:rsidRDefault="00E02F30" w:rsidP="00E02F30">
                  <w:pPr>
                    <w:ind w:left="17"/>
                    <w:rPr>
                      <w:rFonts w:cs="Arial"/>
                      <w:sz w:val="20"/>
                      <w:szCs w:val="20"/>
                    </w:rPr>
                  </w:pPr>
                  <w:r w:rsidRPr="00E02F30">
                    <w:rPr>
                      <w:rFonts w:cs="Arial"/>
                      <w:sz w:val="20"/>
                      <w:szCs w:val="20"/>
                    </w:rPr>
                    <w:t>Zastosowanie ogólne</w:t>
                  </w:r>
                </w:p>
              </w:tc>
            </w:tr>
            <w:tr w:rsidR="00E02F30" w:rsidRPr="00E02F30" w14:paraId="1D8B44AB" w14:textId="77777777" w:rsidTr="00A1631B">
              <w:trPr>
                <w:trHeight w:val="359"/>
              </w:trPr>
              <w:tc>
                <w:tcPr>
                  <w:tcW w:w="448" w:type="dxa"/>
                  <w:tcBorders>
                    <w:top w:val="single" w:sz="4" w:space="0" w:color="000000"/>
                    <w:left w:val="nil"/>
                    <w:bottom w:val="single" w:sz="4" w:space="0" w:color="000000"/>
                    <w:right w:val="single" w:sz="4" w:space="0" w:color="000000"/>
                  </w:tcBorders>
                </w:tcPr>
                <w:p w14:paraId="0FDF71A5" w14:textId="77777777" w:rsidR="00E02F30" w:rsidRPr="00E02F30" w:rsidRDefault="00E02F30" w:rsidP="00E02F30">
                  <w:pPr>
                    <w:ind w:left="25"/>
                    <w:rPr>
                      <w:rFonts w:cs="Arial"/>
                      <w:sz w:val="20"/>
                      <w:szCs w:val="20"/>
                    </w:rPr>
                  </w:pPr>
                  <w:r w:rsidRPr="00E02F30">
                    <w:rPr>
                      <w:rFonts w:cs="Arial"/>
                      <w:sz w:val="20"/>
                      <w:szCs w:val="20"/>
                    </w:rPr>
                    <w:t>f.</w:t>
                  </w:r>
                </w:p>
              </w:tc>
              <w:tc>
                <w:tcPr>
                  <w:tcW w:w="2154" w:type="dxa"/>
                  <w:tcBorders>
                    <w:top w:val="single" w:sz="4" w:space="0" w:color="000000"/>
                    <w:left w:val="single" w:sz="4" w:space="0" w:color="000000"/>
                    <w:bottom w:val="single" w:sz="4" w:space="0" w:color="000000"/>
                    <w:right w:val="single" w:sz="4" w:space="0" w:color="000000"/>
                  </w:tcBorders>
                </w:tcPr>
                <w:p w14:paraId="0A177F37" w14:textId="77777777" w:rsidR="00E02F30" w:rsidRPr="00E02F30" w:rsidRDefault="00E02F30" w:rsidP="00E02F30">
                  <w:pPr>
                    <w:ind w:left="17"/>
                    <w:rPr>
                      <w:rFonts w:cs="Arial"/>
                      <w:sz w:val="20"/>
                      <w:szCs w:val="20"/>
                    </w:rPr>
                  </w:pPr>
                  <w:r w:rsidRPr="00E02F30">
                    <w:rPr>
                      <w:rFonts w:cs="Arial"/>
                      <w:sz w:val="20"/>
                      <w:szCs w:val="20"/>
                    </w:rPr>
                    <w:t>Elektrofiltr</w:t>
                  </w:r>
                </w:p>
              </w:tc>
              <w:tc>
                <w:tcPr>
                  <w:tcW w:w="1984" w:type="dxa"/>
                  <w:tcBorders>
                    <w:top w:val="single" w:sz="4" w:space="0" w:color="000000"/>
                    <w:left w:val="single" w:sz="4" w:space="0" w:color="000000"/>
                    <w:bottom w:val="single" w:sz="4" w:space="0" w:color="000000"/>
                    <w:right w:val="single" w:sz="4" w:space="0" w:color="000000"/>
                  </w:tcBorders>
                </w:tcPr>
                <w:p w14:paraId="42782444" w14:textId="77777777" w:rsidR="00E02F30" w:rsidRPr="00E02F30" w:rsidRDefault="00E02F30" w:rsidP="00E02F30">
                  <w:pPr>
                    <w:ind w:left="17"/>
                    <w:rPr>
                      <w:rFonts w:cs="Arial"/>
                      <w:sz w:val="20"/>
                      <w:szCs w:val="20"/>
                    </w:rPr>
                  </w:pPr>
                  <w:r w:rsidRPr="00E02F30">
                    <w:rPr>
                      <w:rFonts w:cs="Arial"/>
                      <w:sz w:val="20"/>
                      <w:szCs w:val="20"/>
                    </w:rPr>
                    <w:t>Zob. sekcja 1.4.1.</w:t>
                  </w:r>
                </w:p>
              </w:tc>
              <w:tc>
                <w:tcPr>
                  <w:tcW w:w="3577" w:type="dxa"/>
                  <w:tcBorders>
                    <w:top w:val="single" w:sz="4" w:space="0" w:color="000000"/>
                    <w:left w:val="single" w:sz="4" w:space="0" w:color="000000"/>
                    <w:bottom w:val="single" w:sz="4" w:space="0" w:color="000000"/>
                    <w:right w:val="nil"/>
                  </w:tcBorders>
                </w:tcPr>
                <w:p w14:paraId="161422E4" w14:textId="77777777" w:rsidR="00E02F30" w:rsidRPr="00E02F30" w:rsidRDefault="00E02F30" w:rsidP="00E02F30">
                  <w:pPr>
                    <w:ind w:left="17"/>
                    <w:rPr>
                      <w:rFonts w:cs="Arial"/>
                      <w:sz w:val="20"/>
                      <w:szCs w:val="20"/>
                    </w:rPr>
                  </w:pPr>
                  <w:r w:rsidRPr="00E02F30">
                    <w:rPr>
                      <w:rFonts w:cs="Arial"/>
                      <w:sz w:val="20"/>
                      <w:szCs w:val="20"/>
                    </w:rPr>
                    <w:t>Zastosowanie ogólne</w:t>
                  </w:r>
                </w:p>
              </w:tc>
            </w:tr>
          </w:tbl>
          <w:p w14:paraId="02D624AC" w14:textId="77777777" w:rsidR="00E02F30" w:rsidRPr="00E02F30" w:rsidRDefault="00E02F30" w:rsidP="00E02F30">
            <w:pPr>
              <w:spacing w:after="0" w:line="240" w:lineRule="auto"/>
              <w:rPr>
                <w:rFonts w:eastAsia="Times New Roman" w:cs="Arial"/>
                <w:bCs/>
                <w:sz w:val="20"/>
                <w:szCs w:val="20"/>
                <w:lang w:eastAsia="pl-PL"/>
              </w:rPr>
            </w:pPr>
          </w:p>
          <w:p w14:paraId="6C499813"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Tabela 1.3</w:t>
            </w:r>
          </w:p>
          <w:p w14:paraId="5E5BF695" w14:textId="77777777" w:rsidR="00E02F30" w:rsidRPr="00E02F30" w:rsidRDefault="00E02F30" w:rsidP="00E02F30">
            <w:pPr>
              <w:spacing w:after="0" w:line="240" w:lineRule="auto"/>
              <w:jc w:val="center"/>
              <w:rPr>
                <w:rFonts w:eastAsia="Times New Roman" w:cs="Arial"/>
                <w:sz w:val="20"/>
                <w:szCs w:val="20"/>
                <w:lang w:eastAsia="pl-PL"/>
              </w:rPr>
            </w:pPr>
            <w:r w:rsidRPr="00E02F30">
              <w:rPr>
                <w:rFonts w:eastAsia="Times New Roman" w:cs="Arial"/>
                <w:sz w:val="20"/>
                <w:szCs w:val="20"/>
                <w:lang w:eastAsia="pl-PL"/>
              </w:rPr>
              <w:t xml:space="preserve">Poziomy emisji powiązane z najlepszymi dostępnymi technikami (BAT-AEL) w odniesieniu do emisji zorganizowanych do powietrza pyłu, ołowiu i niklu </w:t>
            </w:r>
          </w:p>
          <w:tbl>
            <w:tblPr>
              <w:tblW w:w="4500" w:type="pct"/>
              <w:tblInd w:w="592" w:type="dxa"/>
              <w:tblLayout w:type="fixed"/>
              <w:tblCellMar>
                <w:top w:w="107" w:type="dxa"/>
              </w:tblCellMar>
              <w:tblLook w:val="04A0" w:firstRow="1" w:lastRow="0" w:firstColumn="1" w:lastColumn="0" w:noHBand="0" w:noVBand="1"/>
            </w:tblPr>
            <w:tblGrid>
              <w:gridCol w:w="3102"/>
              <w:gridCol w:w="2188"/>
              <w:gridCol w:w="2042"/>
              <w:gridCol w:w="2042"/>
            </w:tblGrid>
            <w:tr w:rsidR="00E02F30" w:rsidRPr="00E02F30" w14:paraId="37AE297C" w14:textId="77777777" w:rsidTr="00A1631B">
              <w:trPr>
                <w:trHeight w:val="727"/>
              </w:trPr>
              <w:tc>
                <w:tcPr>
                  <w:tcW w:w="4175" w:type="dxa"/>
                  <w:tcBorders>
                    <w:top w:val="single" w:sz="4" w:space="0" w:color="000000"/>
                    <w:left w:val="nil"/>
                    <w:bottom w:val="single" w:sz="4" w:space="0" w:color="000000"/>
                    <w:right w:val="single" w:sz="4" w:space="0" w:color="000000"/>
                  </w:tcBorders>
                  <w:shd w:val="clear" w:color="auto" w:fill="auto"/>
                  <w:vAlign w:val="center"/>
                </w:tcPr>
                <w:p w14:paraId="090F8F45"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Substancja/parametr</w:t>
                  </w:r>
                </w:p>
              </w:tc>
              <w:tc>
                <w:tcPr>
                  <w:tcW w:w="2920" w:type="dxa"/>
                  <w:tcBorders>
                    <w:top w:val="single" w:sz="4" w:space="0" w:color="000000"/>
                    <w:left w:val="single" w:sz="4" w:space="0" w:color="000000"/>
                    <w:bottom w:val="single" w:sz="4" w:space="0" w:color="000000"/>
                    <w:right w:val="nil"/>
                  </w:tcBorders>
                  <w:shd w:val="clear" w:color="auto" w:fill="auto"/>
                </w:tcPr>
                <w:p w14:paraId="34F7F514"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BAT-AEL (mg/Nm</w:t>
                  </w:r>
                  <w:r w:rsidRPr="00E02F30">
                    <w:rPr>
                      <w:rFonts w:eastAsia="Times New Roman" w:cs="Arial"/>
                      <w:bCs/>
                      <w:sz w:val="20"/>
                      <w:szCs w:val="20"/>
                      <w:vertAlign w:val="superscript"/>
                      <w:lang w:eastAsia="pl-PL"/>
                    </w:rPr>
                    <w:t>3</w:t>
                  </w:r>
                  <w:r w:rsidRPr="00E02F30">
                    <w:rPr>
                      <w:rFonts w:eastAsia="Times New Roman" w:cs="Arial"/>
                      <w:bCs/>
                      <w:sz w:val="20"/>
                      <w:szCs w:val="20"/>
                      <w:lang w:eastAsia="pl-PL"/>
                    </w:rPr>
                    <w:t>)</w:t>
                  </w:r>
                </w:p>
                <w:p w14:paraId="2781BDC9"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(średnia dobowa lub średnia z okresu pobierania próbek)</w:t>
                  </w:r>
                </w:p>
              </w:tc>
              <w:tc>
                <w:tcPr>
                  <w:tcW w:w="2719" w:type="dxa"/>
                  <w:tcBorders>
                    <w:top w:val="single" w:sz="4" w:space="0" w:color="000000"/>
                    <w:left w:val="single" w:sz="4" w:space="0" w:color="000000"/>
                    <w:bottom w:val="single" w:sz="4" w:space="0" w:color="000000"/>
                    <w:right w:val="nil"/>
                  </w:tcBorders>
                  <w:shd w:val="clear" w:color="auto" w:fill="auto"/>
                  <w:vAlign w:val="center"/>
                </w:tcPr>
                <w:p w14:paraId="375A805E"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Dotyczy emitora</w:t>
                  </w:r>
                </w:p>
              </w:tc>
              <w:tc>
                <w:tcPr>
                  <w:tcW w:w="2719" w:type="dxa"/>
                  <w:tcBorders>
                    <w:top w:val="single" w:sz="4" w:space="0" w:color="000000"/>
                    <w:left w:val="single" w:sz="4" w:space="0" w:color="000000"/>
                    <w:bottom w:val="single" w:sz="4" w:space="0" w:color="000000"/>
                    <w:right w:val="nil"/>
                  </w:tcBorders>
                  <w:shd w:val="clear" w:color="auto" w:fill="auto"/>
                  <w:vAlign w:val="center"/>
                </w:tcPr>
                <w:p w14:paraId="25FB6067"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Obowiązywanie BAT-AEL</w:t>
                  </w:r>
                </w:p>
              </w:tc>
            </w:tr>
            <w:tr w:rsidR="00E02F30" w:rsidRPr="00E02F30" w14:paraId="04295A0D" w14:textId="77777777" w:rsidTr="00A1631B">
              <w:trPr>
                <w:trHeight w:val="359"/>
              </w:trPr>
              <w:tc>
                <w:tcPr>
                  <w:tcW w:w="4175" w:type="dxa"/>
                  <w:tcBorders>
                    <w:top w:val="single" w:sz="4" w:space="0" w:color="000000"/>
                    <w:left w:val="nil"/>
                    <w:bottom w:val="single" w:sz="4" w:space="0" w:color="000000"/>
                    <w:right w:val="single" w:sz="4" w:space="0" w:color="000000"/>
                  </w:tcBorders>
                  <w:shd w:val="clear" w:color="auto" w:fill="auto"/>
                </w:tcPr>
                <w:p w14:paraId="2F7A3A43"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Pył</w:t>
                  </w:r>
                </w:p>
              </w:tc>
              <w:tc>
                <w:tcPr>
                  <w:tcW w:w="2920" w:type="dxa"/>
                  <w:tcBorders>
                    <w:top w:val="single" w:sz="4" w:space="0" w:color="000000"/>
                    <w:left w:val="single" w:sz="4" w:space="0" w:color="000000"/>
                    <w:bottom w:val="single" w:sz="4" w:space="0" w:color="000000"/>
                    <w:right w:val="nil"/>
                  </w:tcBorders>
                  <w:shd w:val="clear" w:color="auto" w:fill="auto"/>
                </w:tcPr>
                <w:p w14:paraId="7F19E95D"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&lt; 1–5 (</w:t>
                  </w:r>
                  <w:r w:rsidRPr="00E02F30">
                    <w:rPr>
                      <w:rFonts w:eastAsia="Times New Roman" w:cs="Arial"/>
                      <w:bCs/>
                      <w:sz w:val="20"/>
                      <w:szCs w:val="20"/>
                      <w:vertAlign w:val="superscript"/>
                      <w:lang w:eastAsia="pl-PL"/>
                    </w:rPr>
                    <w:t>1</w:t>
                  </w:r>
                  <w:r w:rsidRPr="00E02F30">
                    <w:rPr>
                      <w:rFonts w:eastAsia="Times New Roman" w:cs="Arial"/>
                      <w:bCs/>
                      <w:sz w:val="20"/>
                      <w:szCs w:val="20"/>
                      <w:lang w:eastAsia="pl-PL"/>
                    </w:rPr>
                    <w:t>) (</w:t>
                  </w:r>
                  <w:r w:rsidRPr="00E02F30">
                    <w:rPr>
                      <w:rFonts w:eastAsia="Times New Roman" w:cs="Arial"/>
                      <w:bCs/>
                      <w:sz w:val="20"/>
                      <w:szCs w:val="20"/>
                      <w:vertAlign w:val="superscript"/>
                      <w:lang w:eastAsia="pl-PL"/>
                    </w:rPr>
                    <w:t>2</w:t>
                  </w:r>
                  <w:r w:rsidRPr="00E02F30">
                    <w:rPr>
                      <w:rFonts w:eastAsia="Times New Roman" w:cs="Arial"/>
                      <w:bCs/>
                      <w:sz w:val="20"/>
                      <w:szCs w:val="20"/>
                      <w:lang w:eastAsia="pl-PL"/>
                    </w:rPr>
                    <w:t>) (</w:t>
                  </w:r>
                  <w:r w:rsidRPr="00E02F30">
                    <w:rPr>
                      <w:rFonts w:eastAsia="Times New Roman" w:cs="Arial"/>
                      <w:bCs/>
                      <w:sz w:val="20"/>
                      <w:szCs w:val="20"/>
                      <w:vertAlign w:val="superscript"/>
                      <w:lang w:eastAsia="pl-PL"/>
                    </w:rPr>
                    <w:t>3</w:t>
                  </w:r>
                  <w:r w:rsidRPr="00E02F30">
                    <w:rPr>
                      <w:rFonts w:eastAsia="Times New Roman" w:cs="Arial"/>
                      <w:bCs/>
                      <w:sz w:val="20"/>
                      <w:szCs w:val="20"/>
                      <w:lang w:eastAsia="pl-PL"/>
                    </w:rPr>
                    <w:t>) (</w:t>
                  </w:r>
                  <w:r w:rsidRPr="00E02F30">
                    <w:rPr>
                      <w:rFonts w:eastAsia="Times New Roman" w:cs="Arial"/>
                      <w:bCs/>
                      <w:sz w:val="20"/>
                      <w:szCs w:val="20"/>
                      <w:vertAlign w:val="superscript"/>
                      <w:lang w:eastAsia="pl-PL"/>
                    </w:rPr>
                    <w:t>4</w:t>
                  </w:r>
                  <w:r w:rsidRPr="00E02F30">
                    <w:rPr>
                      <w:rFonts w:eastAsia="Times New Roman" w:cs="Arial"/>
                      <w:bCs/>
                      <w:sz w:val="20"/>
                      <w:szCs w:val="20"/>
                      <w:lang w:eastAsia="pl-PL"/>
                    </w:rPr>
                    <w:t>)</w:t>
                  </w:r>
                </w:p>
              </w:tc>
              <w:tc>
                <w:tcPr>
                  <w:tcW w:w="2719" w:type="dxa"/>
                  <w:tcBorders>
                    <w:top w:val="single" w:sz="4" w:space="0" w:color="000000"/>
                    <w:left w:val="single" w:sz="4" w:space="0" w:color="000000"/>
                    <w:bottom w:val="single" w:sz="4" w:space="0" w:color="000000"/>
                    <w:right w:val="nil"/>
                  </w:tcBorders>
                  <w:shd w:val="clear" w:color="auto" w:fill="auto"/>
                </w:tcPr>
                <w:p w14:paraId="201A8A80"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E-1/Z, E-4/Z, E-5/Z, E-8/Z</w:t>
                  </w:r>
                </w:p>
              </w:tc>
              <w:tc>
                <w:tcPr>
                  <w:tcW w:w="2719" w:type="dxa"/>
                  <w:tcBorders>
                    <w:top w:val="single" w:sz="4" w:space="0" w:color="000000"/>
                    <w:left w:val="single" w:sz="4" w:space="0" w:color="000000"/>
                    <w:bottom w:val="single" w:sz="4" w:space="0" w:color="000000"/>
                    <w:right w:val="nil"/>
                  </w:tcBorders>
                  <w:shd w:val="clear" w:color="auto" w:fill="auto"/>
                  <w:vAlign w:val="center"/>
                </w:tcPr>
                <w:p w14:paraId="354011C3"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BAT-AEL nie ma zastosowania</w:t>
                  </w:r>
                </w:p>
                <w:p w14:paraId="75F647B1"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Dla wszystkich emitorów spełniony jest warunek: przepływ masowy pyłu wynosi poniżej 50 g/h</w:t>
                  </w:r>
                </w:p>
              </w:tc>
            </w:tr>
            <w:tr w:rsidR="00E02F30" w:rsidRPr="00E02F30" w14:paraId="2566F849" w14:textId="77777777" w:rsidTr="00A1631B">
              <w:trPr>
                <w:trHeight w:val="359"/>
              </w:trPr>
              <w:tc>
                <w:tcPr>
                  <w:tcW w:w="4175" w:type="dxa"/>
                  <w:tcBorders>
                    <w:top w:val="single" w:sz="4" w:space="0" w:color="000000"/>
                    <w:left w:val="nil"/>
                    <w:bottom w:val="single" w:sz="4" w:space="0" w:color="000000"/>
                    <w:right w:val="single" w:sz="4" w:space="0" w:color="000000"/>
                  </w:tcBorders>
                  <w:shd w:val="clear" w:color="auto" w:fill="auto"/>
                </w:tcPr>
                <w:p w14:paraId="417044DE"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Ołów i jego związki, wyrażone jako Pb</w:t>
                  </w:r>
                </w:p>
              </w:tc>
              <w:tc>
                <w:tcPr>
                  <w:tcW w:w="2920" w:type="dxa"/>
                  <w:tcBorders>
                    <w:top w:val="single" w:sz="4" w:space="0" w:color="000000"/>
                    <w:left w:val="single" w:sz="4" w:space="0" w:color="000000"/>
                    <w:bottom w:val="single" w:sz="4" w:space="0" w:color="000000"/>
                    <w:right w:val="nil"/>
                  </w:tcBorders>
                  <w:shd w:val="clear" w:color="auto" w:fill="auto"/>
                </w:tcPr>
                <w:p w14:paraId="0B0ECF92"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&lt; 0,01–0,1 (</w:t>
                  </w:r>
                  <w:r w:rsidRPr="00E02F30">
                    <w:rPr>
                      <w:rFonts w:eastAsia="Times New Roman" w:cs="Arial"/>
                      <w:bCs/>
                      <w:sz w:val="20"/>
                      <w:szCs w:val="20"/>
                      <w:vertAlign w:val="superscript"/>
                      <w:lang w:eastAsia="pl-PL"/>
                    </w:rPr>
                    <w:t>5</w:t>
                  </w:r>
                  <w:r w:rsidRPr="00E02F30">
                    <w:rPr>
                      <w:rFonts w:eastAsia="Times New Roman" w:cs="Arial"/>
                      <w:bCs/>
                      <w:sz w:val="20"/>
                      <w:szCs w:val="20"/>
                      <w:lang w:eastAsia="pl-PL"/>
                    </w:rPr>
                    <w:t>)</w:t>
                  </w:r>
                </w:p>
              </w:tc>
              <w:tc>
                <w:tcPr>
                  <w:tcW w:w="5438" w:type="dxa"/>
                  <w:gridSpan w:val="2"/>
                  <w:tcBorders>
                    <w:top w:val="single" w:sz="4" w:space="0" w:color="000000"/>
                    <w:left w:val="single" w:sz="4" w:space="0" w:color="000000"/>
                    <w:bottom w:val="single" w:sz="4" w:space="0" w:color="000000"/>
                    <w:right w:val="nil"/>
                  </w:tcBorders>
                  <w:shd w:val="clear" w:color="auto" w:fill="auto"/>
                </w:tcPr>
                <w:p w14:paraId="523DBC20" w14:textId="77777777" w:rsidR="00E02F30" w:rsidRPr="00E02F30" w:rsidRDefault="00E02F30" w:rsidP="00E02F30">
                  <w:pPr>
                    <w:spacing w:after="0" w:line="240" w:lineRule="auto"/>
                    <w:jc w:val="center"/>
                    <w:rPr>
                      <w:rFonts w:eastAsia="Times New Roman" w:cs="Arial"/>
                      <w:bCs/>
                      <w:sz w:val="20"/>
                      <w:szCs w:val="20"/>
                      <w:lang w:eastAsia="pl-PL"/>
                    </w:rPr>
                  </w:pPr>
                  <w:r w:rsidRPr="00E02F30">
                    <w:rPr>
                      <w:rFonts w:eastAsia="Times New Roman" w:cs="Arial"/>
                      <w:bCs/>
                      <w:sz w:val="20"/>
                      <w:szCs w:val="20"/>
                      <w:lang w:eastAsia="pl-PL"/>
                    </w:rPr>
                    <w:t>Nie dotyczy</w:t>
                  </w:r>
                </w:p>
              </w:tc>
            </w:tr>
            <w:tr w:rsidR="00E02F30" w:rsidRPr="00E02F30" w14:paraId="0212E06F" w14:textId="77777777" w:rsidTr="00A1631B">
              <w:trPr>
                <w:trHeight w:val="359"/>
              </w:trPr>
              <w:tc>
                <w:tcPr>
                  <w:tcW w:w="4175" w:type="dxa"/>
                  <w:tcBorders>
                    <w:top w:val="single" w:sz="4" w:space="0" w:color="000000"/>
                    <w:left w:val="nil"/>
                    <w:bottom w:val="single" w:sz="4" w:space="0" w:color="000000"/>
                    <w:right w:val="single" w:sz="4" w:space="0" w:color="000000"/>
                  </w:tcBorders>
                  <w:shd w:val="clear" w:color="auto" w:fill="auto"/>
                </w:tcPr>
                <w:p w14:paraId="7A4FC821"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Nikiel i jego związki, wyrażone jako Ni</w:t>
                  </w:r>
                </w:p>
              </w:tc>
              <w:tc>
                <w:tcPr>
                  <w:tcW w:w="2920" w:type="dxa"/>
                  <w:tcBorders>
                    <w:top w:val="single" w:sz="4" w:space="0" w:color="000000"/>
                    <w:left w:val="single" w:sz="4" w:space="0" w:color="000000"/>
                    <w:bottom w:val="single" w:sz="4" w:space="0" w:color="000000"/>
                    <w:right w:val="nil"/>
                  </w:tcBorders>
                  <w:shd w:val="clear" w:color="auto" w:fill="auto"/>
                </w:tcPr>
                <w:p w14:paraId="61BDA25B"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&lt; 0,02–0,1 (</w:t>
                  </w:r>
                  <w:r w:rsidRPr="00E02F30">
                    <w:rPr>
                      <w:rFonts w:eastAsia="Times New Roman" w:cs="Arial"/>
                      <w:bCs/>
                      <w:sz w:val="20"/>
                      <w:szCs w:val="20"/>
                      <w:vertAlign w:val="superscript"/>
                      <w:lang w:eastAsia="pl-PL"/>
                    </w:rPr>
                    <w:t>6</w:t>
                  </w:r>
                  <w:r w:rsidRPr="00E02F30">
                    <w:rPr>
                      <w:rFonts w:eastAsia="Times New Roman" w:cs="Arial"/>
                      <w:bCs/>
                      <w:sz w:val="20"/>
                      <w:szCs w:val="20"/>
                      <w:lang w:eastAsia="pl-PL"/>
                    </w:rPr>
                    <w:t>)</w:t>
                  </w:r>
                </w:p>
              </w:tc>
              <w:tc>
                <w:tcPr>
                  <w:tcW w:w="5438" w:type="dxa"/>
                  <w:gridSpan w:val="2"/>
                  <w:tcBorders>
                    <w:top w:val="single" w:sz="4" w:space="0" w:color="000000"/>
                    <w:left w:val="single" w:sz="4" w:space="0" w:color="000000"/>
                    <w:bottom w:val="single" w:sz="4" w:space="0" w:color="000000"/>
                    <w:right w:val="nil"/>
                  </w:tcBorders>
                  <w:shd w:val="clear" w:color="auto" w:fill="auto"/>
                </w:tcPr>
                <w:p w14:paraId="430A6D60" w14:textId="77777777" w:rsidR="00E02F30" w:rsidRPr="00E02F30" w:rsidRDefault="00E02F30" w:rsidP="00E02F30">
                  <w:pPr>
                    <w:spacing w:after="0" w:line="240" w:lineRule="auto"/>
                    <w:jc w:val="center"/>
                    <w:rPr>
                      <w:rFonts w:eastAsia="Times New Roman" w:cs="Arial"/>
                      <w:bCs/>
                      <w:sz w:val="20"/>
                      <w:szCs w:val="20"/>
                      <w:lang w:eastAsia="pl-PL"/>
                    </w:rPr>
                  </w:pPr>
                  <w:r w:rsidRPr="00E02F30">
                    <w:rPr>
                      <w:rFonts w:eastAsia="Times New Roman" w:cs="Arial"/>
                      <w:bCs/>
                      <w:sz w:val="20"/>
                      <w:szCs w:val="20"/>
                      <w:lang w:eastAsia="pl-PL"/>
                    </w:rPr>
                    <w:t>Nie dotyczy</w:t>
                  </w:r>
                </w:p>
              </w:tc>
            </w:tr>
          </w:tbl>
          <w:p w14:paraId="2938ACA9" w14:textId="77777777" w:rsidR="00E02F30" w:rsidRPr="00E02F30" w:rsidRDefault="00E02F30">
            <w:pPr>
              <w:numPr>
                <w:ilvl w:val="0"/>
                <w:numId w:val="56"/>
              </w:numPr>
              <w:spacing w:after="0" w:line="240" w:lineRule="auto"/>
              <w:ind w:hanging="624"/>
              <w:jc w:val="center"/>
              <w:rPr>
                <w:rFonts w:eastAsia="Times New Roman" w:cs="Arial"/>
                <w:bCs/>
                <w:sz w:val="20"/>
                <w:szCs w:val="20"/>
                <w:lang w:eastAsia="pl-PL"/>
              </w:rPr>
            </w:pPr>
            <w:r w:rsidRPr="00E02F30">
              <w:rPr>
                <w:rFonts w:eastAsia="Times New Roman" w:cs="Arial"/>
                <w:bCs/>
                <w:sz w:val="20"/>
                <w:szCs w:val="20"/>
                <w:lang w:eastAsia="pl-PL"/>
              </w:rPr>
              <w:t>Górna granica zakresu wynosi 20 mg/Nm3, w przypadku gdy ani filtr absolutny, ani tkaninowy nie mają zastosowania.</w:t>
            </w:r>
          </w:p>
          <w:p w14:paraId="7E449AEC" w14:textId="77777777" w:rsidR="00E02F30" w:rsidRPr="00E02F30" w:rsidRDefault="00E02F30">
            <w:pPr>
              <w:numPr>
                <w:ilvl w:val="0"/>
                <w:numId w:val="56"/>
              </w:numPr>
              <w:spacing w:after="0" w:line="240" w:lineRule="auto"/>
              <w:ind w:hanging="624"/>
              <w:jc w:val="center"/>
              <w:rPr>
                <w:rFonts w:eastAsia="Times New Roman" w:cs="Arial"/>
                <w:bCs/>
                <w:sz w:val="20"/>
                <w:szCs w:val="20"/>
                <w:lang w:eastAsia="pl-PL"/>
              </w:rPr>
            </w:pPr>
            <w:r w:rsidRPr="00E02F30">
              <w:rPr>
                <w:rFonts w:eastAsia="Times New Roman" w:cs="Arial"/>
                <w:bCs/>
                <w:sz w:val="20"/>
                <w:szCs w:val="20"/>
                <w:lang w:eastAsia="pl-PL"/>
              </w:rPr>
              <w:t>BAT-AEL nie ma zastosowania do niewielkich emisji (tj. gdy przepływ masowy pyłu wynosi poniżej np. 50 g/h), jeżeli w pyle nie zidentyfikowano żadnych substancji CMR jako istotnych na podstawie wykazu, o którym mowa w BAT 2.</w:t>
            </w:r>
          </w:p>
          <w:p w14:paraId="28F8442D" w14:textId="77777777" w:rsidR="00E02F30" w:rsidRPr="00E02F30" w:rsidRDefault="00E02F30">
            <w:pPr>
              <w:numPr>
                <w:ilvl w:val="0"/>
                <w:numId w:val="56"/>
              </w:numPr>
              <w:spacing w:after="0" w:line="240" w:lineRule="auto"/>
              <w:ind w:hanging="624"/>
              <w:jc w:val="center"/>
              <w:rPr>
                <w:rFonts w:eastAsia="Times New Roman" w:cs="Arial"/>
                <w:bCs/>
                <w:sz w:val="20"/>
                <w:szCs w:val="20"/>
                <w:lang w:eastAsia="pl-PL"/>
              </w:rPr>
            </w:pPr>
            <w:r w:rsidRPr="00E02F30">
              <w:rPr>
                <w:rFonts w:eastAsia="Times New Roman" w:cs="Arial"/>
                <w:bCs/>
                <w:sz w:val="20"/>
                <w:szCs w:val="20"/>
                <w:lang w:eastAsia="pl-PL"/>
              </w:rPr>
              <w:t>W przypadku produkcji złożonych pigmentów nieorganicznych z zastosowaniem ogrzewania bezpośredniego oraz w przypadku etapu suszenia w produkcji E-PVC, górna granica zakresu BAT-AEL może być wyższa i wynosić do 10 mg/Nm3.</w:t>
            </w:r>
          </w:p>
          <w:p w14:paraId="575C3050" w14:textId="77777777" w:rsidR="00E02F30" w:rsidRPr="00E02F30" w:rsidRDefault="00E02F30">
            <w:pPr>
              <w:numPr>
                <w:ilvl w:val="0"/>
                <w:numId w:val="56"/>
              </w:numPr>
              <w:spacing w:after="0" w:line="240" w:lineRule="auto"/>
              <w:ind w:hanging="624"/>
              <w:jc w:val="center"/>
              <w:rPr>
                <w:rFonts w:eastAsia="Times New Roman" w:cs="Arial"/>
                <w:bCs/>
                <w:sz w:val="20"/>
                <w:szCs w:val="20"/>
                <w:lang w:eastAsia="pl-PL"/>
              </w:rPr>
            </w:pPr>
            <w:r w:rsidRPr="00E02F30">
              <w:rPr>
                <w:rFonts w:eastAsia="Times New Roman" w:cs="Arial"/>
                <w:bCs/>
                <w:sz w:val="20"/>
                <w:szCs w:val="20"/>
                <w:lang w:eastAsia="pl-PL"/>
              </w:rPr>
              <w:t>Oczekuje się, że emisje pyłu będą zbliżone do dolnej granicy zakresu BAT-AEL (np. poniżej 2,5 mg/Nm3), jeżeli obecność substancji sklasyfikowanych jako substancje CMR kategorii 1 A lub 1B bądź 2 w pyle zidentyfikowano jako istotną (zob. BAT 2).</w:t>
            </w:r>
          </w:p>
          <w:p w14:paraId="06B64F39" w14:textId="77777777" w:rsidR="00E02F30" w:rsidRPr="00E02F30" w:rsidRDefault="00E02F30">
            <w:pPr>
              <w:numPr>
                <w:ilvl w:val="0"/>
                <w:numId w:val="56"/>
              </w:numPr>
              <w:spacing w:after="0" w:line="240" w:lineRule="auto"/>
              <w:ind w:hanging="624"/>
              <w:jc w:val="center"/>
              <w:rPr>
                <w:rFonts w:eastAsia="Times New Roman" w:cs="Arial"/>
                <w:bCs/>
                <w:sz w:val="20"/>
                <w:szCs w:val="20"/>
                <w:lang w:eastAsia="pl-PL"/>
              </w:rPr>
            </w:pPr>
            <w:r w:rsidRPr="00E02F30">
              <w:rPr>
                <w:rFonts w:eastAsia="Times New Roman" w:cs="Arial"/>
                <w:bCs/>
                <w:sz w:val="20"/>
                <w:szCs w:val="20"/>
                <w:lang w:eastAsia="pl-PL"/>
              </w:rPr>
              <w:t>BAT-AEL nie ma zastosowania do niewielkich emisji (tj. gdy przepływ masowy ołowiu wynosi poniżej np. 0,1 g/h).</w:t>
            </w:r>
          </w:p>
          <w:p w14:paraId="1B09EF3D" w14:textId="77777777" w:rsidR="00E02F30" w:rsidRPr="00E02F30" w:rsidRDefault="00E02F30">
            <w:pPr>
              <w:numPr>
                <w:ilvl w:val="0"/>
                <w:numId w:val="56"/>
              </w:numPr>
              <w:spacing w:after="0" w:line="240" w:lineRule="auto"/>
              <w:ind w:hanging="624"/>
              <w:jc w:val="center"/>
              <w:rPr>
                <w:rFonts w:eastAsia="Times New Roman" w:cs="Arial"/>
                <w:bCs/>
                <w:sz w:val="20"/>
                <w:szCs w:val="20"/>
                <w:lang w:eastAsia="pl-PL"/>
              </w:rPr>
            </w:pPr>
            <w:r w:rsidRPr="00E02F30">
              <w:rPr>
                <w:rFonts w:eastAsia="Times New Roman" w:cs="Arial"/>
                <w:bCs/>
                <w:sz w:val="20"/>
                <w:szCs w:val="20"/>
                <w:lang w:eastAsia="pl-PL"/>
              </w:rPr>
              <w:t>BAT-AEL nie ma zastosowania do niewielkich emisji (tj. gdy przepływ masowy Ni wynosi poniżej np. 0,15 g/h).</w:t>
            </w:r>
          </w:p>
        </w:tc>
      </w:tr>
      <w:tr w:rsidR="00E02F30" w:rsidRPr="00E02F30" w14:paraId="5C1F3C43" w14:textId="77777777" w:rsidTr="00A1631B">
        <w:trPr>
          <w:trHeight w:val="284"/>
        </w:trPr>
        <w:tc>
          <w:tcPr>
            <w:tcW w:w="1985" w:type="dxa"/>
            <w:gridSpan w:val="2"/>
            <w:shd w:val="clear" w:color="auto" w:fill="auto"/>
            <w:vAlign w:val="center"/>
          </w:tcPr>
          <w:p w14:paraId="119CDC9F"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9C8843F"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2C863F7A"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Zgodne:</w:t>
            </w:r>
          </w:p>
          <w:p w14:paraId="353DF5F3"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Stosowane w instalacji techniki:</w:t>
            </w:r>
          </w:p>
          <w:p w14:paraId="251141D2"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 cyklon (E-1/Z)</w:t>
            </w:r>
          </w:p>
          <w:p w14:paraId="2216E743"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 xml:space="preserve">- filtry </w:t>
            </w:r>
            <w:proofErr w:type="spellStart"/>
            <w:r w:rsidRPr="00E02F30">
              <w:rPr>
                <w:rFonts w:eastAsia="Times New Roman" w:cs="Arial"/>
                <w:bCs/>
                <w:sz w:val="20"/>
                <w:szCs w:val="20"/>
                <w:lang w:eastAsia="pl-PL"/>
              </w:rPr>
              <w:t>tkaninowe-workowe</w:t>
            </w:r>
            <w:proofErr w:type="spellEnd"/>
            <w:r w:rsidRPr="00E02F30">
              <w:rPr>
                <w:rFonts w:eastAsia="Times New Roman" w:cs="Arial"/>
                <w:bCs/>
                <w:sz w:val="20"/>
                <w:szCs w:val="20"/>
                <w:lang w:eastAsia="pl-PL"/>
              </w:rPr>
              <w:t xml:space="preserve"> (E-1/Z)</w:t>
            </w:r>
          </w:p>
          <w:p w14:paraId="63B2C43D"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Cs/>
                <w:sz w:val="20"/>
                <w:szCs w:val="20"/>
                <w:lang w:eastAsia="pl-PL"/>
              </w:rPr>
              <w:t>- hydrocyklon (E-1/Z)</w:t>
            </w:r>
          </w:p>
        </w:tc>
      </w:tr>
      <w:tr w:rsidR="00E02F30" w:rsidRPr="00E02F30" w14:paraId="7BB02160" w14:textId="77777777" w:rsidTr="00A1631B">
        <w:trPr>
          <w:trHeight w:val="284"/>
        </w:trPr>
        <w:tc>
          <w:tcPr>
            <w:tcW w:w="10632" w:type="dxa"/>
            <w:gridSpan w:val="6"/>
            <w:shd w:val="clear" w:color="auto" w:fill="auto"/>
          </w:tcPr>
          <w:p w14:paraId="3557C9F5"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15</w:t>
            </w:r>
          </w:p>
          <w:p w14:paraId="03EB79E6"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Aby zwiększyć </w:t>
            </w:r>
            <w:proofErr w:type="spellStart"/>
            <w:r w:rsidRPr="00E02F30">
              <w:rPr>
                <w:rFonts w:eastAsia="Times New Roman" w:cs="Arial"/>
                <w:bCs/>
                <w:sz w:val="20"/>
                <w:szCs w:val="20"/>
                <w:lang w:eastAsia="pl-PL"/>
              </w:rPr>
              <w:t>zasobooszczędność</w:t>
            </w:r>
            <w:proofErr w:type="spellEnd"/>
            <w:r w:rsidRPr="00E02F30">
              <w:rPr>
                <w:rFonts w:eastAsia="Times New Roman" w:cs="Arial"/>
                <w:bCs/>
                <w:sz w:val="20"/>
                <w:szCs w:val="20"/>
                <w:lang w:eastAsia="pl-PL"/>
              </w:rPr>
              <w:t xml:space="preserve"> i ograniczyć przepływ masowy związków nieorganicznych wysyłanych do końcowego oczyszczenia gazów odlotowych, w ramach BAT należy odzyskiwać związki nieorganiczne z gazów odlotowych z procesu technologicznego za pomocą absorpcji oraz ponownie je wykorzystywać</w:t>
            </w:r>
          </w:p>
        </w:tc>
      </w:tr>
      <w:tr w:rsidR="00E02F30" w:rsidRPr="00E02F30" w14:paraId="6C5F6EAD" w14:textId="77777777" w:rsidTr="00A1631B">
        <w:trPr>
          <w:trHeight w:val="284"/>
        </w:trPr>
        <w:tc>
          <w:tcPr>
            <w:tcW w:w="1985" w:type="dxa"/>
            <w:gridSpan w:val="2"/>
            <w:shd w:val="clear" w:color="auto" w:fill="auto"/>
            <w:vAlign w:val="center"/>
          </w:tcPr>
          <w:p w14:paraId="2EFD6240"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9AF0D30"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5B99BF68"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3450D1DF" w14:textId="77777777" w:rsidR="00E02F30" w:rsidRPr="00E02F30" w:rsidRDefault="00E02F30" w:rsidP="00E02F30">
            <w:pPr>
              <w:spacing w:after="0" w:line="240" w:lineRule="auto"/>
              <w:rPr>
                <w:rFonts w:eastAsia="Times New Roman" w:cs="Arial"/>
                <w:bCs/>
                <w:sz w:val="20"/>
                <w:szCs w:val="20"/>
                <w:lang w:eastAsia="pl-PL"/>
              </w:rPr>
            </w:pPr>
          </w:p>
          <w:p w14:paraId="1B9030BB"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 xml:space="preserve">W instalacji nie są odzyskiwane związki nieorganiczne z gazów odlotowych z procesu technologicznego (brak technologicznego uzasadnienia). </w:t>
            </w:r>
          </w:p>
          <w:p w14:paraId="05AA2BD0" w14:textId="77777777" w:rsidR="00E02F30" w:rsidRPr="00E02F30" w:rsidRDefault="00E02F30" w:rsidP="00E02F30">
            <w:pPr>
              <w:spacing w:after="0" w:line="240" w:lineRule="auto"/>
              <w:rPr>
                <w:rFonts w:eastAsia="Times New Roman" w:cs="Arial"/>
                <w:b/>
                <w:sz w:val="20"/>
                <w:szCs w:val="20"/>
                <w:lang w:eastAsia="pl-PL"/>
              </w:rPr>
            </w:pPr>
          </w:p>
        </w:tc>
      </w:tr>
      <w:tr w:rsidR="00E02F30" w:rsidRPr="00E02F30" w14:paraId="459463A4" w14:textId="77777777" w:rsidTr="00A1631B">
        <w:trPr>
          <w:trHeight w:val="284"/>
        </w:trPr>
        <w:tc>
          <w:tcPr>
            <w:tcW w:w="10632" w:type="dxa"/>
            <w:gridSpan w:val="6"/>
            <w:shd w:val="clear" w:color="auto" w:fill="auto"/>
          </w:tcPr>
          <w:p w14:paraId="2425D1D2"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16</w:t>
            </w:r>
          </w:p>
          <w:p w14:paraId="59EF1937"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ograniczyć emisje zorganizowane do powietrza CO, NOX i SOX z oczyszczania termicznego, w ramach BAT należy stosować technikę określoną w lit. c) oraz jedną z pozostałych poniższych technik lub ich kombinację.</w:t>
            </w:r>
          </w:p>
          <w:p w14:paraId="44A72819" w14:textId="77777777" w:rsidR="00E02F30" w:rsidRPr="00E02F30" w:rsidRDefault="00E02F30" w:rsidP="00E02F30">
            <w:pPr>
              <w:spacing w:after="0" w:line="240" w:lineRule="auto"/>
              <w:rPr>
                <w:rFonts w:eastAsia="Times New Roman" w:cs="Arial"/>
                <w:bCs/>
                <w:sz w:val="20"/>
                <w:szCs w:val="20"/>
                <w:lang w:eastAsia="pl-PL"/>
              </w:rPr>
            </w:pPr>
          </w:p>
          <w:tbl>
            <w:tblPr>
              <w:tblStyle w:val="TableGrid"/>
              <w:tblW w:w="4500" w:type="pct"/>
              <w:tblInd w:w="1020" w:type="dxa"/>
              <w:tblLayout w:type="fixed"/>
              <w:tblCellMar>
                <w:top w:w="107" w:type="dxa"/>
                <w:left w:w="95" w:type="dxa"/>
                <w:right w:w="23" w:type="dxa"/>
              </w:tblCellMar>
              <w:tblLook w:val="04A0" w:firstRow="1" w:lastRow="0" w:firstColumn="1" w:lastColumn="0" w:noHBand="0" w:noVBand="1"/>
            </w:tblPr>
            <w:tblGrid>
              <w:gridCol w:w="515"/>
              <w:gridCol w:w="1953"/>
              <w:gridCol w:w="2604"/>
              <w:gridCol w:w="1692"/>
              <w:gridCol w:w="2610"/>
            </w:tblGrid>
            <w:tr w:rsidR="00E02F30" w:rsidRPr="00E02F30" w14:paraId="0B8FBF07" w14:textId="77777777" w:rsidTr="00A1631B">
              <w:trPr>
                <w:trHeight w:val="1110"/>
              </w:trPr>
              <w:tc>
                <w:tcPr>
                  <w:tcW w:w="448" w:type="dxa"/>
                  <w:tcBorders>
                    <w:top w:val="single" w:sz="4" w:space="0" w:color="000000"/>
                    <w:left w:val="nil"/>
                    <w:bottom w:val="single" w:sz="4" w:space="0" w:color="000000"/>
                    <w:right w:val="nil"/>
                  </w:tcBorders>
                </w:tcPr>
                <w:p w14:paraId="5BBA2E1B" w14:textId="77777777" w:rsidR="00E02F30" w:rsidRPr="00E02F30" w:rsidRDefault="00E02F30" w:rsidP="00E02F30">
                  <w:pPr>
                    <w:rPr>
                      <w:rFonts w:cs="Arial"/>
                      <w:sz w:val="20"/>
                      <w:szCs w:val="20"/>
                    </w:rPr>
                  </w:pPr>
                </w:p>
              </w:tc>
              <w:tc>
                <w:tcPr>
                  <w:tcW w:w="1701" w:type="dxa"/>
                  <w:tcBorders>
                    <w:top w:val="single" w:sz="4" w:space="0" w:color="000000"/>
                    <w:left w:val="nil"/>
                    <w:bottom w:val="single" w:sz="4" w:space="0" w:color="000000"/>
                    <w:right w:val="single" w:sz="4" w:space="0" w:color="000000"/>
                  </w:tcBorders>
                  <w:vAlign w:val="center"/>
                </w:tcPr>
                <w:p w14:paraId="1087B8A6" w14:textId="77777777" w:rsidR="00E02F30" w:rsidRPr="00E02F30" w:rsidRDefault="00E02F30" w:rsidP="00E02F30">
                  <w:pPr>
                    <w:ind w:left="178"/>
                    <w:rPr>
                      <w:rFonts w:cs="Arial"/>
                      <w:sz w:val="20"/>
                      <w:szCs w:val="20"/>
                    </w:rPr>
                  </w:pPr>
                  <w:r w:rsidRPr="00E02F30">
                    <w:rPr>
                      <w:rFonts w:cs="Arial"/>
                      <w:sz w:val="20"/>
                      <w:szCs w:val="20"/>
                    </w:rPr>
                    <w:t>Technika</w:t>
                  </w:r>
                </w:p>
              </w:tc>
              <w:tc>
                <w:tcPr>
                  <w:tcW w:w="2268" w:type="dxa"/>
                  <w:tcBorders>
                    <w:top w:val="single" w:sz="4" w:space="0" w:color="000000"/>
                    <w:left w:val="single" w:sz="4" w:space="0" w:color="000000"/>
                    <w:bottom w:val="single" w:sz="4" w:space="0" w:color="000000"/>
                    <w:right w:val="single" w:sz="4" w:space="0" w:color="000000"/>
                  </w:tcBorders>
                  <w:vAlign w:val="center"/>
                </w:tcPr>
                <w:p w14:paraId="41C36EED" w14:textId="77777777" w:rsidR="00E02F30" w:rsidRPr="00E02F30" w:rsidRDefault="00E02F30" w:rsidP="00E02F30">
                  <w:pPr>
                    <w:ind w:right="17"/>
                    <w:jc w:val="center"/>
                    <w:rPr>
                      <w:rFonts w:cs="Arial"/>
                      <w:sz w:val="20"/>
                      <w:szCs w:val="20"/>
                    </w:rPr>
                  </w:pPr>
                  <w:r w:rsidRPr="00E02F30">
                    <w:rPr>
                      <w:rFonts w:cs="Arial"/>
                      <w:sz w:val="20"/>
                      <w:szCs w:val="20"/>
                    </w:rPr>
                    <w:t>Opis</w:t>
                  </w:r>
                </w:p>
              </w:tc>
              <w:tc>
                <w:tcPr>
                  <w:tcW w:w="1474" w:type="dxa"/>
                  <w:tcBorders>
                    <w:top w:val="single" w:sz="4" w:space="0" w:color="000000"/>
                    <w:left w:val="single" w:sz="4" w:space="0" w:color="000000"/>
                    <w:bottom w:val="single" w:sz="4" w:space="0" w:color="000000"/>
                    <w:right w:val="single" w:sz="4" w:space="0" w:color="000000"/>
                  </w:tcBorders>
                </w:tcPr>
                <w:p w14:paraId="018363E7" w14:textId="77777777" w:rsidR="00E02F30" w:rsidRPr="00E02F30" w:rsidRDefault="00E02F30" w:rsidP="00E02F30">
                  <w:pPr>
                    <w:spacing w:after="1" w:line="221" w:lineRule="auto"/>
                    <w:jc w:val="center"/>
                    <w:rPr>
                      <w:rFonts w:cs="Arial"/>
                      <w:sz w:val="20"/>
                      <w:szCs w:val="20"/>
                    </w:rPr>
                  </w:pPr>
                  <w:r w:rsidRPr="00E02F30">
                    <w:rPr>
                      <w:rFonts w:cs="Arial"/>
                      <w:sz w:val="20"/>
                      <w:szCs w:val="20"/>
                    </w:rPr>
                    <w:t>Główne związki nieorganiczne, wobec których stosowana jest technika</w:t>
                  </w:r>
                </w:p>
              </w:tc>
              <w:tc>
                <w:tcPr>
                  <w:tcW w:w="2273" w:type="dxa"/>
                  <w:tcBorders>
                    <w:top w:val="single" w:sz="4" w:space="0" w:color="000000"/>
                    <w:left w:val="single" w:sz="4" w:space="0" w:color="000000"/>
                    <w:bottom w:val="single" w:sz="4" w:space="0" w:color="000000"/>
                    <w:right w:val="nil"/>
                  </w:tcBorders>
                  <w:vAlign w:val="center"/>
                </w:tcPr>
                <w:p w14:paraId="289C3451" w14:textId="77777777" w:rsidR="00E02F30" w:rsidRPr="00E02F30" w:rsidRDefault="00E02F30" w:rsidP="00E02F30">
                  <w:pPr>
                    <w:ind w:left="94"/>
                    <w:jc w:val="center"/>
                    <w:rPr>
                      <w:rFonts w:cs="Arial"/>
                      <w:sz w:val="20"/>
                      <w:szCs w:val="20"/>
                    </w:rPr>
                  </w:pPr>
                  <w:r w:rsidRPr="00E02F30">
                    <w:rPr>
                      <w:rFonts w:cs="Arial"/>
                      <w:sz w:val="20"/>
                      <w:szCs w:val="20"/>
                    </w:rPr>
                    <w:t>Stosowanie</w:t>
                  </w:r>
                </w:p>
              </w:tc>
            </w:tr>
            <w:tr w:rsidR="00E02F30" w:rsidRPr="00E02F30" w14:paraId="1D815F71" w14:textId="77777777" w:rsidTr="00A1631B">
              <w:trPr>
                <w:trHeight w:val="359"/>
              </w:trPr>
              <w:tc>
                <w:tcPr>
                  <w:tcW w:w="448" w:type="dxa"/>
                  <w:tcBorders>
                    <w:top w:val="single" w:sz="4" w:space="0" w:color="000000"/>
                    <w:left w:val="nil"/>
                    <w:bottom w:val="single" w:sz="4" w:space="0" w:color="000000"/>
                    <w:right w:val="single" w:sz="4" w:space="0" w:color="000000"/>
                  </w:tcBorders>
                </w:tcPr>
                <w:p w14:paraId="24A025FB" w14:textId="77777777" w:rsidR="00E02F30" w:rsidRPr="00E02F30" w:rsidRDefault="00E02F30" w:rsidP="00E02F30">
                  <w:pPr>
                    <w:ind w:left="7"/>
                    <w:rPr>
                      <w:rFonts w:cs="Arial"/>
                      <w:sz w:val="20"/>
                      <w:szCs w:val="20"/>
                    </w:rPr>
                  </w:pPr>
                  <w:r w:rsidRPr="00E02F30">
                    <w:rPr>
                      <w:rFonts w:cs="Arial"/>
                      <w:sz w:val="20"/>
                      <w:szCs w:val="20"/>
                    </w:rPr>
                    <w:t>a)</w:t>
                  </w:r>
                </w:p>
              </w:tc>
              <w:tc>
                <w:tcPr>
                  <w:tcW w:w="1701" w:type="dxa"/>
                  <w:tcBorders>
                    <w:top w:val="single" w:sz="4" w:space="0" w:color="000000"/>
                    <w:left w:val="single" w:sz="4" w:space="0" w:color="000000"/>
                    <w:bottom w:val="single" w:sz="4" w:space="0" w:color="000000"/>
                    <w:right w:val="single" w:sz="4" w:space="0" w:color="000000"/>
                  </w:tcBorders>
                </w:tcPr>
                <w:p w14:paraId="2EDDD362" w14:textId="77777777" w:rsidR="00E02F30" w:rsidRPr="00E02F30" w:rsidRDefault="00E02F30" w:rsidP="00E02F30">
                  <w:pPr>
                    <w:ind w:left="17"/>
                    <w:rPr>
                      <w:rFonts w:cs="Arial"/>
                      <w:sz w:val="20"/>
                      <w:szCs w:val="20"/>
                    </w:rPr>
                  </w:pPr>
                  <w:r w:rsidRPr="00E02F30">
                    <w:rPr>
                      <w:rFonts w:cs="Arial"/>
                      <w:sz w:val="20"/>
                      <w:szCs w:val="20"/>
                    </w:rPr>
                    <w:t>Wybór paliwa</w:t>
                  </w:r>
                </w:p>
              </w:tc>
              <w:tc>
                <w:tcPr>
                  <w:tcW w:w="2268" w:type="dxa"/>
                  <w:tcBorders>
                    <w:top w:val="single" w:sz="4" w:space="0" w:color="000000"/>
                    <w:left w:val="single" w:sz="4" w:space="0" w:color="000000"/>
                    <w:bottom w:val="single" w:sz="4" w:space="0" w:color="000000"/>
                    <w:right w:val="single" w:sz="4" w:space="0" w:color="000000"/>
                  </w:tcBorders>
                </w:tcPr>
                <w:p w14:paraId="0F03137C" w14:textId="77777777" w:rsidR="00E02F30" w:rsidRPr="00E02F30" w:rsidRDefault="00E02F30" w:rsidP="00E02F30">
                  <w:pPr>
                    <w:ind w:left="17"/>
                    <w:rPr>
                      <w:rFonts w:cs="Arial"/>
                      <w:sz w:val="20"/>
                      <w:szCs w:val="20"/>
                    </w:rPr>
                  </w:pPr>
                  <w:r w:rsidRPr="00E02F30">
                    <w:rPr>
                      <w:rFonts w:cs="Arial"/>
                      <w:sz w:val="20"/>
                      <w:szCs w:val="20"/>
                    </w:rPr>
                    <w:t>Zob. sekcja 1.4.1.</w:t>
                  </w:r>
                </w:p>
              </w:tc>
              <w:tc>
                <w:tcPr>
                  <w:tcW w:w="1474" w:type="dxa"/>
                  <w:tcBorders>
                    <w:top w:val="single" w:sz="4" w:space="0" w:color="000000"/>
                    <w:left w:val="single" w:sz="4" w:space="0" w:color="000000"/>
                    <w:bottom w:val="single" w:sz="4" w:space="0" w:color="000000"/>
                    <w:right w:val="single" w:sz="4" w:space="0" w:color="000000"/>
                  </w:tcBorders>
                </w:tcPr>
                <w:p w14:paraId="040F32B6" w14:textId="77777777" w:rsidR="00E02F30" w:rsidRPr="00E02F30" w:rsidRDefault="00E02F30" w:rsidP="00E02F30">
                  <w:pPr>
                    <w:ind w:right="17"/>
                    <w:jc w:val="center"/>
                    <w:rPr>
                      <w:rFonts w:cs="Arial"/>
                      <w:sz w:val="20"/>
                      <w:szCs w:val="20"/>
                    </w:rPr>
                  </w:pPr>
                  <w:r w:rsidRPr="00E02F30">
                    <w:rPr>
                      <w:rFonts w:cs="Arial"/>
                      <w:sz w:val="20"/>
                      <w:szCs w:val="20"/>
                    </w:rPr>
                    <w:t>NO</w:t>
                  </w:r>
                  <w:r w:rsidRPr="00E02F30">
                    <w:rPr>
                      <w:rFonts w:cs="Arial"/>
                      <w:sz w:val="20"/>
                      <w:szCs w:val="20"/>
                      <w:vertAlign w:val="subscript"/>
                    </w:rPr>
                    <w:t>X</w:t>
                  </w:r>
                  <w:r w:rsidRPr="00E02F30">
                    <w:rPr>
                      <w:rFonts w:cs="Arial"/>
                      <w:sz w:val="20"/>
                      <w:szCs w:val="20"/>
                    </w:rPr>
                    <w:t>, SO</w:t>
                  </w:r>
                  <w:r w:rsidRPr="00E02F30">
                    <w:rPr>
                      <w:rFonts w:cs="Arial"/>
                      <w:sz w:val="20"/>
                      <w:szCs w:val="20"/>
                      <w:vertAlign w:val="subscript"/>
                    </w:rPr>
                    <w:t>X</w:t>
                  </w:r>
                </w:p>
              </w:tc>
              <w:tc>
                <w:tcPr>
                  <w:tcW w:w="2273" w:type="dxa"/>
                  <w:tcBorders>
                    <w:top w:val="single" w:sz="4" w:space="0" w:color="000000"/>
                    <w:left w:val="single" w:sz="4" w:space="0" w:color="000000"/>
                    <w:bottom w:val="single" w:sz="4" w:space="0" w:color="000000"/>
                    <w:right w:val="nil"/>
                  </w:tcBorders>
                </w:tcPr>
                <w:p w14:paraId="561923DB" w14:textId="77777777" w:rsidR="00E02F30" w:rsidRPr="00E02F30" w:rsidRDefault="00E02F30" w:rsidP="00E02F30">
                  <w:pPr>
                    <w:ind w:left="17"/>
                    <w:rPr>
                      <w:rFonts w:cs="Arial"/>
                      <w:sz w:val="20"/>
                      <w:szCs w:val="20"/>
                    </w:rPr>
                  </w:pPr>
                  <w:r w:rsidRPr="00E02F30">
                    <w:rPr>
                      <w:rFonts w:cs="Arial"/>
                      <w:sz w:val="20"/>
                      <w:szCs w:val="20"/>
                    </w:rPr>
                    <w:t>Zastosowanie ogólne</w:t>
                  </w:r>
                </w:p>
              </w:tc>
            </w:tr>
            <w:tr w:rsidR="00E02F30" w:rsidRPr="00E02F30" w14:paraId="727FBCA6" w14:textId="77777777" w:rsidTr="00A1631B">
              <w:trPr>
                <w:trHeight w:val="1638"/>
              </w:trPr>
              <w:tc>
                <w:tcPr>
                  <w:tcW w:w="448" w:type="dxa"/>
                  <w:tcBorders>
                    <w:top w:val="single" w:sz="4" w:space="0" w:color="000000"/>
                    <w:left w:val="nil"/>
                    <w:bottom w:val="single" w:sz="4" w:space="0" w:color="000000"/>
                    <w:right w:val="single" w:sz="4" w:space="0" w:color="000000"/>
                  </w:tcBorders>
                  <w:vAlign w:val="center"/>
                </w:tcPr>
                <w:p w14:paraId="073729CD" w14:textId="77777777" w:rsidR="00E02F30" w:rsidRPr="00E02F30" w:rsidRDefault="00E02F30" w:rsidP="00E02F30">
                  <w:pPr>
                    <w:rPr>
                      <w:rFonts w:cs="Arial"/>
                      <w:sz w:val="20"/>
                      <w:szCs w:val="20"/>
                    </w:rPr>
                  </w:pPr>
                  <w:r w:rsidRPr="00E02F30">
                    <w:rPr>
                      <w:rFonts w:cs="Arial"/>
                      <w:sz w:val="20"/>
                      <w:szCs w:val="20"/>
                    </w:rPr>
                    <w:t>b)</w:t>
                  </w:r>
                </w:p>
              </w:tc>
              <w:tc>
                <w:tcPr>
                  <w:tcW w:w="1701" w:type="dxa"/>
                  <w:tcBorders>
                    <w:top w:val="single" w:sz="4" w:space="0" w:color="000000"/>
                    <w:left w:val="single" w:sz="4" w:space="0" w:color="000000"/>
                    <w:bottom w:val="single" w:sz="4" w:space="0" w:color="000000"/>
                    <w:right w:val="single" w:sz="4" w:space="0" w:color="000000"/>
                  </w:tcBorders>
                  <w:vAlign w:val="center"/>
                </w:tcPr>
                <w:p w14:paraId="6A4B5657" w14:textId="77777777" w:rsidR="00E02F30" w:rsidRPr="00E02F30" w:rsidRDefault="00E02F30" w:rsidP="00E02F30">
                  <w:pPr>
                    <w:ind w:left="17"/>
                    <w:rPr>
                      <w:rFonts w:cs="Arial"/>
                      <w:sz w:val="20"/>
                      <w:szCs w:val="20"/>
                    </w:rPr>
                  </w:pPr>
                  <w:r w:rsidRPr="00E02F30">
                    <w:rPr>
                      <w:rFonts w:cs="Arial"/>
                      <w:sz w:val="20"/>
                      <w:szCs w:val="20"/>
                    </w:rPr>
                    <w:t>Palnik o niskiej emisji NO</w:t>
                  </w:r>
                  <w:r w:rsidRPr="00E02F30">
                    <w:rPr>
                      <w:rFonts w:cs="Arial"/>
                      <w:sz w:val="20"/>
                      <w:szCs w:val="20"/>
                      <w:vertAlign w:val="subscript"/>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73C42A3" w14:textId="77777777" w:rsidR="00E02F30" w:rsidRPr="00E02F30" w:rsidRDefault="00E02F30" w:rsidP="00E02F30">
                  <w:pPr>
                    <w:ind w:left="17"/>
                    <w:rPr>
                      <w:rFonts w:cs="Arial"/>
                      <w:sz w:val="20"/>
                      <w:szCs w:val="20"/>
                    </w:rPr>
                  </w:pPr>
                  <w:r w:rsidRPr="00E02F30">
                    <w:rPr>
                      <w:rFonts w:cs="Arial"/>
                      <w:sz w:val="20"/>
                      <w:szCs w:val="20"/>
                    </w:rPr>
                    <w:t>Zob. sekcja 1.4.1.</w:t>
                  </w:r>
                </w:p>
              </w:tc>
              <w:tc>
                <w:tcPr>
                  <w:tcW w:w="1474" w:type="dxa"/>
                  <w:tcBorders>
                    <w:top w:val="single" w:sz="4" w:space="0" w:color="000000"/>
                    <w:left w:val="single" w:sz="4" w:space="0" w:color="000000"/>
                    <w:bottom w:val="single" w:sz="4" w:space="0" w:color="000000"/>
                    <w:right w:val="single" w:sz="4" w:space="0" w:color="000000"/>
                  </w:tcBorders>
                  <w:vAlign w:val="center"/>
                </w:tcPr>
                <w:p w14:paraId="0DD54ACC" w14:textId="77777777" w:rsidR="00E02F30" w:rsidRPr="00E02F30" w:rsidRDefault="00E02F30" w:rsidP="00E02F30">
                  <w:pPr>
                    <w:ind w:right="17"/>
                    <w:jc w:val="center"/>
                    <w:rPr>
                      <w:rFonts w:cs="Arial"/>
                      <w:sz w:val="20"/>
                      <w:szCs w:val="20"/>
                    </w:rPr>
                  </w:pPr>
                  <w:r w:rsidRPr="00E02F30">
                    <w:rPr>
                      <w:rFonts w:cs="Arial"/>
                      <w:sz w:val="20"/>
                      <w:szCs w:val="20"/>
                    </w:rPr>
                    <w:t>NO</w:t>
                  </w:r>
                  <w:r w:rsidRPr="00E02F30">
                    <w:rPr>
                      <w:rFonts w:cs="Arial"/>
                      <w:sz w:val="20"/>
                      <w:szCs w:val="20"/>
                      <w:vertAlign w:val="subscript"/>
                    </w:rPr>
                    <w:t>X</w:t>
                  </w:r>
                </w:p>
              </w:tc>
              <w:tc>
                <w:tcPr>
                  <w:tcW w:w="2273" w:type="dxa"/>
                  <w:tcBorders>
                    <w:top w:val="single" w:sz="4" w:space="0" w:color="000000"/>
                    <w:left w:val="single" w:sz="4" w:space="0" w:color="000000"/>
                    <w:bottom w:val="single" w:sz="4" w:space="0" w:color="000000"/>
                    <w:right w:val="nil"/>
                  </w:tcBorders>
                </w:tcPr>
                <w:p w14:paraId="4AA336F2" w14:textId="77777777" w:rsidR="00E02F30" w:rsidRPr="00E02F30" w:rsidRDefault="00E02F30" w:rsidP="00E02F30">
                  <w:pPr>
                    <w:ind w:left="17" w:right="184"/>
                    <w:jc w:val="both"/>
                    <w:rPr>
                      <w:rFonts w:cs="Arial"/>
                      <w:sz w:val="20"/>
                      <w:szCs w:val="20"/>
                    </w:rPr>
                  </w:pPr>
                  <w:r w:rsidRPr="00E02F30">
                    <w:rPr>
                      <w:rFonts w:cs="Arial"/>
                      <w:sz w:val="20"/>
                      <w:szCs w:val="20"/>
                    </w:rPr>
                    <w:t>Zastosowanie tej techniki może być ograniczone w przypadku istniejących zespołów urządzeń ze względu na ograniczenia konstrukcyjne lub eksploatacyjne.</w:t>
                  </w:r>
                </w:p>
              </w:tc>
            </w:tr>
            <w:tr w:rsidR="00E02F30" w:rsidRPr="00E02F30" w14:paraId="4C58DEAF" w14:textId="77777777" w:rsidTr="00A1631B">
              <w:trPr>
                <w:trHeight w:val="998"/>
              </w:trPr>
              <w:tc>
                <w:tcPr>
                  <w:tcW w:w="448" w:type="dxa"/>
                  <w:tcBorders>
                    <w:top w:val="single" w:sz="4" w:space="0" w:color="000000"/>
                    <w:left w:val="nil"/>
                    <w:bottom w:val="single" w:sz="4" w:space="0" w:color="000000"/>
                    <w:right w:val="single" w:sz="4" w:space="0" w:color="000000"/>
                  </w:tcBorders>
                  <w:vAlign w:val="center"/>
                </w:tcPr>
                <w:p w14:paraId="29752B3C" w14:textId="77777777" w:rsidR="00E02F30" w:rsidRPr="00E02F30" w:rsidRDefault="00E02F30" w:rsidP="00E02F30">
                  <w:pPr>
                    <w:ind w:left="8"/>
                    <w:rPr>
                      <w:rFonts w:cs="Arial"/>
                      <w:sz w:val="20"/>
                      <w:szCs w:val="20"/>
                    </w:rPr>
                  </w:pPr>
                  <w:r w:rsidRPr="00E02F30">
                    <w:rPr>
                      <w:rFonts w:cs="Arial"/>
                      <w:sz w:val="20"/>
                      <w:szCs w:val="20"/>
                    </w:rPr>
                    <w:t>c)</w:t>
                  </w:r>
                </w:p>
              </w:tc>
              <w:tc>
                <w:tcPr>
                  <w:tcW w:w="1701" w:type="dxa"/>
                  <w:tcBorders>
                    <w:top w:val="single" w:sz="4" w:space="0" w:color="000000"/>
                    <w:left w:val="single" w:sz="4" w:space="0" w:color="000000"/>
                    <w:bottom w:val="single" w:sz="4" w:space="0" w:color="000000"/>
                    <w:right w:val="single" w:sz="4" w:space="0" w:color="000000"/>
                  </w:tcBorders>
                </w:tcPr>
                <w:p w14:paraId="0F086B40" w14:textId="77777777" w:rsidR="00E02F30" w:rsidRPr="00E02F30" w:rsidRDefault="00E02F30" w:rsidP="00E02F30">
                  <w:pPr>
                    <w:ind w:left="17"/>
                    <w:rPr>
                      <w:rFonts w:cs="Arial"/>
                      <w:sz w:val="20"/>
                      <w:szCs w:val="20"/>
                    </w:rPr>
                  </w:pPr>
                  <w:r w:rsidRPr="00E02F30">
                    <w:rPr>
                      <w:rFonts w:cs="Arial"/>
                      <w:sz w:val="20"/>
                      <w:szCs w:val="20"/>
                    </w:rPr>
                    <w:t>Optymalizacja utleniania katalitycznego lub termicznego</w:t>
                  </w:r>
                </w:p>
              </w:tc>
              <w:tc>
                <w:tcPr>
                  <w:tcW w:w="2268" w:type="dxa"/>
                  <w:tcBorders>
                    <w:top w:val="single" w:sz="4" w:space="0" w:color="000000"/>
                    <w:left w:val="single" w:sz="4" w:space="0" w:color="000000"/>
                    <w:bottom w:val="single" w:sz="4" w:space="0" w:color="000000"/>
                    <w:right w:val="single" w:sz="4" w:space="0" w:color="000000"/>
                  </w:tcBorders>
                  <w:vAlign w:val="center"/>
                </w:tcPr>
                <w:p w14:paraId="5107308B" w14:textId="77777777" w:rsidR="00E02F30" w:rsidRPr="00E02F30" w:rsidRDefault="00E02F30" w:rsidP="00E02F30">
                  <w:pPr>
                    <w:ind w:left="17"/>
                    <w:rPr>
                      <w:rFonts w:cs="Arial"/>
                      <w:sz w:val="20"/>
                      <w:szCs w:val="20"/>
                    </w:rPr>
                  </w:pPr>
                  <w:r w:rsidRPr="00E02F30">
                    <w:rPr>
                      <w:rFonts w:cs="Arial"/>
                      <w:sz w:val="20"/>
                      <w:szCs w:val="20"/>
                    </w:rPr>
                    <w:t>Zob. sekcja 1.4.1.</w:t>
                  </w:r>
                </w:p>
              </w:tc>
              <w:tc>
                <w:tcPr>
                  <w:tcW w:w="1474" w:type="dxa"/>
                  <w:tcBorders>
                    <w:top w:val="single" w:sz="4" w:space="0" w:color="000000"/>
                    <w:left w:val="single" w:sz="4" w:space="0" w:color="000000"/>
                    <w:bottom w:val="single" w:sz="4" w:space="0" w:color="000000"/>
                    <w:right w:val="single" w:sz="4" w:space="0" w:color="000000"/>
                  </w:tcBorders>
                  <w:vAlign w:val="center"/>
                </w:tcPr>
                <w:p w14:paraId="1BDE2A7A" w14:textId="77777777" w:rsidR="00E02F30" w:rsidRPr="00E02F30" w:rsidRDefault="00E02F30" w:rsidP="00E02F30">
                  <w:pPr>
                    <w:ind w:right="17"/>
                    <w:jc w:val="center"/>
                    <w:rPr>
                      <w:rFonts w:cs="Arial"/>
                      <w:sz w:val="20"/>
                      <w:szCs w:val="20"/>
                    </w:rPr>
                  </w:pPr>
                  <w:r w:rsidRPr="00E02F30">
                    <w:rPr>
                      <w:rFonts w:cs="Arial"/>
                      <w:sz w:val="20"/>
                      <w:szCs w:val="20"/>
                    </w:rPr>
                    <w:t>CO, NO</w:t>
                  </w:r>
                  <w:r w:rsidRPr="00E02F30">
                    <w:rPr>
                      <w:rFonts w:cs="Arial"/>
                      <w:sz w:val="20"/>
                      <w:szCs w:val="20"/>
                      <w:vertAlign w:val="subscript"/>
                    </w:rPr>
                    <w:t>X</w:t>
                  </w:r>
                </w:p>
              </w:tc>
              <w:tc>
                <w:tcPr>
                  <w:tcW w:w="2273" w:type="dxa"/>
                  <w:tcBorders>
                    <w:top w:val="single" w:sz="4" w:space="0" w:color="000000"/>
                    <w:left w:val="single" w:sz="4" w:space="0" w:color="000000"/>
                    <w:bottom w:val="single" w:sz="4" w:space="0" w:color="000000"/>
                    <w:right w:val="nil"/>
                  </w:tcBorders>
                  <w:vAlign w:val="center"/>
                </w:tcPr>
                <w:p w14:paraId="351045F7" w14:textId="77777777" w:rsidR="00E02F30" w:rsidRPr="00E02F30" w:rsidRDefault="00E02F30" w:rsidP="00E02F30">
                  <w:pPr>
                    <w:ind w:left="17"/>
                    <w:rPr>
                      <w:rFonts w:cs="Arial"/>
                      <w:sz w:val="20"/>
                      <w:szCs w:val="20"/>
                    </w:rPr>
                  </w:pPr>
                  <w:r w:rsidRPr="00E02F30">
                    <w:rPr>
                      <w:rFonts w:cs="Arial"/>
                      <w:sz w:val="20"/>
                      <w:szCs w:val="20"/>
                    </w:rPr>
                    <w:t>Zastosowanie ogólne</w:t>
                  </w:r>
                </w:p>
              </w:tc>
            </w:tr>
            <w:tr w:rsidR="00E02F30" w:rsidRPr="00E02F30" w14:paraId="10DF99B0" w14:textId="77777777" w:rsidTr="00A1631B">
              <w:trPr>
                <w:trHeight w:val="1851"/>
              </w:trPr>
              <w:tc>
                <w:tcPr>
                  <w:tcW w:w="448" w:type="dxa"/>
                  <w:tcBorders>
                    <w:top w:val="single" w:sz="4" w:space="0" w:color="000000"/>
                    <w:left w:val="nil"/>
                    <w:bottom w:val="single" w:sz="4" w:space="0" w:color="000000"/>
                    <w:right w:val="single" w:sz="4" w:space="0" w:color="000000"/>
                  </w:tcBorders>
                  <w:vAlign w:val="center"/>
                </w:tcPr>
                <w:p w14:paraId="0863C422" w14:textId="77777777" w:rsidR="00E02F30" w:rsidRPr="00E02F30" w:rsidRDefault="00E02F30" w:rsidP="00E02F30">
                  <w:pPr>
                    <w:rPr>
                      <w:rFonts w:cs="Arial"/>
                      <w:sz w:val="20"/>
                      <w:szCs w:val="20"/>
                    </w:rPr>
                  </w:pPr>
                  <w:r w:rsidRPr="00E02F30">
                    <w:rPr>
                      <w:rFonts w:cs="Arial"/>
                      <w:sz w:val="20"/>
                      <w:szCs w:val="20"/>
                    </w:rPr>
                    <w:t>d)</w:t>
                  </w:r>
                </w:p>
              </w:tc>
              <w:tc>
                <w:tcPr>
                  <w:tcW w:w="1701" w:type="dxa"/>
                  <w:tcBorders>
                    <w:top w:val="single" w:sz="4" w:space="0" w:color="000000"/>
                    <w:left w:val="single" w:sz="4" w:space="0" w:color="000000"/>
                    <w:bottom w:val="single" w:sz="4" w:space="0" w:color="000000"/>
                    <w:right w:val="single" w:sz="4" w:space="0" w:color="000000"/>
                  </w:tcBorders>
                  <w:vAlign w:val="center"/>
                </w:tcPr>
                <w:p w14:paraId="7667F6AF" w14:textId="77777777" w:rsidR="00E02F30" w:rsidRPr="00E02F30" w:rsidRDefault="00E02F30" w:rsidP="00E02F30">
                  <w:pPr>
                    <w:spacing w:after="34" w:line="218" w:lineRule="auto"/>
                    <w:ind w:left="17"/>
                    <w:rPr>
                      <w:rFonts w:cs="Arial"/>
                      <w:sz w:val="20"/>
                      <w:szCs w:val="20"/>
                    </w:rPr>
                  </w:pPr>
                  <w:r w:rsidRPr="00E02F30">
                    <w:rPr>
                      <w:rFonts w:cs="Arial"/>
                      <w:sz w:val="20"/>
                      <w:szCs w:val="20"/>
                    </w:rPr>
                    <w:t xml:space="preserve">Usuwanie dużych ilości prekursorów </w:t>
                  </w:r>
                </w:p>
                <w:p w14:paraId="0D6F8978" w14:textId="77777777" w:rsidR="00E02F30" w:rsidRPr="00E02F30" w:rsidRDefault="00E02F30" w:rsidP="00E02F30">
                  <w:pPr>
                    <w:ind w:left="17"/>
                    <w:rPr>
                      <w:rFonts w:cs="Arial"/>
                      <w:sz w:val="20"/>
                      <w:szCs w:val="20"/>
                    </w:rPr>
                  </w:pPr>
                  <w:r w:rsidRPr="00E02F30">
                    <w:rPr>
                      <w:rFonts w:cs="Arial"/>
                      <w:sz w:val="20"/>
                      <w:szCs w:val="20"/>
                    </w:rPr>
                    <w:t>NO</w:t>
                  </w:r>
                  <w:r w:rsidRPr="00E02F30">
                    <w:rPr>
                      <w:rFonts w:cs="Arial"/>
                      <w:sz w:val="20"/>
                      <w:szCs w:val="20"/>
                      <w:vertAlign w:val="subscript"/>
                    </w:rPr>
                    <w:t>X</w:t>
                  </w:r>
                </w:p>
              </w:tc>
              <w:tc>
                <w:tcPr>
                  <w:tcW w:w="2268" w:type="dxa"/>
                  <w:tcBorders>
                    <w:top w:val="single" w:sz="4" w:space="0" w:color="000000"/>
                    <w:left w:val="single" w:sz="4" w:space="0" w:color="000000"/>
                    <w:bottom w:val="single" w:sz="4" w:space="0" w:color="000000"/>
                    <w:right w:val="single" w:sz="4" w:space="0" w:color="000000"/>
                  </w:tcBorders>
                </w:tcPr>
                <w:p w14:paraId="0AF977AB" w14:textId="77777777" w:rsidR="00E02F30" w:rsidRPr="00E02F30" w:rsidRDefault="00E02F30" w:rsidP="00E02F30">
                  <w:pPr>
                    <w:ind w:left="17"/>
                    <w:rPr>
                      <w:rFonts w:cs="Arial"/>
                      <w:sz w:val="20"/>
                      <w:szCs w:val="20"/>
                    </w:rPr>
                  </w:pPr>
                  <w:r w:rsidRPr="00E02F30">
                    <w:rPr>
                      <w:rFonts w:cs="Arial"/>
                      <w:sz w:val="20"/>
                      <w:szCs w:val="20"/>
                    </w:rPr>
                    <w:t>Usuwanie (w miarę możliwości do ponownego użycia) dużej ilości prekursorów NO</w:t>
                  </w:r>
                  <w:r w:rsidRPr="00E02F30">
                    <w:rPr>
                      <w:rFonts w:cs="Arial"/>
                      <w:sz w:val="20"/>
                      <w:szCs w:val="20"/>
                      <w:vertAlign w:val="subscript"/>
                    </w:rPr>
                    <w:t xml:space="preserve">X </w:t>
                  </w:r>
                  <w:r w:rsidRPr="00E02F30">
                    <w:rPr>
                      <w:rFonts w:cs="Arial"/>
                      <w:sz w:val="20"/>
                      <w:szCs w:val="20"/>
                    </w:rPr>
                    <w:t>poprzedzające utlenianie termiczne lub katalityczne, np. przez absorpcję, adsorpcję lub kondensację.</w:t>
                  </w:r>
                </w:p>
              </w:tc>
              <w:tc>
                <w:tcPr>
                  <w:tcW w:w="1474" w:type="dxa"/>
                  <w:tcBorders>
                    <w:top w:val="single" w:sz="4" w:space="0" w:color="000000"/>
                    <w:left w:val="single" w:sz="4" w:space="0" w:color="000000"/>
                    <w:bottom w:val="single" w:sz="4" w:space="0" w:color="000000"/>
                    <w:right w:val="single" w:sz="4" w:space="0" w:color="000000"/>
                  </w:tcBorders>
                  <w:vAlign w:val="center"/>
                </w:tcPr>
                <w:p w14:paraId="1F70A201" w14:textId="77777777" w:rsidR="00E02F30" w:rsidRPr="00E02F30" w:rsidRDefault="00E02F30" w:rsidP="00E02F30">
                  <w:pPr>
                    <w:ind w:right="17"/>
                    <w:jc w:val="center"/>
                    <w:rPr>
                      <w:rFonts w:cs="Arial"/>
                      <w:sz w:val="20"/>
                      <w:szCs w:val="20"/>
                    </w:rPr>
                  </w:pPr>
                  <w:r w:rsidRPr="00E02F30">
                    <w:rPr>
                      <w:rFonts w:cs="Arial"/>
                      <w:sz w:val="20"/>
                      <w:szCs w:val="20"/>
                    </w:rPr>
                    <w:t>NO</w:t>
                  </w:r>
                  <w:r w:rsidRPr="00E02F30">
                    <w:rPr>
                      <w:rFonts w:cs="Arial"/>
                      <w:sz w:val="20"/>
                      <w:szCs w:val="20"/>
                      <w:vertAlign w:val="subscript"/>
                    </w:rPr>
                    <w:t>X</w:t>
                  </w:r>
                </w:p>
              </w:tc>
              <w:tc>
                <w:tcPr>
                  <w:tcW w:w="2273" w:type="dxa"/>
                  <w:tcBorders>
                    <w:top w:val="single" w:sz="4" w:space="0" w:color="000000"/>
                    <w:left w:val="single" w:sz="4" w:space="0" w:color="000000"/>
                    <w:bottom w:val="single" w:sz="4" w:space="0" w:color="000000"/>
                    <w:right w:val="nil"/>
                  </w:tcBorders>
                  <w:vAlign w:val="center"/>
                </w:tcPr>
                <w:p w14:paraId="3F03D3C2" w14:textId="77777777" w:rsidR="00E02F30" w:rsidRPr="00E02F30" w:rsidRDefault="00E02F30" w:rsidP="00E02F30">
                  <w:pPr>
                    <w:ind w:left="17"/>
                    <w:rPr>
                      <w:rFonts w:cs="Arial"/>
                      <w:sz w:val="20"/>
                      <w:szCs w:val="20"/>
                    </w:rPr>
                  </w:pPr>
                  <w:r w:rsidRPr="00E02F30">
                    <w:rPr>
                      <w:rFonts w:cs="Arial"/>
                      <w:sz w:val="20"/>
                      <w:szCs w:val="20"/>
                    </w:rPr>
                    <w:t>Zastosowanie ogólne</w:t>
                  </w:r>
                </w:p>
              </w:tc>
            </w:tr>
            <w:tr w:rsidR="00E02F30" w:rsidRPr="00E02F30" w14:paraId="72EBA8B0" w14:textId="77777777" w:rsidTr="00A1631B">
              <w:trPr>
                <w:trHeight w:val="359"/>
              </w:trPr>
              <w:tc>
                <w:tcPr>
                  <w:tcW w:w="448" w:type="dxa"/>
                  <w:tcBorders>
                    <w:top w:val="single" w:sz="4" w:space="0" w:color="000000"/>
                    <w:left w:val="nil"/>
                    <w:bottom w:val="single" w:sz="4" w:space="0" w:color="000000"/>
                    <w:right w:val="single" w:sz="4" w:space="0" w:color="000000"/>
                  </w:tcBorders>
                </w:tcPr>
                <w:p w14:paraId="6D17B11A" w14:textId="77777777" w:rsidR="00E02F30" w:rsidRPr="00E02F30" w:rsidRDefault="00E02F30" w:rsidP="00E02F30">
                  <w:pPr>
                    <w:ind w:left="4"/>
                    <w:rPr>
                      <w:rFonts w:cs="Arial"/>
                      <w:sz w:val="20"/>
                      <w:szCs w:val="20"/>
                    </w:rPr>
                  </w:pPr>
                  <w:r w:rsidRPr="00E02F30">
                    <w:rPr>
                      <w:rFonts w:cs="Arial"/>
                      <w:sz w:val="20"/>
                      <w:szCs w:val="20"/>
                    </w:rPr>
                    <w:t>e)</w:t>
                  </w:r>
                </w:p>
              </w:tc>
              <w:tc>
                <w:tcPr>
                  <w:tcW w:w="1701" w:type="dxa"/>
                  <w:tcBorders>
                    <w:top w:val="single" w:sz="4" w:space="0" w:color="000000"/>
                    <w:left w:val="single" w:sz="4" w:space="0" w:color="000000"/>
                    <w:bottom w:val="single" w:sz="4" w:space="0" w:color="000000"/>
                    <w:right w:val="single" w:sz="4" w:space="0" w:color="000000"/>
                  </w:tcBorders>
                </w:tcPr>
                <w:p w14:paraId="40F22D2E" w14:textId="77777777" w:rsidR="00E02F30" w:rsidRPr="00E02F30" w:rsidRDefault="00E02F30" w:rsidP="00E02F30">
                  <w:pPr>
                    <w:ind w:left="13"/>
                    <w:rPr>
                      <w:rFonts w:cs="Arial"/>
                      <w:sz w:val="20"/>
                      <w:szCs w:val="20"/>
                    </w:rPr>
                  </w:pPr>
                  <w:r w:rsidRPr="00E02F30">
                    <w:rPr>
                      <w:rFonts w:cs="Arial"/>
                      <w:sz w:val="20"/>
                      <w:szCs w:val="20"/>
                    </w:rPr>
                    <w:t>Absorpcja</w:t>
                  </w:r>
                </w:p>
              </w:tc>
              <w:tc>
                <w:tcPr>
                  <w:tcW w:w="2268" w:type="dxa"/>
                  <w:tcBorders>
                    <w:top w:val="single" w:sz="4" w:space="0" w:color="000000"/>
                    <w:left w:val="single" w:sz="4" w:space="0" w:color="000000"/>
                    <w:bottom w:val="single" w:sz="4" w:space="0" w:color="000000"/>
                    <w:right w:val="single" w:sz="4" w:space="0" w:color="000000"/>
                  </w:tcBorders>
                </w:tcPr>
                <w:p w14:paraId="25BC0592" w14:textId="77777777" w:rsidR="00E02F30" w:rsidRPr="00E02F30" w:rsidRDefault="00E02F30" w:rsidP="00E02F30">
                  <w:pPr>
                    <w:ind w:left="13"/>
                    <w:rPr>
                      <w:rFonts w:cs="Arial"/>
                      <w:sz w:val="20"/>
                      <w:szCs w:val="20"/>
                    </w:rPr>
                  </w:pPr>
                  <w:r w:rsidRPr="00E02F30">
                    <w:rPr>
                      <w:rFonts w:cs="Arial"/>
                      <w:sz w:val="20"/>
                      <w:szCs w:val="20"/>
                    </w:rPr>
                    <w:t>Zob. sekcja 1.4.1.</w:t>
                  </w:r>
                </w:p>
              </w:tc>
              <w:tc>
                <w:tcPr>
                  <w:tcW w:w="1474" w:type="dxa"/>
                  <w:tcBorders>
                    <w:top w:val="single" w:sz="4" w:space="0" w:color="000000"/>
                    <w:left w:val="single" w:sz="4" w:space="0" w:color="000000"/>
                    <w:bottom w:val="single" w:sz="4" w:space="0" w:color="000000"/>
                    <w:right w:val="single" w:sz="4" w:space="0" w:color="000000"/>
                  </w:tcBorders>
                </w:tcPr>
                <w:p w14:paraId="392E6CEF" w14:textId="77777777" w:rsidR="00E02F30" w:rsidRPr="00E02F30" w:rsidRDefault="00E02F30" w:rsidP="00E02F30">
                  <w:pPr>
                    <w:ind w:right="75"/>
                    <w:jc w:val="center"/>
                    <w:rPr>
                      <w:rFonts w:cs="Arial"/>
                      <w:sz w:val="20"/>
                      <w:szCs w:val="20"/>
                    </w:rPr>
                  </w:pPr>
                  <w:r w:rsidRPr="00E02F30">
                    <w:rPr>
                      <w:rFonts w:cs="Arial"/>
                      <w:sz w:val="20"/>
                      <w:szCs w:val="20"/>
                    </w:rPr>
                    <w:t>SO</w:t>
                  </w:r>
                  <w:r w:rsidRPr="00E02F30">
                    <w:rPr>
                      <w:rFonts w:cs="Arial"/>
                      <w:sz w:val="20"/>
                      <w:szCs w:val="20"/>
                      <w:vertAlign w:val="subscript"/>
                    </w:rPr>
                    <w:t>X</w:t>
                  </w:r>
                </w:p>
              </w:tc>
              <w:tc>
                <w:tcPr>
                  <w:tcW w:w="2273" w:type="dxa"/>
                  <w:tcBorders>
                    <w:top w:val="single" w:sz="4" w:space="0" w:color="000000"/>
                    <w:left w:val="single" w:sz="4" w:space="0" w:color="000000"/>
                    <w:bottom w:val="single" w:sz="4" w:space="0" w:color="000000"/>
                    <w:right w:val="nil"/>
                  </w:tcBorders>
                </w:tcPr>
                <w:p w14:paraId="4515DDD2" w14:textId="77777777" w:rsidR="00E02F30" w:rsidRPr="00E02F30" w:rsidRDefault="00E02F30" w:rsidP="00E02F30">
                  <w:pPr>
                    <w:ind w:left="13"/>
                    <w:rPr>
                      <w:rFonts w:cs="Arial"/>
                      <w:sz w:val="20"/>
                      <w:szCs w:val="20"/>
                    </w:rPr>
                  </w:pPr>
                  <w:r w:rsidRPr="00E02F30">
                    <w:rPr>
                      <w:rFonts w:cs="Arial"/>
                      <w:sz w:val="20"/>
                      <w:szCs w:val="20"/>
                    </w:rPr>
                    <w:t>Zastosowanie ogólne</w:t>
                  </w:r>
                </w:p>
              </w:tc>
            </w:tr>
            <w:tr w:rsidR="00E02F30" w:rsidRPr="00E02F30" w14:paraId="4351B1CB" w14:textId="77777777" w:rsidTr="00A1631B">
              <w:trPr>
                <w:trHeight w:val="1212"/>
              </w:trPr>
              <w:tc>
                <w:tcPr>
                  <w:tcW w:w="448" w:type="dxa"/>
                  <w:tcBorders>
                    <w:top w:val="single" w:sz="4" w:space="0" w:color="000000"/>
                    <w:left w:val="nil"/>
                    <w:bottom w:val="single" w:sz="4" w:space="0" w:color="000000"/>
                    <w:right w:val="single" w:sz="4" w:space="0" w:color="000000"/>
                  </w:tcBorders>
                  <w:vAlign w:val="center"/>
                </w:tcPr>
                <w:p w14:paraId="55B35B40" w14:textId="77777777" w:rsidR="00E02F30" w:rsidRPr="00E02F30" w:rsidRDefault="00E02F30" w:rsidP="00E02F30">
                  <w:pPr>
                    <w:ind w:left="17"/>
                    <w:rPr>
                      <w:rFonts w:cs="Arial"/>
                      <w:sz w:val="20"/>
                      <w:szCs w:val="20"/>
                    </w:rPr>
                  </w:pPr>
                  <w:r w:rsidRPr="00E02F30">
                    <w:rPr>
                      <w:rFonts w:cs="Arial"/>
                      <w:sz w:val="20"/>
                      <w:szCs w:val="20"/>
                    </w:rPr>
                    <w:t>f)</w:t>
                  </w:r>
                </w:p>
              </w:tc>
              <w:tc>
                <w:tcPr>
                  <w:tcW w:w="1701" w:type="dxa"/>
                  <w:tcBorders>
                    <w:top w:val="single" w:sz="4" w:space="0" w:color="000000"/>
                    <w:left w:val="single" w:sz="4" w:space="0" w:color="000000"/>
                    <w:bottom w:val="single" w:sz="4" w:space="0" w:color="000000"/>
                    <w:right w:val="single" w:sz="4" w:space="0" w:color="000000"/>
                  </w:tcBorders>
                  <w:vAlign w:val="center"/>
                </w:tcPr>
                <w:p w14:paraId="5CC09511" w14:textId="77777777" w:rsidR="00E02F30" w:rsidRPr="00E02F30" w:rsidRDefault="00E02F30" w:rsidP="00E02F30">
                  <w:pPr>
                    <w:ind w:left="13" w:right="44"/>
                    <w:rPr>
                      <w:rFonts w:cs="Arial"/>
                      <w:sz w:val="20"/>
                      <w:szCs w:val="20"/>
                    </w:rPr>
                  </w:pPr>
                  <w:r w:rsidRPr="00E02F30">
                    <w:rPr>
                      <w:rFonts w:cs="Arial"/>
                      <w:sz w:val="20"/>
                      <w:szCs w:val="20"/>
                    </w:rPr>
                    <w:t>Selektywna redukcja katalityczna (SCR)</w:t>
                  </w:r>
                </w:p>
              </w:tc>
              <w:tc>
                <w:tcPr>
                  <w:tcW w:w="2268" w:type="dxa"/>
                  <w:tcBorders>
                    <w:top w:val="single" w:sz="4" w:space="0" w:color="000000"/>
                    <w:left w:val="single" w:sz="4" w:space="0" w:color="000000"/>
                    <w:bottom w:val="single" w:sz="4" w:space="0" w:color="000000"/>
                    <w:right w:val="single" w:sz="4" w:space="0" w:color="000000"/>
                  </w:tcBorders>
                  <w:vAlign w:val="center"/>
                </w:tcPr>
                <w:p w14:paraId="63239FD0" w14:textId="77777777" w:rsidR="00E02F30" w:rsidRPr="00E02F30" w:rsidRDefault="00E02F30" w:rsidP="00E02F30">
                  <w:pPr>
                    <w:ind w:left="13"/>
                    <w:rPr>
                      <w:rFonts w:cs="Arial"/>
                      <w:sz w:val="20"/>
                      <w:szCs w:val="20"/>
                    </w:rPr>
                  </w:pPr>
                  <w:r w:rsidRPr="00E02F30">
                    <w:rPr>
                      <w:rFonts w:cs="Arial"/>
                      <w:sz w:val="20"/>
                      <w:szCs w:val="20"/>
                    </w:rPr>
                    <w:t>Zob. sekcja 1.4.1.</w:t>
                  </w:r>
                </w:p>
              </w:tc>
              <w:tc>
                <w:tcPr>
                  <w:tcW w:w="1474" w:type="dxa"/>
                  <w:tcBorders>
                    <w:top w:val="single" w:sz="4" w:space="0" w:color="000000"/>
                    <w:left w:val="single" w:sz="4" w:space="0" w:color="000000"/>
                    <w:bottom w:val="single" w:sz="4" w:space="0" w:color="000000"/>
                    <w:right w:val="single" w:sz="4" w:space="0" w:color="000000"/>
                  </w:tcBorders>
                  <w:vAlign w:val="center"/>
                </w:tcPr>
                <w:p w14:paraId="68B6EB51" w14:textId="77777777" w:rsidR="00E02F30" w:rsidRPr="00E02F30" w:rsidRDefault="00E02F30" w:rsidP="00E02F30">
                  <w:pPr>
                    <w:ind w:right="75"/>
                    <w:jc w:val="center"/>
                    <w:rPr>
                      <w:rFonts w:cs="Arial"/>
                      <w:sz w:val="20"/>
                      <w:szCs w:val="20"/>
                    </w:rPr>
                  </w:pPr>
                  <w:r w:rsidRPr="00E02F30">
                    <w:rPr>
                      <w:rFonts w:cs="Arial"/>
                      <w:sz w:val="20"/>
                      <w:szCs w:val="20"/>
                    </w:rPr>
                    <w:t>NO</w:t>
                  </w:r>
                  <w:r w:rsidRPr="00E02F30">
                    <w:rPr>
                      <w:rFonts w:cs="Arial"/>
                      <w:sz w:val="20"/>
                      <w:szCs w:val="20"/>
                      <w:vertAlign w:val="subscript"/>
                    </w:rPr>
                    <w:t>X</w:t>
                  </w:r>
                </w:p>
              </w:tc>
              <w:tc>
                <w:tcPr>
                  <w:tcW w:w="2273" w:type="dxa"/>
                  <w:tcBorders>
                    <w:top w:val="single" w:sz="4" w:space="0" w:color="000000"/>
                    <w:left w:val="single" w:sz="4" w:space="0" w:color="000000"/>
                    <w:bottom w:val="single" w:sz="4" w:space="0" w:color="000000"/>
                    <w:right w:val="nil"/>
                  </w:tcBorders>
                </w:tcPr>
                <w:p w14:paraId="4C6E6CD3" w14:textId="77777777" w:rsidR="00E02F30" w:rsidRPr="00E02F30" w:rsidRDefault="00E02F30" w:rsidP="00E02F30">
                  <w:pPr>
                    <w:ind w:left="13"/>
                    <w:jc w:val="both"/>
                    <w:rPr>
                      <w:rFonts w:cs="Arial"/>
                      <w:sz w:val="20"/>
                      <w:szCs w:val="20"/>
                    </w:rPr>
                  </w:pPr>
                  <w:r w:rsidRPr="00E02F30">
                    <w:rPr>
                      <w:rFonts w:cs="Arial"/>
                      <w:sz w:val="20"/>
                      <w:szCs w:val="20"/>
                    </w:rPr>
                    <w:t>Zastosowanie tej techniki może być ograniczone w przypadku istniejących zespołów urządzeń ze względu na dostępność przestrzeni.</w:t>
                  </w:r>
                </w:p>
              </w:tc>
            </w:tr>
            <w:tr w:rsidR="00E02F30" w:rsidRPr="00E02F30" w14:paraId="497546F2" w14:textId="77777777" w:rsidTr="00A1631B">
              <w:trPr>
                <w:trHeight w:val="1638"/>
              </w:trPr>
              <w:tc>
                <w:tcPr>
                  <w:tcW w:w="448" w:type="dxa"/>
                  <w:tcBorders>
                    <w:top w:val="single" w:sz="4" w:space="0" w:color="000000"/>
                    <w:left w:val="nil"/>
                    <w:bottom w:val="single" w:sz="4" w:space="0" w:color="000000"/>
                    <w:right w:val="single" w:sz="4" w:space="0" w:color="000000"/>
                  </w:tcBorders>
                  <w:vAlign w:val="center"/>
                </w:tcPr>
                <w:p w14:paraId="301E9C1A" w14:textId="77777777" w:rsidR="00E02F30" w:rsidRPr="00E02F30" w:rsidRDefault="00E02F30" w:rsidP="00E02F30">
                  <w:pPr>
                    <w:rPr>
                      <w:rFonts w:cs="Arial"/>
                      <w:sz w:val="20"/>
                      <w:szCs w:val="20"/>
                    </w:rPr>
                  </w:pPr>
                  <w:r w:rsidRPr="00E02F30">
                    <w:rPr>
                      <w:rFonts w:cs="Arial"/>
                      <w:sz w:val="20"/>
                      <w:szCs w:val="20"/>
                    </w:rPr>
                    <w:t>g)</w:t>
                  </w:r>
                </w:p>
              </w:tc>
              <w:tc>
                <w:tcPr>
                  <w:tcW w:w="1701" w:type="dxa"/>
                  <w:tcBorders>
                    <w:top w:val="single" w:sz="4" w:space="0" w:color="000000"/>
                    <w:left w:val="single" w:sz="4" w:space="0" w:color="000000"/>
                    <w:bottom w:val="single" w:sz="4" w:space="0" w:color="000000"/>
                    <w:right w:val="single" w:sz="4" w:space="0" w:color="000000"/>
                  </w:tcBorders>
                  <w:vAlign w:val="center"/>
                </w:tcPr>
                <w:p w14:paraId="215765BE" w14:textId="77777777" w:rsidR="00E02F30" w:rsidRPr="00E02F30" w:rsidRDefault="00E02F30" w:rsidP="00E02F30">
                  <w:pPr>
                    <w:spacing w:line="218" w:lineRule="auto"/>
                    <w:ind w:left="13" w:right="44"/>
                    <w:rPr>
                      <w:rFonts w:cs="Arial"/>
                      <w:sz w:val="20"/>
                      <w:szCs w:val="20"/>
                    </w:rPr>
                  </w:pPr>
                  <w:r w:rsidRPr="00E02F30">
                    <w:rPr>
                      <w:rFonts w:cs="Arial"/>
                      <w:sz w:val="20"/>
                      <w:szCs w:val="20"/>
                    </w:rPr>
                    <w:t xml:space="preserve">Selektywna redukcja </w:t>
                  </w:r>
                </w:p>
                <w:p w14:paraId="30E6EAC3" w14:textId="77777777" w:rsidR="00E02F30" w:rsidRPr="00E02F30" w:rsidRDefault="00E02F30" w:rsidP="00E02F30">
                  <w:pPr>
                    <w:ind w:left="13"/>
                    <w:rPr>
                      <w:rFonts w:cs="Arial"/>
                      <w:sz w:val="20"/>
                      <w:szCs w:val="20"/>
                    </w:rPr>
                  </w:pPr>
                  <w:r w:rsidRPr="00E02F30">
                    <w:rPr>
                      <w:rFonts w:cs="Arial"/>
                      <w:sz w:val="20"/>
                      <w:szCs w:val="20"/>
                    </w:rPr>
                    <w:t xml:space="preserve">niekatalityczna </w:t>
                  </w:r>
                </w:p>
                <w:p w14:paraId="25C91248" w14:textId="77777777" w:rsidR="00E02F30" w:rsidRPr="00E02F30" w:rsidRDefault="00E02F30" w:rsidP="00E02F30">
                  <w:pPr>
                    <w:ind w:left="13"/>
                    <w:rPr>
                      <w:rFonts w:cs="Arial"/>
                      <w:sz w:val="20"/>
                      <w:szCs w:val="20"/>
                    </w:rPr>
                  </w:pPr>
                  <w:r w:rsidRPr="00E02F30">
                    <w:rPr>
                      <w:rFonts w:cs="Arial"/>
                      <w:sz w:val="20"/>
                      <w:szCs w:val="20"/>
                    </w:rPr>
                    <w:t>(SNCR)</w:t>
                  </w:r>
                </w:p>
              </w:tc>
              <w:tc>
                <w:tcPr>
                  <w:tcW w:w="2268" w:type="dxa"/>
                  <w:tcBorders>
                    <w:top w:val="single" w:sz="4" w:space="0" w:color="000000"/>
                    <w:left w:val="single" w:sz="4" w:space="0" w:color="000000"/>
                    <w:bottom w:val="single" w:sz="4" w:space="0" w:color="000000"/>
                    <w:right w:val="single" w:sz="4" w:space="0" w:color="000000"/>
                  </w:tcBorders>
                  <w:vAlign w:val="center"/>
                </w:tcPr>
                <w:p w14:paraId="2DCF2D06" w14:textId="77777777" w:rsidR="00E02F30" w:rsidRPr="00E02F30" w:rsidRDefault="00E02F30" w:rsidP="00E02F30">
                  <w:pPr>
                    <w:ind w:left="13"/>
                    <w:rPr>
                      <w:rFonts w:cs="Arial"/>
                      <w:sz w:val="20"/>
                      <w:szCs w:val="20"/>
                    </w:rPr>
                  </w:pPr>
                  <w:r w:rsidRPr="00E02F30">
                    <w:rPr>
                      <w:rFonts w:cs="Arial"/>
                      <w:sz w:val="20"/>
                      <w:szCs w:val="20"/>
                    </w:rPr>
                    <w:t>Zob. sekcja 1.4.1.</w:t>
                  </w:r>
                </w:p>
              </w:tc>
              <w:tc>
                <w:tcPr>
                  <w:tcW w:w="1474" w:type="dxa"/>
                  <w:tcBorders>
                    <w:top w:val="single" w:sz="4" w:space="0" w:color="000000"/>
                    <w:left w:val="single" w:sz="4" w:space="0" w:color="000000"/>
                    <w:bottom w:val="single" w:sz="4" w:space="0" w:color="000000"/>
                    <w:right w:val="single" w:sz="4" w:space="0" w:color="000000"/>
                  </w:tcBorders>
                  <w:vAlign w:val="center"/>
                </w:tcPr>
                <w:p w14:paraId="7FFF02FC" w14:textId="77777777" w:rsidR="00E02F30" w:rsidRPr="00E02F30" w:rsidRDefault="00E02F30" w:rsidP="00E02F30">
                  <w:pPr>
                    <w:ind w:right="75"/>
                    <w:jc w:val="center"/>
                    <w:rPr>
                      <w:rFonts w:cs="Arial"/>
                      <w:sz w:val="20"/>
                      <w:szCs w:val="20"/>
                    </w:rPr>
                  </w:pPr>
                  <w:r w:rsidRPr="00E02F30">
                    <w:rPr>
                      <w:rFonts w:cs="Arial"/>
                      <w:sz w:val="20"/>
                      <w:szCs w:val="20"/>
                    </w:rPr>
                    <w:t>NO</w:t>
                  </w:r>
                  <w:r w:rsidRPr="00E02F30">
                    <w:rPr>
                      <w:rFonts w:cs="Arial"/>
                      <w:sz w:val="20"/>
                      <w:szCs w:val="20"/>
                      <w:vertAlign w:val="subscript"/>
                    </w:rPr>
                    <w:t>X</w:t>
                  </w:r>
                </w:p>
              </w:tc>
              <w:tc>
                <w:tcPr>
                  <w:tcW w:w="2273" w:type="dxa"/>
                  <w:tcBorders>
                    <w:top w:val="single" w:sz="4" w:space="0" w:color="000000"/>
                    <w:left w:val="single" w:sz="4" w:space="0" w:color="000000"/>
                    <w:bottom w:val="single" w:sz="4" w:space="0" w:color="000000"/>
                    <w:right w:val="nil"/>
                  </w:tcBorders>
                </w:tcPr>
                <w:p w14:paraId="75228C82" w14:textId="77777777" w:rsidR="00E02F30" w:rsidRPr="00E02F30" w:rsidRDefault="00E02F30" w:rsidP="00E02F30">
                  <w:pPr>
                    <w:ind w:left="13" w:right="239"/>
                    <w:jc w:val="both"/>
                    <w:rPr>
                      <w:rFonts w:cs="Arial"/>
                      <w:sz w:val="20"/>
                      <w:szCs w:val="20"/>
                    </w:rPr>
                  </w:pPr>
                  <w:r w:rsidRPr="00E02F30">
                    <w:rPr>
                      <w:rFonts w:cs="Arial"/>
                      <w:sz w:val="20"/>
                      <w:szCs w:val="20"/>
                    </w:rPr>
                    <w:t>Zastosowanie tej techniki może być ograniczone w  przypadku istniejących zespołów urządzeń ze względu na czas przebywania, którego wymaga reakcja.</w:t>
                  </w:r>
                </w:p>
              </w:tc>
            </w:tr>
          </w:tbl>
          <w:p w14:paraId="332F8529" w14:textId="77777777" w:rsidR="00E02F30" w:rsidRPr="00E02F30" w:rsidRDefault="00E02F30" w:rsidP="00E02F30">
            <w:pPr>
              <w:spacing w:after="0" w:line="240" w:lineRule="auto"/>
              <w:rPr>
                <w:rFonts w:eastAsia="Times New Roman" w:cs="Arial"/>
                <w:bCs/>
                <w:sz w:val="20"/>
                <w:szCs w:val="20"/>
                <w:lang w:eastAsia="pl-PL"/>
              </w:rPr>
            </w:pPr>
          </w:p>
          <w:p w14:paraId="4114482B"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Tabela 1.4</w:t>
            </w:r>
          </w:p>
          <w:p w14:paraId="42215E0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Poziomy emisji powiązane z najlepszymi dostępnymi technikami (BAT-AEL) w odniesieniu do emisji zorganizowanych do powietrza NOX i wskaźnikowy poziom emisji w odniesieniu do zorganizowanych emisji do powietrza CO z oczyszczania termicznego</w:t>
            </w:r>
          </w:p>
          <w:tbl>
            <w:tblPr>
              <w:tblStyle w:val="TableGrid"/>
              <w:tblW w:w="8164" w:type="dxa"/>
              <w:tblInd w:w="1020" w:type="dxa"/>
              <w:tblLayout w:type="fixed"/>
              <w:tblCellMar>
                <w:top w:w="107" w:type="dxa"/>
              </w:tblCellMar>
              <w:tblLook w:val="04A0" w:firstRow="1" w:lastRow="0" w:firstColumn="1" w:lastColumn="0" w:noHBand="0" w:noVBand="1"/>
            </w:tblPr>
            <w:tblGrid>
              <w:gridCol w:w="4757"/>
              <w:gridCol w:w="3407"/>
            </w:tblGrid>
            <w:tr w:rsidR="00E02F30" w:rsidRPr="00E02F30" w14:paraId="65277080" w14:textId="77777777" w:rsidTr="00A1631B">
              <w:trPr>
                <w:trHeight w:val="727"/>
              </w:trPr>
              <w:tc>
                <w:tcPr>
                  <w:tcW w:w="4757" w:type="dxa"/>
                  <w:tcBorders>
                    <w:top w:val="single" w:sz="4" w:space="0" w:color="000000"/>
                    <w:left w:val="nil"/>
                    <w:bottom w:val="single" w:sz="4" w:space="0" w:color="000000"/>
                    <w:right w:val="single" w:sz="4" w:space="0" w:color="000000"/>
                  </w:tcBorders>
                  <w:vAlign w:val="center"/>
                </w:tcPr>
                <w:p w14:paraId="15212C87" w14:textId="77777777" w:rsidR="00E02F30" w:rsidRPr="00E02F30" w:rsidRDefault="00E02F30" w:rsidP="00E02F30">
                  <w:pPr>
                    <w:ind w:right="114"/>
                    <w:jc w:val="center"/>
                    <w:rPr>
                      <w:rFonts w:cs="Arial"/>
                      <w:sz w:val="20"/>
                      <w:szCs w:val="20"/>
                    </w:rPr>
                  </w:pPr>
                  <w:r w:rsidRPr="00E02F30">
                    <w:rPr>
                      <w:rFonts w:cs="Arial"/>
                      <w:sz w:val="20"/>
                      <w:szCs w:val="20"/>
                    </w:rPr>
                    <w:t>Substancja/parametr</w:t>
                  </w:r>
                </w:p>
              </w:tc>
              <w:tc>
                <w:tcPr>
                  <w:tcW w:w="3407" w:type="dxa"/>
                  <w:tcBorders>
                    <w:top w:val="single" w:sz="4" w:space="0" w:color="000000"/>
                    <w:left w:val="single" w:sz="4" w:space="0" w:color="000000"/>
                    <w:bottom w:val="single" w:sz="4" w:space="0" w:color="000000"/>
                    <w:right w:val="nil"/>
                  </w:tcBorders>
                </w:tcPr>
                <w:p w14:paraId="34B605CB" w14:textId="77777777" w:rsidR="00E02F30" w:rsidRPr="00E02F30" w:rsidRDefault="00E02F30" w:rsidP="00E02F30">
                  <w:pPr>
                    <w:ind w:left="112"/>
                    <w:jc w:val="center"/>
                    <w:rPr>
                      <w:rFonts w:cs="Arial"/>
                      <w:sz w:val="20"/>
                      <w:szCs w:val="20"/>
                    </w:rPr>
                  </w:pPr>
                  <w:r w:rsidRPr="00E02F30">
                    <w:rPr>
                      <w:rFonts w:cs="Arial"/>
                      <w:sz w:val="20"/>
                      <w:szCs w:val="20"/>
                    </w:rPr>
                    <w:t>BAT-AEL (mg/Nm</w:t>
                  </w:r>
                  <w:r w:rsidRPr="00E02F30">
                    <w:rPr>
                      <w:rFonts w:cs="Arial"/>
                      <w:sz w:val="20"/>
                      <w:szCs w:val="20"/>
                      <w:vertAlign w:val="superscript"/>
                    </w:rPr>
                    <w:t>3</w:t>
                  </w:r>
                  <w:r w:rsidRPr="00E02F30">
                    <w:rPr>
                      <w:rFonts w:cs="Arial"/>
                      <w:sz w:val="20"/>
                      <w:szCs w:val="20"/>
                    </w:rPr>
                    <w:t>)</w:t>
                  </w:r>
                </w:p>
                <w:p w14:paraId="460912EA" w14:textId="77777777" w:rsidR="00E02F30" w:rsidRPr="00E02F30" w:rsidRDefault="00E02F30" w:rsidP="00E02F30">
                  <w:pPr>
                    <w:jc w:val="center"/>
                    <w:rPr>
                      <w:rFonts w:cs="Arial"/>
                      <w:sz w:val="20"/>
                      <w:szCs w:val="20"/>
                    </w:rPr>
                  </w:pPr>
                  <w:r w:rsidRPr="00E02F30">
                    <w:rPr>
                      <w:rFonts w:cs="Arial"/>
                      <w:sz w:val="20"/>
                      <w:szCs w:val="20"/>
                    </w:rPr>
                    <w:t>(średnia dobowa lub średnia z okresu pobierania próbek)</w:t>
                  </w:r>
                </w:p>
              </w:tc>
            </w:tr>
            <w:tr w:rsidR="00E02F30" w:rsidRPr="00E02F30" w14:paraId="5ECCE014" w14:textId="77777777" w:rsidTr="00A1631B">
              <w:trPr>
                <w:trHeight w:val="359"/>
              </w:trPr>
              <w:tc>
                <w:tcPr>
                  <w:tcW w:w="4757" w:type="dxa"/>
                  <w:tcBorders>
                    <w:top w:val="single" w:sz="4" w:space="0" w:color="000000"/>
                    <w:left w:val="nil"/>
                    <w:bottom w:val="single" w:sz="4" w:space="0" w:color="000000"/>
                    <w:right w:val="single" w:sz="4" w:space="0" w:color="000000"/>
                  </w:tcBorders>
                </w:tcPr>
                <w:p w14:paraId="3513C201" w14:textId="77777777" w:rsidR="00E02F30" w:rsidRPr="00E02F30" w:rsidRDefault="00E02F30" w:rsidP="00E02F30">
                  <w:pPr>
                    <w:rPr>
                      <w:rFonts w:cs="Arial"/>
                      <w:sz w:val="20"/>
                      <w:szCs w:val="20"/>
                    </w:rPr>
                  </w:pPr>
                  <w:r w:rsidRPr="00E02F30">
                    <w:rPr>
                      <w:rFonts w:cs="Arial"/>
                      <w:sz w:val="20"/>
                      <w:szCs w:val="20"/>
                    </w:rPr>
                    <w:t>Tlenki azotu (NO</w:t>
                  </w:r>
                  <w:r w:rsidRPr="00E02F30">
                    <w:rPr>
                      <w:rFonts w:cs="Arial"/>
                      <w:sz w:val="20"/>
                      <w:szCs w:val="20"/>
                      <w:vertAlign w:val="subscript"/>
                    </w:rPr>
                    <w:t>X</w:t>
                  </w:r>
                  <w:r w:rsidRPr="00E02F30">
                    <w:rPr>
                      <w:rFonts w:cs="Arial"/>
                      <w:sz w:val="20"/>
                      <w:szCs w:val="20"/>
                    </w:rPr>
                    <w:t>) z utleniania katalitycznego</w:t>
                  </w:r>
                </w:p>
              </w:tc>
              <w:tc>
                <w:tcPr>
                  <w:tcW w:w="3407" w:type="dxa"/>
                  <w:tcBorders>
                    <w:top w:val="single" w:sz="4" w:space="0" w:color="000000"/>
                    <w:left w:val="single" w:sz="4" w:space="0" w:color="000000"/>
                    <w:bottom w:val="single" w:sz="4" w:space="0" w:color="000000"/>
                    <w:right w:val="nil"/>
                  </w:tcBorders>
                </w:tcPr>
                <w:p w14:paraId="52068298" w14:textId="77777777" w:rsidR="00E02F30" w:rsidRPr="00E02F30" w:rsidRDefault="00E02F30" w:rsidP="00E02F30">
                  <w:pPr>
                    <w:ind w:left="112"/>
                    <w:jc w:val="center"/>
                    <w:rPr>
                      <w:rFonts w:cs="Arial"/>
                      <w:sz w:val="20"/>
                      <w:szCs w:val="20"/>
                    </w:rPr>
                  </w:pPr>
                  <w:r w:rsidRPr="00E02F30">
                    <w:rPr>
                      <w:rFonts w:cs="Arial"/>
                      <w:sz w:val="20"/>
                      <w:szCs w:val="20"/>
                    </w:rPr>
                    <w:t>5–30 (</w:t>
                  </w:r>
                  <w:r w:rsidRPr="00E02F30">
                    <w:rPr>
                      <w:rFonts w:cs="Arial"/>
                      <w:sz w:val="20"/>
                      <w:szCs w:val="20"/>
                      <w:vertAlign w:val="superscript"/>
                    </w:rPr>
                    <w:t>1</w:t>
                  </w:r>
                  <w:r w:rsidRPr="00E02F30">
                    <w:rPr>
                      <w:rFonts w:cs="Arial"/>
                      <w:sz w:val="20"/>
                      <w:szCs w:val="20"/>
                    </w:rPr>
                    <w:t>)</w:t>
                  </w:r>
                </w:p>
              </w:tc>
            </w:tr>
            <w:tr w:rsidR="00E02F30" w:rsidRPr="00E02F30" w14:paraId="59A7387A" w14:textId="77777777" w:rsidTr="00A1631B">
              <w:trPr>
                <w:trHeight w:val="359"/>
              </w:trPr>
              <w:tc>
                <w:tcPr>
                  <w:tcW w:w="4757" w:type="dxa"/>
                  <w:tcBorders>
                    <w:top w:val="single" w:sz="4" w:space="0" w:color="000000"/>
                    <w:left w:val="nil"/>
                    <w:bottom w:val="single" w:sz="4" w:space="0" w:color="000000"/>
                    <w:right w:val="single" w:sz="4" w:space="0" w:color="000000"/>
                  </w:tcBorders>
                </w:tcPr>
                <w:p w14:paraId="74BD3774" w14:textId="77777777" w:rsidR="00E02F30" w:rsidRPr="00E02F30" w:rsidRDefault="00E02F30" w:rsidP="00E02F30">
                  <w:pPr>
                    <w:rPr>
                      <w:rFonts w:cs="Arial"/>
                      <w:sz w:val="20"/>
                      <w:szCs w:val="20"/>
                    </w:rPr>
                  </w:pPr>
                  <w:r w:rsidRPr="00E02F30">
                    <w:rPr>
                      <w:rFonts w:cs="Arial"/>
                      <w:sz w:val="20"/>
                      <w:szCs w:val="20"/>
                    </w:rPr>
                    <w:t>Tlenki azotu (NO</w:t>
                  </w:r>
                  <w:r w:rsidRPr="00E02F30">
                    <w:rPr>
                      <w:rFonts w:cs="Arial"/>
                      <w:sz w:val="20"/>
                      <w:szCs w:val="20"/>
                      <w:vertAlign w:val="subscript"/>
                    </w:rPr>
                    <w:t>X</w:t>
                  </w:r>
                  <w:r w:rsidRPr="00E02F30">
                    <w:rPr>
                      <w:rFonts w:cs="Arial"/>
                      <w:sz w:val="20"/>
                      <w:szCs w:val="20"/>
                    </w:rPr>
                    <w:t>) z utleniania termicznego</w:t>
                  </w:r>
                </w:p>
              </w:tc>
              <w:tc>
                <w:tcPr>
                  <w:tcW w:w="3407" w:type="dxa"/>
                  <w:tcBorders>
                    <w:top w:val="single" w:sz="4" w:space="0" w:color="000000"/>
                    <w:left w:val="single" w:sz="4" w:space="0" w:color="000000"/>
                    <w:bottom w:val="single" w:sz="4" w:space="0" w:color="000000"/>
                    <w:right w:val="nil"/>
                  </w:tcBorders>
                </w:tcPr>
                <w:p w14:paraId="1A055554" w14:textId="77777777" w:rsidR="00E02F30" w:rsidRPr="00E02F30" w:rsidRDefault="00E02F30" w:rsidP="00E02F30">
                  <w:pPr>
                    <w:ind w:left="112"/>
                    <w:jc w:val="center"/>
                    <w:rPr>
                      <w:rFonts w:cs="Arial"/>
                      <w:sz w:val="20"/>
                      <w:szCs w:val="20"/>
                    </w:rPr>
                  </w:pPr>
                  <w:r w:rsidRPr="00E02F30">
                    <w:rPr>
                      <w:rFonts w:cs="Arial"/>
                      <w:sz w:val="20"/>
                      <w:szCs w:val="20"/>
                    </w:rPr>
                    <w:t>5–130 (</w:t>
                  </w:r>
                  <w:r w:rsidRPr="00E02F30">
                    <w:rPr>
                      <w:rFonts w:cs="Arial"/>
                      <w:sz w:val="20"/>
                      <w:szCs w:val="20"/>
                      <w:vertAlign w:val="superscript"/>
                    </w:rPr>
                    <w:t>2</w:t>
                  </w:r>
                  <w:r w:rsidRPr="00E02F30">
                    <w:rPr>
                      <w:rFonts w:cs="Arial"/>
                      <w:sz w:val="20"/>
                      <w:szCs w:val="20"/>
                    </w:rPr>
                    <w:t>)</w:t>
                  </w:r>
                </w:p>
              </w:tc>
            </w:tr>
            <w:tr w:rsidR="00E02F30" w:rsidRPr="00E02F30" w14:paraId="5909E722" w14:textId="77777777" w:rsidTr="00A1631B">
              <w:trPr>
                <w:trHeight w:val="359"/>
              </w:trPr>
              <w:tc>
                <w:tcPr>
                  <w:tcW w:w="4757" w:type="dxa"/>
                  <w:tcBorders>
                    <w:top w:val="single" w:sz="4" w:space="0" w:color="000000"/>
                    <w:left w:val="nil"/>
                    <w:bottom w:val="single" w:sz="4" w:space="0" w:color="000000"/>
                    <w:right w:val="single" w:sz="4" w:space="0" w:color="000000"/>
                  </w:tcBorders>
                </w:tcPr>
                <w:p w14:paraId="7F2E8CAA" w14:textId="77777777" w:rsidR="00E02F30" w:rsidRPr="00E02F30" w:rsidRDefault="00E02F30" w:rsidP="00E02F30">
                  <w:pPr>
                    <w:rPr>
                      <w:rFonts w:cs="Arial"/>
                      <w:sz w:val="20"/>
                      <w:szCs w:val="20"/>
                    </w:rPr>
                  </w:pPr>
                  <w:r w:rsidRPr="00E02F30">
                    <w:rPr>
                      <w:rFonts w:cs="Arial"/>
                      <w:sz w:val="20"/>
                      <w:szCs w:val="20"/>
                    </w:rPr>
                    <w:t>Tlenek węgla (CO)</w:t>
                  </w:r>
                </w:p>
              </w:tc>
              <w:tc>
                <w:tcPr>
                  <w:tcW w:w="3407" w:type="dxa"/>
                  <w:tcBorders>
                    <w:top w:val="single" w:sz="4" w:space="0" w:color="000000"/>
                    <w:left w:val="single" w:sz="4" w:space="0" w:color="000000"/>
                    <w:bottom w:val="single" w:sz="4" w:space="0" w:color="000000"/>
                    <w:right w:val="nil"/>
                  </w:tcBorders>
                </w:tcPr>
                <w:p w14:paraId="37D748A0" w14:textId="77777777" w:rsidR="00E02F30" w:rsidRPr="00E02F30" w:rsidRDefault="00E02F30" w:rsidP="00E02F30">
                  <w:pPr>
                    <w:ind w:left="112"/>
                    <w:jc w:val="center"/>
                    <w:rPr>
                      <w:rFonts w:cs="Arial"/>
                      <w:sz w:val="20"/>
                      <w:szCs w:val="20"/>
                    </w:rPr>
                  </w:pPr>
                  <w:r w:rsidRPr="00E02F30">
                    <w:rPr>
                      <w:rFonts w:cs="Arial"/>
                      <w:sz w:val="20"/>
                      <w:szCs w:val="20"/>
                    </w:rPr>
                    <w:t>Brak BAT-AEL (</w:t>
                  </w:r>
                  <w:r w:rsidRPr="00E02F30">
                    <w:rPr>
                      <w:rFonts w:cs="Arial"/>
                      <w:sz w:val="20"/>
                      <w:szCs w:val="20"/>
                      <w:vertAlign w:val="superscript"/>
                    </w:rPr>
                    <w:t>3</w:t>
                  </w:r>
                  <w:r w:rsidRPr="00E02F30">
                    <w:rPr>
                      <w:rFonts w:cs="Arial"/>
                      <w:sz w:val="20"/>
                      <w:szCs w:val="20"/>
                    </w:rPr>
                    <w:t>)</w:t>
                  </w:r>
                </w:p>
              </w:tc>
            </w:tr>
          </w:tbl>
          <w:p w14:paraId="6BF4E85A" w14:textId="77777777" w:rsidR="00E02F30" w:rsidRPr="00E02F30" w:rsidRDefault="00E02F30">
            <w:pPr>
              <w:numPr>
                <w:ilvl w:val="0"/>
                <w:numId w:val="69"/>
              </w:numPr>
              <w:spacing w:after="0" w:line="240" w:lineRule="auto"/>
              <w:jc w:val="center"/>
              <w:rPr>
                <w:rFonts w:eastAsia="Times New Roman" w:cs="Arial"/>
                <w:bCs/>
                <w:sz w:val="20"/>
                <w:szCs w:val="20"/>
                <w:lang w:eastAsia="pl-PL"/>
              </w:rPr>
            </w:pPr>
            <w:r w:rsidRPr="00E02F30">
              <w:rPr>
                <w:rFonts w:eastAsia="Times New Roman" w:cs="Arial"/>
                <w:bCs/>
                <w:sz w:val="20"/>
                <w:szCs w:val="20"/>
                <w:lang w:eastAsia="pl-PL"/>
              </w:rPr>
              <w:t>Górna granica zakresu BAT-AEL może być wyższa i wynosić do 80 mg/Nm3, jeżeli gazy odlotowe z procesu technologicznego zawierają duże ilości prekursorów NO</w:t>
            </w:r>
            <w:r w:rsidRPr="00E02F30">
              <w:rPr>
                <w:rFonts w:eastAsia="Times New Roman" w:cs="Arial"/>
                <w:bCs/>
                <w:sz w:val="20"/>
                <w:szCs w:val="20"/>
                <w:vertAlign w:val="subscript"/>
                <w:lang w:eastAsia="pl-PL"/>
              </w:rPr>
              <w:t>X</w:t>
            </w:r>
            <w:r w:rsidRPr="00E02F30">
              <w:rPr>
                <w:rFonts w:eastAsia="Times New Roman" w:cs="Arial"/>
                <w:bCs/>
                <w:sz w:val="20"/>
                <w:szCs w:val="20"/>
                <w:lang w:eastAsia="pl-PL"/>
              </w:rPr>
              <w:t>.</w:t>
            </w:r>
          </w:p>
          <w:p w14:paraId="2D82BF34" w14:textId="77777777" w:rsidR="00E02F30" w:rsidRPr="00E02F30" w:rsidRDefault="00E02F30">
            <w:pPr>
              <w:numPr>
                <w:ilvl w:val="0"/>
                <w:numId w:val="69"/>
              </w:numPr>
              <w:spacing w:after="0" w:line="240" w:lineRule="auto"/>
              <w:jc w:val="center"/>
              <w:rPr>
                <w:rFonts w:eastAsia="Times New Roman" w:cs="Arial"/>
                <w:bCs/>
                <w:sz w:val="20"/>
                <w:szCs w:val="20"/>
                <w:lang w:eastAsia="pl-PL"/>
              </w:rPr>
            </w:pPr>
            <w:r w:rsidRPr="00E02F30">
              <w:rPr>
                <w:rFonts w:eastAsia="Times New Roman" w:cs="Arial"/>
                <w:bCs/>
                <w:sz w:val="20"/>
                <w:szCs w:val="20"/>
                <w:lang w:eastAsia="pl-PL"/>
              </w:rPr>
              <w:t>Górna granica zakresu BAT-AEL może być wyższa i wynosić do 200 mg/Nm</w:t>
            </w:r>
            <w:r w:rsidRPr="00E02F30">
              <w:rPr>
                <w:rFonts w:eastAsia="Times New Roman" w:cs="Arial"/>
                <w:bCs/>
                <w:sz w:val="20"/>
                <w:szCs w:val="20"/>
                <w:vertAlign w:val="superscript"/>
                <w:lang w:eastAsia="pl-PL"/>
              </w:rPr>
              <w:t>3</w:t>
            </w:r>
            <w:r w:rsidRPr="00E02F30">
              <w:rPr>
                <w:rFonts w:eastAsia="Times New Roman" w:cs="Arial"/>
                <w:bCs/>
                <w:sz w:val="20"/>
                <w:szCs w:val="20"/>
                <w:lang w:eastAsia="pl-PL"/>
              </w:rPr>
              <w:t>, jeżeli gazy odlotowe z procesu technologicznego zawierają duże ilości prekursorów NO</w:t>
            </w:r>
            <w:r w:rsidRPr="00E02F30">
              <w:rPr>
                <w:rFonts w:eastAsia="Times New Roman" w:cs="Arial"/>
                <w:bCs/>
                <w:sz w:val="20"/>
                <w:szCs w:val="20"/>
                <w:vertAlign w:val="subscript"/>
                <w:lang w:eastAsia="pl-PL"/>
              </w:rPr>
              <w:t>X</w:t>
            </w:r>
            <w:r w:rsidRPr="00E02F30">
              <w:rPr>
                <w:rFonts w:eastAsia="Times New Roman" w:cs="Arial"/>
                <w:bCs/>
                <w:sz w:val="20"/>
                <w:szCs w:val="20"/>
                <w:lang w:eastAsia="pl-PL"/>
              </w:rPr>
              <w:t>.</w:t>
            </w:r>
          </w:p>
          <w:p w14:paraId="0BEE0722" w14:textId="77777777" w:rsidR="00E02F30" w:rsidRPr="00E02F30" w:rsidRDefault="00E02F30">
            <w:pPr>
              <w:numPr>
                <w:ilvl w:val="0"/>
                <w:numId w:val="69"/>
              </w:numPr>
              <w:spacing w:after="0" w:line="240" w:lineRule="auto"/>
              <w:jc w:val="center"/>
              <w:rPr>
                <w:rFonts w:eastAsia="Times New Roman" w:cs="Arial"/>
                <w:bCs/>
                <w:sz w:val="20"/>
                <w:szCs w:val="20"/>
                <w:lang w:eastAsia="pl-PL"/>
              </w:rPr>
            </w:pPr>
            <w:r w:rsidRPr="00E02F30">
              <w:rPr>
                <w:rFonts w:eastAsia="Times New Roman" w:cs="Arial"/>
                <w:bCs/>
                <w:sz w:val="20"/>
                <w:szCs w:val="20"/>
                <w:lang w:eastAsia="pl-PL"/>
              </w:rPr>
              <w:t>Jako wskaźnik, poziomy emisji tlenku węgla przyjmują wartość 4–50 mg/Nm</w:t>
            </w:r>
            <w:r w:rsidRPr="00E02F30">
              <w:rPr>
                <w:rFonts w:eastAsia="Times New Roman" w:cs="Arial"/>
                <w:bCs/>
                <w:sz w:val="20"/>
                <w:szCs w:val="20"/>
                <w:vertAlign w:val="superscript"/>
                <w:lang w:eastAsia="pl-PL"/>
              </w:rPr>
              <w:t xml:space="preserve">3 </w:t>
            </w:r>
            <w:r w:rsidRPr="00E02F30">
              <w:rPr>
                <w:rFonts w:eastAsia="Times New Roman" w:cs="Arial"/>
                <w:bCs/>
                <w:sz w:val="20"/>
                <w:szCs w:val="20"/>
                <w:lang w:eastAsia="pl-PL"/>
              </w:rPr>
              <w:t>wyrażoną jako średnia dobowa lub średnia z okresu pobierania próbek</w:t>
            </w:r>
          </w:p>
        </w:tc>
      </w:tr>
      <w:tr w:rsidR="00E02F30" w:rsidRPr="00E02F30" w14:paraId="575F3AA5" w14:textId="77777777" w:rsidTr="00A1631B">
        <w:trPr>
          <w:trHeight w:val="284"/>
        </w:trPr>
        <w:tc>
          <w:tcPr>
            <w:tcW w:w="1985" w:type="dxa"/>
            <w:gridSpan w:val="2"/>
            <w:shd w:val="clear" w:color="auto" w:fill="auto"/>
            <w:vAlign w:val="center"/>
          </w:tcPr>
          <w:p w14:paraId="68BF5E9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109BF8A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4A9E206A"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2F4E59E0" w14:textId="77777777" w:rsidR="00E02F30" w:rsidRPr="00E02F30" w:rsidRDefault="00E02F30" w:rsidP="00E02F30">
            <w:pPr>
              <w:spacing w:after="0" w:line="240" w:lineRule="auto"/>
              <w:rPr>
                <w:rFonts w:eastAsia="Times New Roman" w:cs="Arial"/>
                <w:bCs/>
                <w:sz w:val="20"/>
                <w:szCs w:val="20"/>
                <w:lang w:eastAsia="pl-PL"/>
              </w:rPr>
            </w:pPr>
          </w:p>
          <w:p w14:paraId="6BDAB845"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Cs/>
                <w:sz w:val="20"/>
                <w:szCs w:val="20"/>
                <w:lang w:eastAsia="pl-PL"/>
              </w:rPr>
              <w:t xml:space="preserve">W instalacji nie następuje emisja CO, NOX i SOX z oczyszczania termicznego. </w:t>
            </w:r>
          </w:p>
          <w:p w14:paraId="40DC1D5C" w14:textId="77777777" w:rsidR="00E02F30" w:rsidRPr="00E02F30" w:rsidRDefault="00E02F30" w:rsidP="00E02F30">
            <w:pPr>
              <w:spacing w:after="0" w:line="240" w:lineRule="auto"/>
              <w:rPr>
                <w:rFonts w:eastAsia="Times New Roman" w:cs="Arial"/>
                <w:b/>
                <w:sz w:val="20"/>
                <w:szCs w:val="20"/>
                <w:lang w:eastAsia="pl-PL"/>
              </w:rPr>
            </w:pPr>
          </w:p>
        </w:tc>
      </w:tr>
      <w:tr w:rsidR="00E02F30" w:rsidRPr="00E02F30" w14:paraId="7E1297E9" w14:textId="77777777" w:rsidTr="00A1631B">
        <w:trPr>
          <w:trHeight w:val="284"/>
        </w:trPr>
        <w:tc>
          <w:tcPr>
            <w:tcW w:w="10632" w:type="dxa"/>
            <w:gridSpan w:val="6"/>
            <w:shd w:val="clear" w:color="auto" w:fill="auto"/>
          </w:tcPr>
          <w:p w14:paraId="7B59BF2E"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17</w:t>
            </w:r>
          </w:p>
          <w:p w14:paraId="3D082F7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ograniczyć emisje zorganizowane do powietrza amoniaku powstałe w wyniku stosowania selektywnej redukcji katalitycznej (SCR) lub selektywnej redukcji niekatalitycznej (SNCR) w celu redukcji emisji NOX (ucieczka amoniaku), w ramach BAT należy zoptymalizować konstrukcję lub działanie SCR lub SNCR (np. zoptymalizowany stosunek odczynnika do NOX, równomierne rozłożenie odczynnika i optymalna wielkość kropel odczynnika).</w:t>
            </w:r>
          </w:p>
        </w:tc>
      </w:tr>
      <w:tr w:rsidR="00E02F30" w:rsidRPr="00E02F30" w14:paraId="1A7AA89C" w14:textId="77777777" w:rsidTr="00A1631B">
        <w:trPr>
          <w:trHeight w:val="284"/>
        </w:trPr>
        <w:tc>
          <w:tcPr>
            <w:tcW w:w="1985" w:type="dxa"/>
            <w:gridSpan w:val="2"/>
            <w:shd w:val="clear" w:color="auto" w:fill="auto"/>
            <w:vAlign w:val="center"/>
          </w:tcPr>
          <w:p w14:paraId="2A5ACD1E"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787BBAF5" w14:textId="77777777" w:rsidR="00E02F30" w:rsidRPr="00E02F30" w:rsidRDefault="00E02F30" w:rsidP="00E02F30">
            <w:pPr>
              <w:spacing w:after="0" w:line="240" w:lineRule="auto"/>
              <w:jc w:val="center"/>
              <w:rPr>
                <w:rFonts w:eastAsia="Times New Roman" w:cs="Arial"/>
                <w:bCs/>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3DC038A6"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Nie dotyczy</w:t>
            </w:r>
          </w:p>
          <w:p w14:paraId="124A04A9"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instalacji nie stosuje się selektywnej redukcji katalitycznej (SCR) lub selektywnej redukcji niekatalitycznej (SNCR) w celu redukcji emisji NOX.</w:t>
            </w:r>
          </w:p>
          <w:p w14:paraId="3CA17E64"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W związku z powyższym wskazane w tabeli 1.5 poziomy emisji BAT-AEL nie mają zastosowania.</w:t>
            </w:r>
          </w:p>
        </w:tc>
      </w:tr>
      <w:tr w:rsidR="00E02F30" w:rsidRPr="00E02F30" w14:paraId="35E37305" w14:textId="77777777" w:rsidTr="00A1631B">
        <w:trPr>
          <w:trHeight w:val="284"/>
        </w:trPr>
        <w:tc>
          <w:tcPr>
            <w:tcW w:w="10632" w:type="dxa"/>
            <w:gridSpan w:val="6"/>
            <w:shd w:val="clear" w:color="auto" w:fill="auto"/>
          </w:tcPr>
          <w:p w14:paraId="6EA319D3"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18</w:t>
            </w:r>
          </w:p>
          <w:p w14:paraId="0222937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ograniczyć emisje zorganizowane do powietrza związków nieorganicznych inne niż emisje zorganizowane do powietrza amoniaku powstałe w wyniku stosowania selektywnej redukcji katalitycznej (SCR) lub selektywnej redukcji niekatalitycznej (SNCR) w celu redukcji emisji NOX, emisje zorganizowane do powietrza CO, NOX i SOX powstałe w wyniku stosowania obróbki termicznej oraz emisje zorganizowane do powietrza NOX z pieców procesowych/nagrzewnic, w ramach BAT należy stosować jedną z poniższych technik lub ich kombinację.</w:t>
            </w:r>
          </w:p>
          <w:p w14:paraId="0380E22E" w14:textId="77777777" w:rsidR="00E02F30" w:rsidRPr="00E02F30" w:rsidRDefault="00E02F30" w:rsidP="00E02F30">
            <w:pPr>
              <w:spacing w:after="0" w:line="240" w:lineRule="auto"/>
              <w:rPr>
                <w:rFonts w:eastAsia="Times New Roman" w:cs="Arial"/>
                <w:bCs/>
                <w:sz w:val="20"/>
                <w:szCs w:val="20"/>
                <w:lang w:eastAsia="pl-PL"/>
              </w:rPr>
            </w:pPr>
          </w:p>
          <w:tbl>
            <w:tblPr>
              <w:tblStyle w:val="TableGrid"/>
              <w:tblW w:w="4500" w:type="pct"/>
              <w:tblInd w:w="1020" w:type="dxa"/>
              <w:tblLayout w:type="fixed"/>
              <w:tblCellMar>
                <w:right w:w="32" w:type="dxa"/>
              </w:tblCellMar>
              <w:tblLook w:val="04A0" w:firstRow="1" w:lastRow="0" w:firstColumn="1" w:lastColumn="0" w:noHBand="0" w:noVBand="1"/>
            </w:tblPr>
            <w:tblGrid>
              <w:gridCol w:w="393"/>
              <w:gridCol w:w="1818"/>
              <w:gridCol w:w="2914"/>
              <w:gridCol w:w="1818"/>
              <w:gridCol w:w="2431"/>
            </w:tblGrid>
            <w:tr w:rsidR="00E02F30" w:rsidRPr="00E02F30" w14:paraId="450F0151" w14:textId="77777777" w:rsidTr="00A1631B">
              <w:trPr>
                <w:trHeight w:val="632"/>
              </w:trPr>
              <w:tc>
                <w:tcPr>
                  <w:tcW w:w="2942" w:type="dxa"/>
                  <w:gridSpan w:val="2"/>
                  <w:tcBorders>
                    <w:top w:val="single" w:sz="4" w:space="0" w:color="000000"/>
                    <w:left w:val="nil"/>
                    <w:bottom w:val="single" w:sz="4" w:space="0" w:color="000000"/>
                    <w:right w:val="single" w:sz="4" w:space="0" w:color="000000"/>
                  </w:tcBorders>
                  <w:vAlign w:val="center"/>
                </w:tcPr>
                <w:p w14:paraId="0271A1EF" w14:textId="77777777" w:rsidR="00E02F30" w:rsidRPr="00E02F30" w:rsidRDefault="00E02F30" w:rsidP="00E02F30">
                  <w:pPr>
                    <w:ind w:left="112"/>
                    <w:rPr>
                      <w:rFonts w:cs="Arial"/>
                      <w:sz w:val="20"/>
                      <w:szCs w:val="20"/>
                    </w:rPr>
                  </w:pPr>
                  <w:r w:rsidRPr="00E02F30">
                    <w:rPr>
                      <w:rFonts w:cs="Arial"/>
                      <w:sz w:val="20"/>
                      <w:szCs w:val="20"/>
                    </w:rPr>
                    <w:t>Technika</w:t>
                  </w:r>
                </w:p>
              </w:tc>
              <w:tc>
                <w:tcPr>
                  <w:tcW w:w="3906" w:type="dxa"/>
                  <w:tcBorders>
                    <w:top w:val="single" w:sz="4" w:space="0" w:color="000000"/>
                    <w:left w:val="single" w:sz="4" w:space="0" w:color="000000"/>
                    <w:bottom w:val="single" w:sz="4" w:space="0" w:color="000000"/>
                    <w:right w:val="single" w:sz="4" w:space="0" w:color="000000"/>
                  </w:tcBorders>
                  <w:vAlign w:val="center"/>
                </w:tcPr>
                <w:p w14:paraId="5C5E002A" w14:textId="77777777" w:rsidR="00E02F30" w:rsidRPr="00E02F30" w:rsidRDefault="00E02F30" w:rsidP="00E02F30">
                  <w:pPr>
                    <w:ind w:left="112"/>
                    <w:rPr>
                      <w:rFonts w:cs="Arial"/>
                      <w:sz w:val="20"/>
                      <w:szCs w:val="20"/>
                    </w:rPr>
                  </w:pPr>
                  <w:r w:rsidRPr="00E02F30">
                    <w:rPr>
                      <w:rFonts w:cs="Arial"/>
                      <w:sz w:val="20"/>
                      <w:szCs w:val="20"/>
                    </w:rPr>
                    <w:t>Opis</w:t>
                  </w:r>
                </w:p>
              </w:tc>
              <w:tc>
                <w:tcPr>
                  <w:tcW w:w="2430" w:type="dxa"/>
                  <w:tcBorders>
                    <w:top w:val="single" w:sz="4" w:space="0" w:color="000000"/>
                    <w:left w:val="single" w:sz="4" w:space="0" w:color="000000"/>
                    <w:bottom w:val="single" w:sz="4" w:space="0" w:color="000000"/>
                    <w:right w:val="single" w:sz="4" w:space="0" w:color="000000"/>
                  </w:tcBorders>
                  <w:vAlign w:val="center"/>
                </w:tcPr>
                <w:p w14:paraId="1D393E9B" w14:textId="77777777" w:rsidR="00E02F30" w:rsidRPr="00E02F30" w:rsidRDefault="00E02F30" w:rsidP="00E02F30">
                  <w:pPr>
                    <w:jc w:val="center"/>
                    <w:rPr>
                      <w:rFonts w:cs="Arial"/>
                      <w:sz w:val="20"/>
                      <w:szCs w:val="20"/>
                    </w:rPr>
                  </w:pPr>
                  <w:r w:rsidRPr="00E02F30">
                    <w:rPr>
                      <w:rFonts w:cs="Arial"/>
                      <w:sz w:val="20"/>
                      <w:szCs w:val="20"/>
                    </w:rPr>
                    <w:t>Główne związki nieorganiczne, wobec których stosowana jest technika</w:t>
                  </w:r>
                </w:p>
              </w:tc>
              <w:tc>
                <w:tcPr>
                  <w:tcW w:w="3255" w:type="dxa"/>
                  <w:tcBorders>
                    <w:top w:val="single" w:sz="4" w:space="0" w:color="000000"/>
                    <w:left w:val="single" w:sz="4" w:space="0" w:color="000000"/>
                    <w:bottom w:val="single" w:sz="4" w:space="0" w:color="000000"/>
                    <w:right w:val="nil"/>
                  </w:tcBorders>
                  <w:vAlign w:val="center"/>
                </w:tcPr>
                <w:p w14:paraId="382380BF" w14:textId="77777777" w:rsidR="00E02F30" w:rsidRPr="00E02F30" w:rsidRDefault="00E02F30" w:rsidP="00E02F30">
                  <w:pPr>
                    <w:ind w:left="112"/>
                    <w:rPr>
                      <w:rFonts w:cs="Arial"/>
                      <w:sz w:val="20"/>
                      <w:szCs w:val="20"/>
                    </w:rPr>
                  </w:pPr>
                  <w:r w:rsidRPr="00E02F30">
                    <w:rPr>
                      <w:rFonts w:cs="Arial"/>
                      <w:sz w:val="20"/>
                      <w:szCs w:val="20"/>
                    </w:rPr>
                    <w:t>Stosowanie</w:t>
                  </w:r>
                </w:p>
              </w:tc>
            </w:tr>
            <w:tr w:rsidR="00E02F30" w:rsidRPr="00E02F30" w14:paraId="3690B99B" w14:textId="77777777" w:rsidTr="00A1631B">
              <w:trPr>
                <w:trHeight w:val="632"/>
              </w:trPr>
              <w:tc>
                <w:tcPr>
                  <w:tcW w:w="12533" w:type="dxa"/>
                  <w:gridSpan w:val="5"/>
                  <w:tcBorders>
                    <w:top w:val="single" w:sz="4" w:space="0" w:color="000000"/>
                    <w:left w:val="nil"/>
                    <w:bottom w:val="single" w:sz="4" w:space="0" w:color="000000"/>
                    <w:right w:val="single" w:sz="4" w:space="0" w:color="000000"/>
                  </w:tcBorders>
                  <w:vAlign w:val="center"/>
                </w:tcPr>
                <w:p w14:paraId="6BB269C6" w14:textId="77777777" w:rsidR="00E02F30" w:rsidRPr="00E02F30" w:rsidRDefault="00E02F30" w:rsidP="00E02F30">
                  <w:pPr>
                    <w:ind w:left="112"/>
                    <w:rPr>
                      <w:rFonts w:cs="Arial"/>
                      <w:sz w:val="20"/>
                      <w:szCs w:val="20"/>
                    </w:rPr>
                  </w:pPr>
                  <w:r w:rsidRPr="00E02F30">
                    <w:rPr>
                      <w:rFonts w:cs="Arial"/>
                      <w:sz w:val="20"/>
                      <w:szCs w:val="20"/>
                    </w:rPr>
                    <w:t>Specjalne techniki ukierunkowane na ograniczenie emisji związków nieorganicznych do powietrza</w:t>
                  </w:r>
                </w:p>
              </w:tc>
            </w:tr>
            <w:tr w:rsidR="00E02F30" w:rsidRPr="00E02F30" w14:paraId="397FA6F9" w14:textId="77777777" w:rsidTr="00A1631B">
              <w:trPr>
                <w:trHeight w:val="632"/>
              </w:trPr>
              <w:tc>
                <w:tcPr>
                  <w:tcW w:w="512" w:type="dxa"/>
                  <w:tcBorders>
                    <w:top w:val="single" w:sz="4" w:space="0" w:color="000000"/>
                    <w:left w:val="nil"/>
                    <w:bottom w:val="single" w:sz="4" w:space="0" w:color="000000"/>
                    <w:right w:val="single" w:sz="4" w:space="0" w:color="000000"/>
                  </w:tcBorders>
                  <w:vAlign w:val="center"/>
                </w:tcPr>
                <w:p w14:paraId="692D3FB4" w14:textId="77777777" w:rsidR="00E02F30" w:rsidRPr="00E02F30" w:rsidRDefault="00E02F30" w:rsidP="00E02F30">
                  <w:pPr>
                    <w:rPr>
                      <w:rFonts w:cs="Arial"/>
                      <w:sz w:val="20"/>
                      <w:szCs w:val="20"/>
                    </w:rPr>
                  </w:pPr>
                  <w:r w:rsidRPr="00E02F30">
                    <w:rPr>
                      <w:rFonts w:cs="Arial"/>
                      <w:sz w:val="20"/>
                      <w:szCs w:val="20"/>
                    </w:rPr>
                    <w:t>a)</w:t>
                  </w:r>
                </w:p>
              </w:tc>
              <w:tc>
                <w:tcPr>
                  <w:tcW w:w="2430" w:type="dxa"/>
                  <w:tcBorders>
                    <w:top w:val="single" w:sz="4" w:space="0" w:color="000000"/>
                    <w:left w:val="single" w:sz="4" w:space="0" w:color="000000"/>
                    <w:bottom w:val="single" w:sz="4" w:space="0" w:color="000000"/>
                    <w:right w:val="single" w:sz="4" w:space="0" w:color="000000"/>
                  </w:tcBorders>
                  <w:vAlign w:val="center"/>
                </w:tcPr>
                <w:p w14:paraId="07F1D8C6" w14:textId="77777777" w:rsidR="00E02F30" w:rsidRPr="00E02F30" w:rsidRDefault="00E02F30" w:rsidP="00E02F30">
                  <w:pPr>
                    <w:ind w:left="112"/>
                    <w:rPr>
                      <w:rFonts w:cs="Arial"/>
                      <w:sz w:val="20"/>
                      <w:szCs w:val="20"/>
                    </w:rPr>
                  </w:pPr>
                  <w:r w:rsidRPr="00E02F30">
                    <w:rPr>
                      <w:rFonts w:cs="Arial"/>
                      <w:sz w:val="20"/>
                      <w:szCs w:val="20"/>
                    </w:rPr>
                    <w:t>Absorpcja</w:t>
                  </w:r>
                </w:p>
              </w:tc>
              <w:tc>
                <w:tcPr>
                  <w:tcW w:w="3906" w:type="dxa"/>
                  <w:tcBorders>
                    <w:top w:val="single" w:sz="4" w:space="0" w:color="000000"/>
                    <w:left w:val="single" w:sz="4" w:space="0" w:color="000000"/>
                    <w:bottom w:val="single" w:sz="4" w:space="0" w:color="000000"/>
                    <w:right w:val="single" w:sz="4" w:space="0" w:color="000000"/>
                  </w:tcBorders>
                  <w:vAlign w:val="center"/>
                </w:tcPr>
                <w:p w14:paraId="6415EB7C" w14:textId="77777777" w:rsidR="00E02F30" w:rsidRPr="00E02F30" w:rsidRDefault="00E02F30" w:rsidP="00E02F30">
                  <w:pPr>
                    <w:ind w:left="112"/>
                    <w:rPr>
                      <w:rFonts w:cs="Arial"/>
                      <w:sz w:val="20"/>
                      <w:szCs w:val="20"/>
                    </w:rPr>
                  </w:pPr>
                  <w:r w:rsidRPr="00E02F30">
                    <w:rPr>
                      <w:rFonts w:cs="Arial"/>
                      <w:sz w:val="20"/>
                      <w:szCs w:val="20"/>
                    </w:rPr>
                    <w:t>Zob. sekcja 1.4.1.</w:t>
                  </w:r>
                </w:p>
              </w:tc>
              <w:tc>
                <w:tcPr>
                  <w:tcW w:w="2430" w:type="dxa"/>
                  <w:tcBorders>
                    <w:top w:val="single" w:sz="4" w:space="0" w:color="000000"/>
                    <w:left w:val="single" w:sz="4" w:space="0" w:color="000000"/>
                    <w:bottom w:val="single" w:sz="4" w:space="0" w:color="000000"/>
                    <w:right w:val="single" w:sz="4" w:space="0" w:color="000000"/>
                  </w:tcBorders>
                  <w:vAlign w:val="center"/>
                </w:tcPr>
                <w:p w14:paraId="37F7DFCB" w14:textId="77777777" w:rsidR="00E02F30" w:rsidRPr="00E02F30" w:rsidRDefault="00E02F30" w:rsidP="00E02F30">
                  <w:pPr>
                    <w:ind w:left="222" w:hanging="110"/>
                    <w:jc w:val="center"/>
                    <w:rPr>
                      <w:rFonts w:cs="Arial"/>
                      <w:sz w:val="20"/>
                      <w:szCs w:val="20"/>
                    </w:rPr>
                  </w:pPr>
                  <w:r w:rsidRPr="00E02F30">
                    <w:rPr>
                      <w:rFonts w:cs="Arial"/>
                      <w:sz w:val="20"/>
                      <w:szCs w:val="20"/>
                    </w:rPr>
                    <w:t>Cl</w:t>
                  </w:r>
                  <w:r w:rsidRPr="00E02F30">
                    <w:rPr>
                      <w:rFonts w:cs="Arial"/>
                      <w:sz w:val="20"/>
                      <w:szCs w:val="20"/>
                      <w:vertAlign w:val="subscript"/>
                    </w:rPr>
                    <w:t>2</w:t>
                  </w:r>
                  <w:r w:rsidRPr="00E02F30">
                    <w:rPr>
                      <w:rFonts w:cs="Arial"/>
                      <w:sz w:val="20"/>
                      <w:szCs w:val="20"/>
                    </w:rPr>
                    <w:t>, HCl, HCN, HF, NH</w:t>
                  </w:r>
                  <w:r w:rsidRPr="00E02F30">
                    <w:rPr>
                      <w:rFonts w:cs="Arial"/>
                      <w:sz w:val="20"/>
                      <w:szCs w:val="20"/>
                      <w:vertAlign w:val="subscript"/>
                    </w:rPr>
                    <w:t>3</w:t>
                  </w:r>
                  <w:r w:rsidRPr="00E02F30">
                    <w:rPr>
                      <w:rFonts w:cs="Arial"/>
                      <w:sz w:val="20"/>
                      <w:szCs w:val="20"/>
                    </w:rPr>
                    <w:t>, NO</w:t>
                  </w:r>
                  <w:r w:rsidRPr="00E02F30">
                    <w:rPr>
                      <w:rFonts w:cs="Arial"/>
                      <w:sz w:val="20"/>
                      <w:szCs w:val="20"/>
                      <w:vertAlign w:val="subscript"/>
                    </w:rPr>
                    <w:t>X</w:t>
                  </w:r>
                  <w:r w:rsidRPr="00E02F30">
                    <w:rPr>
                      <w:rFonts w:cs="Arial"/>
                      <w:sz w:val="20"/>
                      <w:szCs w:val="20"/>
                    </w:rPr>
                    <w:t>, SO</w:t>
                  </w:r>
                  <w:r w:rsidRPr="00E02F30">
                    <w:rPr>
                      <w:rFonts w:cs="Arial"/>
                      <w:sz w:val="20"/>
                      <w:szCs w:val="20"/>
                      <w:vertAlign w:val="subscript"/>
                    </w:rPr>
                    <w:t>X</w:t>
                  </w:r>
                </w:p>
              </w:tc>
              <w:tc>
                <w:tcPr>
                  <w:tcW w:w="3255" w:type="dxa"/>
                  <w:tcBorders>
                    <w:top w:val="single" w:sz="4" w:space="0" w:color="000000"/>
                    <w:left w:val="single" w:sz="4" w:space="0" w:color="000000"/>
                    <w:bottom w:val="single" w:sz="4" w:space="0" w:color="000000"/>
                    <w:right w:val="nil"/>
                  </w:tcBorders>
                  <w:vAlign w:val="center"/>
                </w:tcPr>
                <w:p w14:paraId="3B51503A" w14:textId="77777777" w:rsidR="00E02F30" w:rsidRPr="00E02F30" w:rsidRDefault="00E02F30" w:rsidP="00E02F30">
                  <w:pPr>
                    <w:ind w:left="112"/>
                    <w:rPr>
                      <w:rFonts w:cs="Arial"/>
                      <w:sz w:val="20"/>
                      <w:szCs w:val="20"/>
                    </w:rPr>
                  </w:pPr>
                  <w:r w:rsidRPr="00E02F30">
                    <w:rPr>
                      <w:rFonts w:cs="Arial"/>
                      <w:sz w:val="20"/>
                      <w:szCs w:val="20"/>
                    </w:rPr>
                    <w:t>Zastosowanie ogólne</w:t>
                  </w:r>
                </w:p>
              </w:tc>
            </w:tr>
            <w:tr w:rsidR="00E02F30" w:rsidRPr="00E02F30" w14:paraId="79D338E0" w14:textId="77777777" w:rsidTr="00A1631B">
              <w:trPr>
                <w:trHeight w:val="1698"/>
              </w:trPr>
              <w:tc>
                <w:tcPr>
                  <w:tcW w:w="512" w:type="dxa"/>
                  <w:tcBorders>
                    <w:top w:val="single" w:sz="4" w:space="0" w:color="000000"/>
                    <w:left w:val="nil"/>
                    <w:bottom w:val="single" w:sz="4" w:space="0" w:color="000000"/>
                    <w:right w:val="single" w:sz="4" w:space="0" w:color="000000"/>
                  </w:tcBorders>
                  <w:vAlign w:val="center"/>
                </w:tcPr>
                <w:p w14:paraId="7135797E" w14:textId="77777777" w:rsidR="00E02F30" w:rsidRPr="00E02F30" w:rsidRDefault="00E02F30" w:rsidP="00E02F30">
                  <w:pPr>
                    <w:rPr>
                      <w:rFonts w:cs="Arial"/>
                      <w:sz w:val="20"/>
                      <w:szCs w:val="20"/>
                    </w:rPr>
                  </w:pPr>
                  <w:r w:rsidRPr="00E02F30">
                    <w:rPr>
                      <w:rFonts w:cs="Arial"/>
                      <w:sz w:val="20"/>
                      <w:szCs w:val="20"/>
                    </w:rPr>
                    <w:t>b)</w:t>
                  </w:r>
                </w:p>
              </w:tc>
              <w:tc>
                <w:tcPr>
                  <w:tcW w:w="2430" w:type="dxa"/>
                  <w:tcBorders>
                    <w:top w:val="single" w:sz="4" w:space="0" w:color="000000"/>
                    <w:left w:val="single" w:sz="4" w:space="0" w:color="000000"/>
                    <w:bottom w:val="single" w:sz="4" w:space="0" w:color="000000"/>
                    <w:right w:val="single" w:sz="4" w:space="0" w:color="000000"/>
                  </w:tcBorders>
                  <w:vAlign w:val="center"/>
                </w:tcPr>
                <w:p w14:paraId="2B82CB37" w14:textId="77777777" w:rsidR="00E02F30" w:rsidRPr="00E02F30" w:rsidRDefault="00E02F30" w:rsidP="00E02F30">
                  <w:pPr>
                    <w:ind w:left="112"/>
                    <w:rPr>
                      <w:rFonts w:cs="Arial"/>
                      <w:sz w:val="20"/>
                      <w:szCs w:val="20"/>
                    </w:rPr>
                  </w:pPr>
                  <w:r w:rsidRPr="00E02F30">
                    <w:rPr>
                      <w:rFonts w:cs="Arial"/>
                      <w:sz w:val="20"/>
                      <w:szCs w:val="20"/>
                    </w:rPr>
                    <w:t>Adsorpcja</w:t>
                  </w:r>
                </w:p>
              </w:tc>
              <w:tc>
                <w:tcPr>
                  <w:tcW w:w="3906" w:type="dxa"/>
                  <w:tcBorders>
                    <w:top w:val="single" w:sz="4" w:space="0" w:color="000000"/>
                    <w:left w:val="single" w:sz="4" w:space="0" w:color="000000"/>
                    <w:bottom w:val="single" w:sz="4" w:space="0" w:color="000000"/>
                    <w:right w:val="single" w:sz="4" w:space="0" w:color="000000"/>
                  </w:tcBorders>
                  <w:vAlign w:val="center"/>
                </w:tcPr>
                <w:p w14:paraId="53BABAF2" w14:textId="77777777" w:rsidR="00E02F30" w:rsidRPr="00E02F30" w:rsidRDefault="00E02F30" w:rsidP="00E02F30">
                  <w:pPr>
                    <w:ind w:left="112"/>
                    <w:rPr>
                      <w:rFonts w:cs="Arial"/>
                      <w:sz w:val="20"/>
                      <w:szCs w:val="20"/>
                    </w:rPr>
                  </w:pPr>
                  <w:r w:rsidRPr="00E02F30">
                    <w:rPr>
                      <w:rFonts w:cs="Arial"/>
                      <w:sz w:val="20"/>
                      <w:szCs w:val="20"/>
                    </w:rPr>
                    <w:t>Zob. sekcja 1.4.1.</w:t>
                  </w:r>
                </w:p>
                <w:p w14:paraId="3DA2B812" w14:textId="77777777" w:rsidR="00E02F30" w:rsidRPr="00E02F30" w:rsidRDefault="00E02F30" w:rsidP="00E02F30">
                  <w:pPr>
                    <w:ind w:left="112" w:right="81"/>
                    <w:jc w:val="center"/>
                    <w:rPr>
                      <w:rFonts w:cs="Arial"/>
                      <w:sz w:val="20"/>
                      <w:szCs w:val="20"/>
                    </w:rPr>
                  </w:pPr>
                  <w:r w:rsidRPr="00E02F30">
                    <w:rPr>
                      <w:rFonts w:cs="Arial"/>
                      <w:sz w:val="20"/>
                      <w:szCs w:val="20"/>
                    </w:rPr>
                    <w:t>Technika ta jest często stosowana w połączeniu z techniką polegającą na redukcji emisji pyłu w celu usuwania substancji nieorganicznych (zob. BAT 14).</w:t>
                  </w:r>
                </w:p>
              </w:tc>
              <w:tc>
                <w:tcPr>
                  <w:tcW w:w="2430" w:type="dxa"/>
                  <w:tcBorders>
                    <w:top w:val="single" w:sz="4" w:space="0" w:color="000000"/>
                    <w:left w:val="single" w:sz="4" w:space="0" w:color="000000"/>
                    <w:bottom w:val="single" w:sz="4" w:space="0" w:color="000000"/>
                    <w:right w:val="single" w:sz="4" w:space="0" w:color="000000"/>
                  </w:tcBorders>
                  <w:vAlign w:val="center"/>
                </w:tcPr>
                <w:p w14:paraId="267C626F" w14:textId="77777777" w:rsidR="00E02F30" w:rsidRPr="00E02F30" w:rsidRDefault="00E02F30" w:rsidP="00E02F30">
                  <w:pPr>
                    <w:ind w:left="112"/>
                    <w:rPr>
                      <w:rFonts w:cs="Arial"/>
                      <w:sz w:val="20"/>
                      <w:szCs w:val="20"/>
                    </w:rPr>
                  </w:pPr>
                  <w:r w:rsidRPr="00E02F30">
                    <w:rPr>
                      <w:rFonts w:cs="Arial"/>
                      <w:sz w:val="20"/>
                      <w:szCs w:val="20"/>
                    </w:rPr>
                    <w:t>HCl, HF, NH</w:t>
                  </w:r>
                  <w:r w:rsidRPr="00E02F30">
                    <w:rPr>
                      <w:rFonts w:cs="Arial"/>
                      <w:sz w:val="20"/>
                      <w:szCs w:val="20"/>
                      <w:vertAlign w:val="subscript"/>
                    </w:rPr>
                    <w:t>3</w:t>
                  </w:r>
                  <w:r w:rsidRPr="00E02F30">
                    <w:rPr>
                      <w:rFonts w:cs="Arial"/>
                      <w:sz w:val="20"/>
                      <w:szCs w:val="20"/>
                    </w:rPr>
                    <w:t>, SO</w:t>
                  </w:r>
                  <w:r w:rsidRPr="00E02F30">
                    <w:rPr>
                      <w:rFonts w:cs="Arial"/>
                      <w:sz w:val="20"/>
                      <w:szCs w:val="20"/>
                      <w:vertAlign w:val="subscript"/>
                    </w:rPr>
                    <w:t>X</w:t>
                  </w:r>
                </w:p>
              </w:tc>
              <w:tc>
                <w:tcPr>
                  <w:tcW w:w="3255" w:type="dxa"/>
                  <w:tcBorders>
                    <w:top w:val="single" w:sz="4" w:space="0" w:color="000000"/>
                    <w:left w:val="single" w:sz="4" w:space="0" w:color="000000"/>
                    <w:bottom w:val="single" w:sz="4" w:space="0" w:color="000000"/>
                    <w:right w:val="nil"/>
                  </w:tcBorders>
                  <w:vAlign w:val="center"/>
                </w:tcPr>
                <w:p w14:paraId="0CD8F247" w14:textId="77777777" w:rsidR="00E02F30" w:rsidRPr="00E02F30" w:rsidRDefault="00E02F30" w:rsidP="00E02F30">
                  <w:pPr>
                    <w:ind w:left="112"/>
                    <w:rPr>
                      <w:rFonts w:cs="Arial"/>
                      <w:sz w:val="20"/>
                      <w:szCs w:val="20"/>
                    </w:rPr>
                  </w:pPr>
                  <w:r w:rsidRPr="00E02F30">
                    <w:rPr>
                      <w:rFonts w:cs="Arial"/>
                      <w:sz w:val="20"/>
                      <w:szCs w:val="20"/>
                    </w:rPr>
                    <w:t>Zastosowanie ogólne</w:t>
                  </w:r>
                </w:p>
              </w:tc>
            </w:tr>
            <w:tr w:rsidR="00E02F30" w:rsidRPr="00E02F30" w14:paraId="4F83156C" w14:textId="77777777" w:rsidTr="00A1631B">
              <w:trPr>
                <w:trHeight w:val="1272"/>
              </w:trPr>
              <w:tc>
                <w:tcPr>
                  <w:tcW w:w="512" w:type="dxa"/>
                  <w:tcBorders>
                    <w:top w:val="single" w:sz="4" w:space="0" w:color="000000"/>
                    <w:left w:val="nil"/>
                    <w:bottom w:val="single" w:sz="4" w:space="0" w:color="000000"/>
                    <w:right w:val="single" w:sz="4" w:space="0" w:color="000000"/>
                  </w:tcBorders>
                  <w:vAlign w:val="center"/>
                </w:tcPr>
                <w:p w14:paraId="3739D439" w14:textId="77777777" w:rsidR="00E02F30" w:rsidRPr="00E02F30" w:rsidRDefault="00E02F30" w:rsidP="00E02F30">
                  <w:pPr>
                    <w:rPr>
                      <w:rFonts w:cs="Arial"/>
                      <w:sz w:val="20"/>
                      <w:szCs w:val="20"/>
                    </w:rPr>
                  </w:pPr>
                  <w:r w:rsidRPr="00E02F30">
                    <w:rPr>
                      <w:rFonts w:cs="Arial"/>
                      <w:sz w:val="20"/>
                      <w:szCs w:val="20"/>
                    </w:rPr>
                    <w:t>c)</w:t>
                  </w:r>
                </w:p>
              </w:tc>
              <w:tc>
                <w:tcPr>
                  <w:tcW w:w="2430" w:type="dxa"/>
                  <w:tcBorders>
                    <w:top w:val="single" w:sz="4" w:space="0" w:color="000000"/>
                    <w:left w:val="single" w:sz="4" w:space="0" w:color="000000"/>
                    <w:bottom w:val="single" w:sz="4" w:space="0" w:color="000000"/>
                    <w:right w:val="single" w:sz="4" w:space="0" w:color="000000"/>
                  </w:tcBorders>
                  <w:vAlign w:val="center"/>
                </w:tcPr>
                <w:p w14:paraId="408F6972" w14:textId="77777777" w:rsidR="00E02F30" w:rsidRPr="00E02F30" w:rsidRDefault="00E02F30" w:rsidP="00E02F30">
                  <w:pPr>
                    <w:ind w:left="112"/>
                    <w:rPr>
                      <w:rFonts w:cs="Arial"/>
                      <w:sz w:val="20"/>
                      <w:szCs w:val="20"/>
                    </w:rPr>
                  </w:pPr>
                  <w:r w:rsidRPr="00E02F30">
                    <w:rPr>
                      <w:rFonts w:cs="Arial"/>
                      <w:sz w:val="20"/>
                      <w:szCs w:val="20"/>
                    </w:rPr>
                    <w:t>Selektywna redukcja katalityczna (SCR)</w:t>
                  </w:r>
                </w:p>
              </w:tc>
              <w:tc>
                <w:tcPr>
                  <w:tcW w:w="3906" w:type="dxa"/>
                  <w:tcBorders>
                    <w:top w:val="single" w:sz="4" w:space="0" w:color="000000"/>
                    <w:left w:val="single" w:sz="4" w:space="0" w:color="000000"/>
                    <w:bottom w:val="single" w:sz="4" w:space="0" w:color="000000"/>
                    <w:right w:val="single" w:sz="4" w:space="0" w:color="000000"/>
                  </w:tcBorders>
                  <w:vAlign w:val="center"/>
                </w:tcPr>
                <w:p w14:paraId="58CD12FA" w14:textId="77777777" w:rsidR="00E02F30" w:rsidRPr="00E02F30" w:rsidRDefault="00E02F30" w:rsidP="00E02F30">
                  <w:pPr>
                    <w:ind w:left="112"/>
                    <w:rPr>
                      <w:rFonts w:cs="Arial"/>
                      <w:sz w:val="20"/>
                      <w:szCs w:val="20"/>
                    </w:rPr>
                  </w:pPr>
                  <w:r w:rsidRPr="00E02F30">
                    <w:rPr>
                      <w:rFonts w:cs="Arial"/>
                      <w:sz w:val="20"/>
                      <w:szCs w:val="20"/>
                    </w:rPr>
                    <w:t>Zob. sekcja 1.4.1.</w:t>
                  </w:r>
                </w:p>
              </w:tc>
              <w:tc>
                <w:tcPr>
                  <w:tcW w:w="2430" w:type="dxa"/>
                  <w:tcBorders>
                    <w:top w:val="single" w:sz="4" w:space="0" w:color="000000"/>
                    <w:left w:val="single" w:sz="4" w:space="0" w:color="000000"/>
                    <w:bottom w:val="single" w:sz="4" w:space="0" w:color="000000"/>
                    <w:right w:val="single" w:sz="4" w:space="0" w:color="000000"/>
                  </w:tcBorders>
                  <w:vAlign w:val="center"/>
                </w:tcPr>
                <w:p w14:paraId="4E5DF57C" w14:textId="77777777" w:rsidR="00E02F30" w:rsidRPr="00E02F30" w:rsidRDefault="00E02F30" w:rsidP="00E02F30">
                  <w:pPr>
                    <w:ind w:left="32"/>
                    <w:jc w:val="center"/>
                    <w:rPr>
                      <w:rFonts w:cs="Arial"/>
                      <w:sz w:val="20"/>
                      <w:szCs w:val="20"/>
                    </w:rPr>
                  </w:pPr>
                  <w:r w:rsidRPr="00E02F30">
                    <w:rPr>
                      <w:rFonts w:cs="Arial"/>
                      <w:sz w:val="20"/>
                      <w:szCs w:val="20"/>
                    </w:rPr>
                    <w:t>NO</w:t>
                  </w:r>
                  <w:r w:rsidRPr="00E02F30">
                    <w:rPr>
                      <w:rFonts w:cs="Arial"/>
                      <w:sz w:val="20"/>
                      <w:szCs w:val="20"/>
                      <w:vertAlign w:val="subscript"/>
                    </w:rPr>
                    <w:t>X</w:t>
                  </w:r>
                </w:p>
              </w:tc>
              <w:tc>
                <w:tcPr>
                  <w:tcW w:w="3255" w:type="dxa"/>
                  <w:tcBorders>
                    <w:top w:val="single" w:sz="4" w:space="0" w:color="000000"/>
                    <w:left w:val="single" w:sz="4" w:space="0" w:color="000000"/>
                    <w:bottom w:val="single" w:sz="4" w:space="0" w:color="000000"/>
                    <w:right w:val="nil"/>
                  </w:tcBorders>
                  <w:vAlign w:val="center"/>
                </w:tcPr>
                <w:p w14:paraId="059F68C6" w14:textId="77777777" w:rsidR="00E02F30" w:rsidRPr="00E02F30" w:rsidRDefault="00E02F30" w:rsidP="00E02F30">
                  <w:pPr>
                    <w:ind w:left="112"/>
                    <w:rPr>
                      <w:rFonts w:cs="Arial"/>
                      <w:sz w:val="20"/>
                      <w:szCs w:val="20"/>
                    </w:rPr>
                  </w:pPr>
                  <w:r w:rsidRPr="00E02F30">
                    <w:rPr>
                      <w:rFonts w:cs="Arial"/>
                      <w:sz w:val="20"/>
                      <w:szCs w:val="20"/>
                    </w:rPr>
                    <w:t>Zastosowanie tej techniki może być ograniczone w  przypadku istniejących zespołów urządzeń ze względu na dostępność przestrzeni.</w:t>
                  </w:r>
                </w:p>
              </w:tc>
            </w:tr>
            <w:tr w:rsidR="00E02F30" w:rsidRPr="00E02F30" w14:paraId="5CCD1AA1" w14:textId="77777777" w:rsidTr="00A1631B">
              <w:trPr>
                <w:trHeight w:val="1698"/>
              </w:trPr>
              <w:tc>
                <w:tcPr>
                  <w:tcW w:w="512" w:type="dxa"/>
                  <w:tcBorders>
                    <w:top w:val="single" w:sz="4" w:space="0" w:color="000000"/>
                    <w:left w:val="nil"/>
                    <w:bottom w:val="single" w:sz="4" w:space="0" w:color="000000"/>
                    <w:right w:val="single" w:sz="4" w:space="0" w:color="000000"/>
                  </w:tcBorders>
                  <w:vAlign w:val="center"/>
                </w:tcPr>
                <w:p w14:paraId="72D9B17D" w14:textId="77777777" w:rsidR="00E02F30" w:rsidRPr="00E02F30" w:rsidRDefault="00E02F30" w:rsidP="00E02F30">
                  <w:pPr>
                    <w:rPr>
                      <w:rFonts w:cs="Arial"/>
                      <w:sz w:val="20"/>
                      <w:szCs w:val="20"/>
                    </w:rPr>
                  </w:pPr>
                  <w:r w:rsidRPr="00E02F30">
                    <w:rPr>
                      <w:rFonts w:cs="Arial"/>
                      <w:sz w:val="20"/>
                      <w:szCs w:val="20"/>
                    </w:rPr>
                    <w:t>d)</w:t>
                  </w:r>
                </w:p>
              </w:tc>
              <w:tc>
                <w:tcPr>
                  <w:tcW w:w="2430" w:type="dxa"/>
                  <w:tcBorders>
                    <w:top w:val="single" w:sz="4" w:space="0" w:color="000000"/>
                    <w:left w:val="single" w:sz="4" w:space="0" w:color="000000"/>
                    <w:bottom w:val="single" w:sz="4" w:space="0" w:color="000000"/>
                    <w:right w:val="single" w:sz="4" w:space="0" w:color="000000"/>
                  </w:tcBorders>
                  <w:vAlign w:val="center"/>
                </w:tcPr>
                <w:p w14:paraId="247AFFC6" w14:textId="77777777" w:rsidR="00E02F30" w:rsidRPr="00E02F30" w:rsidRDefault="00E02F30" w:rsidP="00E02F30">
                  <w:pPr>
                    <w:spacing w:line="218" w:lineRule="auto"/>
                    <w:ind w:left="112"/>
                    <w:rPr>
                      <w:rFonts w:cs="Arial"/>
                      <w:sz w:val="20"/>
                      <w:szCs w:val="20"/>
                    </w:rPr>
                  </w:pPr>
                  <w:r w:rsidRPr="00E02F30">
                    <w:rPr>
                      <w:rFonts w:cs="Arial"/>
                      <w:sz w:val="20"/>
                      <w:szCs w:val="20"/>
                    </w:rPr>
                    <w:t xml:space="preserve">Selektywna redukcja niekatalityczna </w:t>
                  </w:r>
                </w:p>
                <w:p w14:paraId="1DB3100B" w14:textId="77777777" w:rsidR="00E02F30" w:rsidRPr="00E02F30" w:rsidRDefault="00E02F30" w:rsidP="00E02F30">
                  <w:pPr>
                    <w:ind w:left="112"/>
                    <w:rPr>
                      <w:rFonts w:cs="Arial"/>
                      <w:sz w:val="20"/>
                      <w:szCs w:val="20"/>
                    </w:rPr>
                  </w:pPr>
                  <w:r w:rsidRPr="00E02F30">
                    <w:rPr>
                      <w:rFonts w:cs="Arial"/>
                      <w:sz w:val="20"/>
                      <w:szCs w:val="20"/>
                    </w:rPr>
                    <w:t>(SNCR)</w:t>
                  </w:r>
                </w:p>
              </w:tc>
              <w:tc>
                <w:tcPr>
                  <w:tcW w:w="3906" w:type="dxa"/>
                  <w:tcBorders>
                    <w:top w:val="single" w:sz="4" w:space="0" w:color="000000"/>
                    <w:left w:val="single" w:sz="4" w:space="0" w:color="000000"/>
                    <w:bottom w:val="single" w:sz="4" w:space="0" w:color="000000"/>
                    <w:right w:val="single" w:sz="4" w:space="0" w:color="000000"/>
                  </w:tcBorders>
                  <w:vAlign w:val="center"/>
                </w:tcPr>
                <w:p w14:paraId="797B49EA" w14:textId="77777777" w:rsidR="00E02F30" w:rsidRPr="00E02F30" w:rsidRDefault="00E02F30" w:rsidP="00E02F30">
                  <w:pPr>
                    <w:ind w:left="112"/>
                    <w:rPr>
                      <w:rFonts w:cs="Arial"/>
                      <w:sz w:val="20"/>
                      <w:szCs w:val="20"/>
                    </w:rPr>
                  </w:pPr>
                  <w:r w:rsidRPr="00E02F30">
                    <w:rPr>
                      <w:rFonts w:cs="Arial"/>
                      <w:sz w:val="20"/>
                      <w:szCs w:val="20"/>
                    </w:rPr>
                    <w:t>Zob. sekcja 1.4.1.</w:t>
                  </w:r>
                </w:p>
              </w:tc>
              <w:tc>
                <w:tcPr>
                  <w:tcW w:w="2430" w:type="dxa"/>
                  <w:tcBorders>
                    <w:top w:val="single" w:sz="4" w:space="0" w:color="000000"/>
                    <w:left w:val="single" w:sz="4" w:space="0" w:color="000000"/>
                    <w:bottom w:val="single" w:sz="4" w:space="0" w:color="000000"/>
                    <w:right w:val="single" w:sz="4" w:space="0" w:color="000000"/>
                  </w:tcBorders>
                  <w:vAlign w:val="center"/>
                </w:tcPr>
                <w:p w14:paraId="09CF80A2" w14:textId="77777777" w:rsidR="00E02F30" w:rsidRPr="00E02F30" w:rsidRDefault="00E02F30" w:rsidP="00E02F30">
                  <w:pPr>
                    <w:ind w:left="32"/>
                    <w:jc w:val="center"/>
                    <w:rPr>
                      <w:rFonts w:cs="Arial"/>
                      <w:sz w:val="20"/>
                      <w:szCs w:val="20"/>
                    </w:rPr>
                  </w:pPr>
                  <w:r w:rsidRPr="00E02F30">
                    <w:rPr>
                      <w:rFonts w:cs="Arial"/>
                      <w:sz w:val="20"/>
                      <w:szCs w:val="20"/>
                    </w:rPr>
                    <w:t>NO</w:t>
                  </w:r>
                  <w:r w:rsidRPr="00E02F30">
                    <w:rPr>
                      <w:rFonts w:cs="Arial"/>
                      <w:sz w:val="20"/>
                      <w:szCs w:val="20"/>
                      <w:vertAlign w:val="subscript"/>
                    </w:rPr>
                    <w:t>X</w:t>
                  </w:r>
                </w:p>
              </w:tc>
              <w:tc>
                <w:tcPr>
                  <w:tcW w:w="3255" w:type="dxa"/>
                  <w:tcBorders>
                    <w:top w:val="single" w:sz="4" w:space="0" w:color="000000"/>
                    <w:left w:val="single" w:sz="4" w:space="0" w:color="000000"/>
                    <w:bottom w:val="single" w:sz="4" w:space="0" w:color="000000"/>
                    <w:right w:val="nil"/>
                  </w:tcBorders>
                  <w:vAlign w:val="center"/>
                </w:tcPr>
                <w:p w14:paraId="78868C9B" w14:textId="77777777" w:rsidR="00E02F30" w:rsidRPr="00E02F30" w:rsidRDefault="00E02F30" w:rsidP="00E02F30">
                  <w:pPr>
                    <w:ind w:left="112" w:right="83"/>
                    <w:rPr>
                      <w:rFonts w:cs="Arial"/>
                      <w:sz w:val="20"/>
                      <w:szCs w:val="20"/>
                    </w:rPr>
                  </w:pPr>
                  <w:r w:rsidRPr="00E02F30">
                    <w:rPr>
                      <w:rFonts w:cs="Arial"/>
                      <w:sz w:val="20"/>
                      <w:szCs w:val="20"/>
                    </w:rPr>
                    <w:t>Zastosowanie tej techniki może być ograniczone w przypadku istniejących zespołów urządzeń ze względu na czas przebywania, którego wymaga reakcja.</w:t>
                  </w:r>
                </w:p>
              </w:tc>
            </w:tr>
            <w:tr w:rsidR="00E02F30" w:rsidRPr="00E02F30" w14:paraId="285D7075" w14:textId="77777777" w:rsidTr="00A1631B">
              <w:trPr>
                <w:trHeight w:val="632"/>
              </w:trPr>
              <w:tc>
                <w:tcPr>
                  <w:tcW w:w="12533" w:type="dxa"/>
                  <w:gridSpan w:val="5"/>
                  <w:tcBorders>
                    <w:top w:val="single" w:sz="4" w:space="0" w:color="000000"/>
                    <w:left w:val="nil"/>
                    <w:bottom w:val="single" w:sz="4" w:space="0" w:color="000000"/>
                    <w:right w:val="single" w:sz="4" w:space="0" w:color="000000"/>
                  </w:tcBorders>
                  <w:vAlign w:val="center"/>
                </w:tcPr>
                <w:p w14:paraId="43838A4C" w14:textId="77777777" w:rsidR="00E02F30" w:rsidRPr="00E02F30" w:rsidRDefault="00E02F30" w:rsidP="00E02F30">
                  <w:pPr>
                    <w:ind w:left="112" w:right="83"/>
                    <w:rPr>
                      <w:rFonts w:cs="Arial"/>
                      <w:sz w:val="20"/>
                      <w:szCs w:val="20"/>
                    </w:rPr>
                  </w:pPr>
                  <w:r w:rsidRPr="00E02F30">
                    <w:rPr>
                      <w:rFonts w:cs="Arial"/>
                      <w:sz w:val="20"/>
                      <w:szCs w:val="20"/>
                    </w:rPr>
                    <w:t>Inne techniki, które nie są wykorzystywane przede wszystkim w celu ograniczenia emisji związków nieorganicznych do powietrza</w:t>
                  </w:r>
                </w:p>
              </w:tc>
            </w:tr>
            <w:tr w:rsidR="00E02F30" w:rsidRPr="00E02F30" w14:paraId="58A42D9D" w14:textId="77777777" w:rsidTr="00A1631B">
              <w:trPr>
                <w:trHeight w:val="1698"/>
              </w:trPr>
              <w:tc>
                <w:tcPr>
                  <w:tcW w:w="512" w:type="dxa"/>
                  <w:tcBorders>
                    <w:top w:val="single" w:sz="4" w:space="0" w:color="000000"/>
                    <w:left w:val="nil"/>
                    <w:bottom w:val="single" w:sz="4" w:space="0" w:color="000000"/>
                    <w:right w:val="single" w:sz="4" w:space="0" w:color="000000"/>
                  </w:tcBorders>
                  <w:vAlign w:val="center"/>
                </w:tcPr>
                <w:p w14:paraId="23B01318" w14:textId="77777777" w:rsidR="00E02F30" w:rsidRPr="00E02F30" w:rsidRDefault="00E02F30" w:rsidP="00E02F30">
                  <w:pPr>
                    <w:rPr>
                      <w:rFonts w:cs="Arial"/>
                      <w:sz w:val="20"/>
                      <w:szCs w:val="20"/>
                    </w:rPr>
                  </w:pPr>
                  <w:r w:rsidRPr="00E02F30">
                    <w:rPr>
                      <w:rFonts w:cs="Arial"/>
                      <w:sz w:val="20"/>
                      <w:szCs w:val="20"/>
                    </w:rPr>
                    <w:t>e)</w:t>
                  </w:r>
                </w:p>
              </w:tc>
              <w:tc>
                <w:tcPr>
                  <w:tcW w:w="2430" w:type="dxa"/>
                  <w:tcBorders>
                    <w:top w:val="single" w:sz="4" w:space="0" w:color="000000"/>
                    <w:left w:val="single" w:sz="4" w:space="0" w:color="000000"/>
                    <w:bottom w:val="single" w:sz="4" w:space="0" w:color="000000"/>
                    <w:right w:val="single" w:sz="4" w:space="0" w:color="000000"/>
                  </w:tcBorders>
                  <w:vAlign w:val="center"/>
                </w:tcPr>
                <w:p w14:paraId="34D94A59" w14:textId="77777777" w:rsidR="00E02F30" w:rsidRPr="00E02F30" w:rsidRDefault="00E02F30" w:rsidP="00E02F30">
                  <w:pPr>
                    <w:spacing w:line="218" w:lineRule="auto"/>
                    <w:ind w:left="112"/>
                    <w:rPr>
                      <w:rFonts w:cs="Arial"/>
                      <w:sz w:val="20"/>
                      <w:szCs w:val="20"/>
                    </w:rPr>
                  </w:pPr>
                  <w:r w:rsidRPr="00E02F30">
                    <w:rPr>
                      <w:rFonts w:cs="Arial"/>
                      <w:sz w:val="20"/>
                      <w:szCs w:val="20"/>
                    </w:rPr>
                    <w:t>Utlenianie katalityczne</w:t>
                  </w:r>
                </w:p>
              </w:tc>
              <w:tc>
                <w:tcPr>
                  <w:tcW w:w="3906" w:type="dxa"/>
                  <w:tcBorders>
                    <w:top w:val="single" w:sz="4" w:space="0" w:color="000000"/>
                    <w:left w:val="single" w:sz="4" w:space="0" w:color="000000"/>
                    <w:bottom w:val="single" w:sz="4" w:space="0" w:color="000000"/>
                    <w:right w:val="single" w:sz="4" w:space="0" w:color="000000"/>
                  </w:tcBorders>
                  <w:vAlign w:val="center"/>
                </w:tcPr>
                <w:p w14:paraId="0F060EE1" w14:textId="77777777" w:rsidR="00E02F30" w:rsidRPr="00E02F30" w:rsidRDefault="00E02F30" w:rsidP="00E02F30">
                  <w:pPr>
                    <w:ind w:left="112"/>
                    <w:rPr>
                      <w:rFonts w:cs="Arial"/>
                      <w:sz w:val="20"/>
                      <w:szCs w:val="20"/>
                    </w:rPr>
                  </w:pPr>
                  <w:r w:rsidRPr="00E02F30">
                    <w:rPr>
                      <w:rFonts w:cs="Arial"/>
                      <w:sz w:val="20"/>
                      <w:szCs w:val="20"/>
                    </w:rPr>
                    <w:t>Zob. sekcja 1.4.1.</w:t>
                  </w:r>
                </w:p>
              </w:tc>
              <w:tc>
                <w:tcPr>
                  <w:tcW w:w="2430" w:type="dxa"/>
                  <w:tcBorders>
                    <w:top w:val="single" w:sz="4" w:space="0" w:color="000000"/>
                    <w:left w:val="single" w:sz="4" w:space="0" w:color="000000"/>
                    <w:bottom w:val="single" w:sz="4" w:space="0" w:color="000000"/>
                    <w:right w:val="single" w:sz="4" w:space="0" w:color="000000"/>
                  </w:tcBorders>
                  <w:vAlign w:val="center"/>
                </w:tcPr>
                <w:p w14:paraId="76757958" w14:textId="77777777" w:rsidR="00E02F30" w:rsidRPr="00E02F30" w:rsidRDefault="00E02F30" w:rsidP="00E02F30">
                  <w:pPr>
                    <w:ind w:left="32"/>
                    <w:jc w:val="center"/>
                    <w:rPr>
                      <w:rFonts w:cs="Arial"/>
                      <w:sz w:val="20"/>
                      <w:szCs w:val="20"/>
                    </w:rPr>
                  </w:pPr>
                  <w:r w:rsidRPr="00E02F30">
                    <w:rPr>
                      <w:rFonts w:cs="Arial"/>
                      <w:sz w:val="20"/>
                      <w:szCs w:val="20"/>
                    </w:rPr>
                    <w:t>NH</w:t>
                  </w:r>
                  <w:r w:rsidRPr="00E02F30">
                    <w:rPr>
                      <w:rFonts w:cs="Arial"/>
                      <w:sz w:val="20"/>
                      <w:szCs w:val="20"/>
                      <w:vertAlign w:val="subscript"/>
                    </w:rPr>
                    <w:t>3</w:t>
                  </w:r>
                </w:p>
              </w:tc>
              <w:tc>
                <w:tcPr>
                  <w:tcW w:w="3255" w:type="dxa"/>
                  <w:tcBorders>
                    <w:top w:val="single" w:sz="4" w:space="0" w:color="000000"/>
                    <w:left w:val="single" w:sz="4" w:space="0" w:color="000000"/>
                    <w:bottom w:val="single" w:sz="4" w:space="0" w:color="000000"/>
                    <w:right w:val="nil"/>
                  </w:tcBorders>
                  <w:vAlign w:val="center"/>
                </w:tcPr>
                <w:p w14:paraId="13BD1A3C" w14:textId="77777777" w:rsidR="00E02F30" w:rsidRPr="00E02F30" w:rsidRDefault="00E02F30" w:rsidP="00E02F30">
                  <w:pPr>
                    <w:ind w:left="112" w:right="83"/>
                    <w:rPr>
                      <w:rFonts w:cs="Arial"/>
                      <w:sz w:val="20"/>
                      <w:szCs w:val="20"/>
                    </w:rPr>
                  </w:pPr>
                  <w:r w:rsidRPr="00E02F30">
                    <w:rPr>
                      <w:rFonts w:cs="Arial"/>
                      <w:sz w:val="20"/>
                      <w:szCs w:val="20"/>
                    </w:rPr>
                    <w:t>Zastosowanie tej techniki może być ograniczone ze względu na występowanie trucizn katalizatora w gazach odlotowych.</w:t>
                  </w:r>
                </w:p>
              </w:tc>
            </w:tr>
            <w:tr w:rsidR="00E02F30" w:rsidRPr="00E02F30" w14:paraId="2513CF45" w14:textId="77777777" w:rsidTr="00A1631B">
              <w:trPr>
                <w:trHeight w:val="1698"/>
              </w:trPr>
              <w:tc>
                <w:tcPr>
                  <w:tcW w:w="512" w:type="dxa"/>
                  <w:tcBorders>
                    <w:top w:val="single" w:sz="4" w:space="0" w:color="000000"/>
                    <w:left w:val="nil"/>
                    <w:bottom w:val="single" w:sz="4" w:space="0" w:color="000000"/>
                    <w:right w:val="single" w:sz="4" w:space="0" w:color="000000"/>
                  </w:tcBorders>
                  <w:vAlign w:val="center"/>
                </w:tcPr>
                <w:p w14:paraId="2D76B442" w14:textId="77777777" w:rsidR="00E02F30" w:rsidRPr="00E02F30" w:rsidRDefault="00E02F30" w:rsidP="00E02F30">
                  <w:pPr>
                    <w:rPr>
                      <w:rFonts w:cs="Arial"/>
                      <w:sz w:val="20"/>
                      <w:szCs w:val="20"/>
                    </w:rPr>
                  </w:pPr>
                  <w:r w:rsidRPr="00E02F30">
                    <w:rPr>
                      <w:rFonts w:cs="Arial"/>
                      <w:sz w:val="20"/>
                      <w:szCs w:val="20"/>
                    </w:rPr>
                    <w:t>f)</w:t>
                  </w:r>
                </w:p>
              </w:tc>
              <w:tc>
                <w:tcPr>
                  <w:tcW w:w="2430" w:type="dxa"/>
                  <w:tcBorders>
                    <w:top w:val="single" w:sz="4" w:space="0" w:color="000000"/>
                    <w:left w:val="single" w:sz="4" w:space="0" w:color="000000"/>
                    <w:bottom w:val="single" w:sz="4" w:space="0" w:color="000000"/>
                    <w:right w:val="single" w:sz="4" w:space="0" w:color="000000"/>
                  </w:tcBorders>
                  <w:vAlign w:val="center"/>
                </w:tcPr>
                <w:p w14:paraId="3DEE01BF" w14:textId="77777777" w:rsidR="00E02F30" w:rsidRPr="00E02F30" w:rsidRDefault="00E02F30" w:rsidP="00E02F30">
                  <w:pPr>
                    <w:spacing w:line="218" w:lineRule="auto"/>
                    <w:ind w:left="112"/>
                    <w:rPr>
                      <w:rFonts w:cs="Arial"/>
                      <w:sz w:val="20"/>
                      <w:szCs w:val="20"/>
                    </w:rPr>
                  </w:pPr>
                  <w:r w:rsidRPr="00E02F30">
                    <w:rPr>
                      <w:rFonts w:cs="Arial"/>
                      <w:sz w:val="20"/>
                      <w:szCs w:val="20"/>
                    </w:rPr>
                    <w:t>Utlenianie termiczne</w:t>
                  </w:r>
                </w:p>
              </w:tc>
              <w:tc>
                <w:tcPr>
                  <w:tcW w:w="3906" w:type="dxa"/>
                  <w:tcBorders>
                    <w:top w:val="single" w:sz="4" w:space="0" w:color="000000"/>
                    <w:left w:val="single" w:sz="4" w:space="0" w:color="000000"/>
                    <w:bottom w:val="single" w:sz="4" w:space="0" w:color="000000"/>
                    <w:right w:val="single" w:sz="4" w:space="0" w:color="000000"/>
                  </w:tcBorders>
                  <w:vAlign w:val="center"/>
                </w:tcPr>
                <w:p w14:paraId="6EC5D7F2" w14:textId="77777777" w:rsidR="00E02F30" w:rsidRPr="00E02F30" w:rsidRDefault="00E02F30" w:rsidP="00E02F30">
                  <w:pPr>
                    <w:ind w:left="112"/>
                    <w:rPr>
                      <w:rFonts w:cs="Arial"/>
                      <w:sz w:val="20"/>
                      <w:szCs w:val="20"/>
                    </w:rPr>
                  </w:pPr>
                  <w:r w:rsidRPr="00E02F30">
                    <w:rPr>
                      <w:rFonts w:cs="Arial"/>
                      <w:sz w:val="20"/>
                      <w:szCs w:val="20"/>
                    </w:rPr>
                    <w:t>Zob. sekcja 1.4.1.</w:t>
                  </w:r>
                </w:p>
              </w:tc>
              <w:tc>
                <w:tcPr>
                  <w:tcW w:w="2430" w:type="dxa"/>
                  <w:tcBorders>
                    <w:top w:val="single" w:sz="4" w:space="0" w:color="000000"/>
                    <w:left w:val="single" w:sz="4" w:space="0" w:color="000000"/>
                    <w:bottom w:val="single" w:sz="4" w:space="0" w:color="000000"/>
                    <w:right w:val="single" w:sz="4" w:space="0" w:color="000000"/>
                  </w:tcBorders>
                  <w:vAlign w:val="center"/>
                </w:tcPr>
                <w:p w14:paraId="36FA5DC5" w14:textId="77777777" w:rsidR="00E02F30" w:rsidRPr="00E02F30" w:rsidRDefault="00E02F30" w:rsidP="00E02F30">
                  <w:pPr>
                    <w:ind w:left="32"/>
                    <w:jc w:val="center"/>
                    <w:rPr>
                      <w:rFonts w:cs="Arial"/>
                      <w:sz w:val="20"/>
                      <w:szCs w:val="20"/>
                    </w:rPr>
                  </w:pPr>
                  <w:r w:rsidRPr="00E02F30">
                    <w:rPr>
                      <w:rFonts w:cs="Arial"/>
                      <w:sz w:val="20"/>
                      <w:szCs w:val="20"/>
                    </w:rPr>
                    <w:t>NH</w:t>
                  </w:r>
                  <w:r w:rsidRPr="00E02F30">
                    <w:rPr>
                      <w:rFonts w:cs="Arial"/>
                      <w:sz w:val="20"/>
                      <w:szCs w:val="20"/>
                      <w:vertAlign w:val="subscript"/>
                    </w:rPr>
                    <w:t>3</w:t>
                  </w:r>
                  <w:r w:rsidRPr="00E02F30">
                    <w:rPr>
                      <w:rFonts w:cs="Arial"/>
                      <w:sz w:val="20"/>
                      <w:szCs w:val="20"/>
                    </w:rPr>
                    <w:t>, HCN</w:t>
                  </w:r>
                </w:p>
              </w:tc>
              <w:tc>
                <w:tcPr>
                  <w:tcW w:w="3255" w:type="dxa"/>
                  <w:tcBorders>
                    <w:top w:val="single" w:sz="4" w:space="0" w:color="000000"/>
                    <w:left w:val="single" w:sz="4" w:space="0" w:color="000000"/>
                    <w:bottom w:val="single" w:sz="4" w:space="0" w:color="000000"/>
                    <w:right w:val="nil"/>
                  </w:tcBorders>
                  <w:vAlign w:val="center"/>
                </w:tcPr>
                <w:p w14:paraId="3DEC15F9" w14:textId="77777777" w:rsidR="00E02F30" w:rsidRPr="00E02F30" w:rsidRDefault="00E02F30" w:rsidP="00E02F30">
                  <w:pPr>
                    <w:ind w:left="112" w:right="83"/>
                    <w:rPr>
                      <w:rFonts w:cs="Arial"/>
                      <w:sz w:val="20"/>
                      <w:szCs w:val="20"/>
                    </w:rPr>
                  </w:pPr>
                  <w:r w:rsidRPr="00E02F30">
                    <w:rPr>
                      <w:rFonts w:cs="Arial"/>
                      <w:sz w:val="20"/>
                      <w:szCs w:val="20"/>
                    </w:rPr>
                    <w:t>Zastosowanie rekuperacyjnego lub regeneracyjnego utleniania termicznego może być ograniczone w przypadku istniejących zespołów urządzeń ze względu na ograniczenia konstrukcyjne lub eksploatacyjne. Zastosowanie tej techniki może być ograniczone w przypadku nadmiernego zapotrzebowania na energię ze względu na niską zawartość danych związków w gazach odlotowych z procesu technologicznego.</w:t>
                  </w:r>
                </w:p>
              </w:tc>
            </w:tr>
          </w:tbl>
          <w:p w14:paraId="04034D6E" w14:textId="77777777" w:rsidR="00E02F30" w:rsidRPr="00E02F30" w:rsidRDefault="00E02F30" w:rsidP="00E02F30">
            <w:pPr>
              <w:spacing w:after="0" w:line="240" w:lineRule="auto"/>
              <w:rPr>
                <w:rFonts w:eastAsia="Times New Roman" w:cs="Arial"/>
                <w:bCs/>
                <w:sz w:val="20"/>
                <w:szCs w:val="20"/>
                <w:lang w:eastAsia="pl-PL"/>
              </w:rPr>
            </w:pPr>
          </w:p>
          <w:p w14:paraId="0DBE33C1"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Tabela 1.6</w:t>
            </w:r>
          </w:p>
          <w:p w14:paraId="54D42ED5"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Poziomy emisji powiązane z najlepszymi dostępnymi technikami (BAT-AEL) w odniesieniu do emisji zorganizowanych związków nieorganicznych do powietrza</w:t>
            </w:r>
          </w:p>
          <w:p w14:paraId="6B15724D" w14:textId="77777777" w:rsidR="00E02F30" w:rsidRPr="00E02F30" w:rsidRDefault="00E02F30" w:rsidP="00E02F30">
            <w:pPr>
              <w:spacing w:after="0" w:line="240" w:lineRule="auto"/>
              <w:rPr>
                <w:rFonts w:eastAsia="Times New Roman" w:cs="Arial"/>
                <w:bCs/>
                <w:sz w:val="20"/>
                <w:szCs w:val="20"/>
                <w:lang w:eastAsia="pl-PL"/>
              </w:rPr>
            </w:pPr>
          </w:p>
          <w:tbl>
            <w:tblPr>
              <w:tblStyle w:val="TableGrid"/>
              <w:tblW w:w="4500" w:type="pct"/>
              <w:tblInd w:w="1020" w:type="dxa"/>
              <w:tblLayout w:type="fixed"/>
              <w:tblCellMar>
                <w:top w:w="107" w:type="dxa"/>
              </w:tblCellMar>
              <w:tblLook w:val="04A0" w:firstRow="1" w:lastRow="0" w:firstColumn="1" w:lastColumn="0" w:noHBand="0" w:noVBand="1"/>
            </w:tblPr>
            <w:tblGrid>
              <w:gridCol w:w="3103"/>
              <w:gridCol w:w="2171"/>
              <w:gridCol w:w="2051"/>
              <w:gridCol w:w="2049"/>
            </w:tblGrid>
            <w:tr w:rsidR="00E02F30" w:rsidRPr="00E02F30" w14:paraId="091D15B5" w14:textId="77777777" w:rsidTr="00A1631B">
              <w:trPr>
                <w:trHeight w:val="727"/>
              </w:trPr>
              <w:tc>
                <w:tcPr>
                  <w:tcW w:w="4153" w:type="dxa"/>
                  <w:tcBorders>
                    <w:top w:val="single" w:sz="4" w:space="0" w:color="000000"/>
                    <w:left w:val="nil"/>
                    <w:bottom w:val="single" w:sz="4" w:space="0" w:color="000000"/>
                    <w:right w:val="single" w:sz="4" w:space="0" w:color="000000"/>
                  </w:tcBorders>
                  <w:shd w:val="clear" w:color="auto" w:fill="auto"/>
                  <w:vAlign w:val="center"/>
                </w:tcPr>
                <w:p w14:paraId="30CED468" w14:textId="77777777" w:rsidR="00E02F30" w:rsidRPr="00E02F30" w:rsidRDefault="00E02F30" w:rsidP="00E02F30">
                  <w:pPr>
                    <w:ind w:right="114"/>
                    <w:jc w:val="center"/>
                    <w:rPr>
                      <w:rFonts w:cs="Arial"/>
                      <w:sz w:val="20"/>
                      <w:szCs w:val="20"/>
                    </w:rPr>
                  </w:pPr>
                  <w:r w:rsidRPr="00E02F30">
                    <w:rPr>
                      <w:rFonts w:cs="Arial"/>
                      <w:sz w:val="20"/>
                      <w:szCs w:val="20"/>
                    </w:rPr>
                    <w:t>Substancja/parametr</w:t>
                  </w:r>
                </w:p>
              </w:tc>
              <w:tc>
                <w:tcPr>
                  <w:tcW w:w="2901" w:type="dxa"/>
                  <w:tcBorders>
                    <w:top w:val="single" w:sz="4" w:space="0" w:color="000000"/>
                    <w:left w:val="single" w:sz="4" w:space="0" w:color="000000"/>
                    <w:bottom w:val="single" w:sz="4" w:space="0" w:color="000000"/>
                    <w:right w:val="nil"/>
                  </w:tcBorders>
                  <w:shd w:val="clear" w:color="auto" w:fill="auto"/>
                </w:tcPr>
                <w:p w14:paraId="09B76AEF" w14:textId="77777777" w:rsidR="00E02F30" w:rsidRPr="00E02F30" w:rsidRDefault="00E02F30" w:rsidP="00E02F30">
                  <w:pPr>
                    <w:ind w:left="112"/>
                    <w:jc w:val="center"/>
                    <w:rPr>
                      <w:rFonts w:cs="Arial"/>
                      <w:sz w:val="20"/>
                      <w:szCs w:val="20"/>
                    </w:rPr>
                  </w:pPr>
                  <w:r w:rsidRPr="00E02F30">
                    <w:rPr>
                      <w:rFonts w:cs="Arial"/>
                      <w:sz w:val="20"/>
                      <w:szCs w:val="20"/>
                    </w:rPr>
                    <w:t>BAT-AEL (mg/Nm</w:t>
                  </w:r>
                  <w:r w:rsidRPr="00E02F30">
                    <w:rPr>
                      <w:rFonts w:cs="Arial"/>
                      <w:sz w:val="20"/>
                      <w:szCs w:val="20"/>
                      <w:vertAlign w:val="superscript"/>
                    </w:rPr>
                    <w:t>3</w:t>
                  </w:r>
                  <w:r w:rsidRPr="00E02F30">
                    <w:rPr>
                      <w:rFonts w:cs="Arial"/>
                      <w:sz w:val="20"/>
                      <w:szCs w:val="20"/>
                    </w:rPr>
                    <w:t>)</w:t>
                  </w:r>
                </w:p>
                <w:p w14:paraId="5C8DFB6F" w14:textId="77777777" w:rsidR="00E02F30" w:rsidRPr="00E02F30" w:rsidRDefault="00E02F30" w:rsidP="00E02F30">
                  <w:pPr>
                    <w:jc w:val="center"/>
                    <w:rPr>
                      <w:rFonts w:cs="Arial"/>
                      <w:sz w:val="20"/>
                      <w:szCs w:val="20"/>
                    </w:rPr>
                  </w:pPr>
                  <w:r w:rsidRPr="00E02F30">
                    <w:rPr>
                      <w:rFonts w:cs="Arial"/>
                      <w:sz w:val="20"/>
                      <w:szCs w:val="20"/>
                    </w:rPr>
                    <w:t>(średnia dobowa lub średnia z okresu pobierania próbek)</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3BC65" w14:textId="77777777" w:rsidR="00E02F30" w:rsidRPr="00E02F30" w:rsidRDefault="00E02F30" w:rsidP="00E02F30">
                  <w:pPr>
                    <w:ind w:left="112"/>
                    <w:jc w:val="center"/>
                    <w:rPr>
                      <w:rFonts w:cs="Arial"/>
                      <w:sz w:val="20"/>
                      <w:szCs w:val="20"/>
                    </w:rPr>
                  </w:pPr>
                  <w:r w:rsidRPr="00E02F30">
                    <w:rPr>
                      <w:rFonts w:cs="Arial"/>
                      <w:bCs/>
                      <w:sz w:val="20"/>
                      <w:szCs w:val="20"/>
                    </w:rPr>
                    <w:t>Dotyczy emitora</w:t>
                  </w:r>
                </w:p>
              </w:tc>
              <w:tc>
                <w:tcPr>
                  <w:tcW w:w="2739" w:type="dxa"/>
                  <w:tcBorders>
                    <w:top w:val="single" w:sz="4" w:space="0" w:color="000000"/>
                    <w:left w:val="single" w:sz="4" w:space="0" w:color="000000"/>
                    <w:bottom w:val="single" w:sz="4" w:space="0" w:color="000000"/>
                    <w:right w:val="nil"/>
                  </w:tcBorders>
                  <w:shd w:val="clear" w:color="auto" w:fill="auto"/>
                  <w:vAlign w:val="center"/>
                </w:tcPr>
                <w:p w14:paraId="1A8F5E30" w14:textId="77777777" w:rsidR="00E02F30" w:rsidRPr="00E02F30" w:rsidRDefault="00E02F30" w:rsidP="00E02F30">
                  <w:pPr>
                    <w:ind w:left="112"/>
                    <w:jc w:val="center"/>
                    <w:rPr>
                      <w:rFonts w:cs="Arial"/>
                      <w:sz w:val="20"/>
                      <w:szCs w:val="20"/>
                    </w:rPr>
                  </w:pPr>
                  <w:r w:rsidRPr="00E02F30">
                    <w:rPr>
                      <w:rFonts w:cs="Arial"/>
                      <w:bCs/>
                      <w:sz w:val="20"/>
                      <w:szCs w:val="20"/>
                    </w:rPr>
                    <w:t>Obowiązywanie BAT-AEL</w:t>
                  </w:r>
                </w:p>
              </w:tc>
            </w:tr>
            <w:tr w:rsidR="00E02F30" w:rsidRPr="00E02F30" w14:paraId="07C54F58" w14:textId="77777777" w:rsidTr="00A1631B">
              <w:trPr>
                <w:trHeight w:val="359"/>
              </w:trPr>
              <w:tc>
                <w:tcPr>
                  <w:tcW w:w="4153" w:type="dxa"/>
                  <w:tcBorders>
                    <w:top w:val="single" w:sz="4" w:space="0" w:color="000000"/>
                    <w:left w:val="nil"/>
                    <w:bottom w:val="single" w:sz="4" w:space="0" w:color="000000"/>
                    <w:right w:val="single" w:sz="4" w:space="0" w:color="000000"/>
                  </w:tcBorders>
                  <w:shd w:val="clear" w:color="auto" w:fill="auto"/>
                </w:tcPr>
                <w:p w14:paraId="3BD6720F" w14:textId="77777777" w:rsidR="00E02F30" w:rsidRPr="00E02F30" w:rsidRDefault="00E02F30" w:rsidP="00E02F30">
                  <w:pPr>
                    <w:rPr>
                      <w:rFonts w:cs="Arial"/>
                      <w:sz w:val="20"/>
                      <w:szCs w:val="20"/>
                    </w:rPr>
                  </w:pPr>
                  <w:r w:rsidRPr="00E02F30">
                    <w:rPr>
                      <w:rFonts w:cs="Arial"/>
                      <w:sz w:val="20"/>
                      <w:szCs w:val="20"/>
                    </w:rPr>
                    <w:t>Amoniak (NH</w:t>
                  </w:r>
                  <w:r w:rsidRPr="00E02F30">
                    <w:rPr>
                      <w:rFonts w:cs="Arial"/>
                      <w:sz w:val="20"/>
                      <w:szCs w:val="20"/>
                      <w:vertAlign w:val="subscript"/>
                    </w:rPr>
                    <w:t>3</w:t>
                  </w:r>
                  <w:r w:rsidRPr="00E02F30">
                    <w:rPr>
                      <w:rFonts w:cs="Arial"/>
                      <w:sz w:val="20"/>
                      <w:szCs w:val="20"/>
                    </w:rPr>
                    <w:t>)</w:t>
                  </w:r>
                </w:p>
              </w:tc>
              <w:tc>
                <w:tcPr>
                  <w:tcW w:w="2901" w:type="dxa"/>
                  <w:tcBorders>
                    <w:top w:val="single" w:sz="4" w:space="0" w:color="000000"/>
                    <w:left w:val="single" w:sz="4" w:space="0" w:color="000000"/>
                    <w:bottom w:val="single" w:sz="4" w:space="0" w:color="000000"/>
                    <w:right w:val="nil"/>
                  </w:tcBorders>
                  <w:shd w:val="clear" w:color="auto" w:fill="auto"/>
                </w:tcPr>
                <w:p w14:paraId="2CE270DB" w14:textId="77777777" w:rsidR="00E02F30" w:rsidRPr="00E02F30" w:rsidRDefault="00E02F30" w:rsidP="00E02F30">
                  <w:pPr>
                    <w:ind w:left="112"/>
                    <w:jc w:val="center"/>
                    <w:rPr>
                      <w:rFonts w:cs="Arial"/>
                      <w:sz w:val="20"/>
                      <w:szCs w:val="20"/>
                    </w:rPr>
                  </w:pPr>
                  <w:r w:rsidRPr="00E02F30">
                    <w:rPr>
                      <w:rFonts w:cs="Arial"/>
                      <w:sz w:val="20"/>
                      <w:szCs w:val="20"/>
                    </w:rPr>
                    <w:t>2–10 (</w:t>
                  </w:r>
                  <w:r w:rsidRPr="00E02F30">
                    <w:rPr>
                      <w:rFonts w:cs="Arial"/>
                      <w:sz w:val="20"/>
                      <w:szCs w:val="20"/>
                      <w:vertAlign w:val="superscript"/>
                    </w:rPr>
                    <w:t>1</w:t>
                  </w:r>
                  <w:r w:rsidRPr="00E02F30">
                    <w:rPr>
                      <w:rFonts w:cs="Arial"/>
                      <w:sz w:val="20"/>
                      <w:szCs w:val="20"/>
                    </w:rPr>
                    <w:t>) (</w:t>
                  </w:r>
                  <w:r w:rsidRPr="00E02F30">
                    <w:rPr>
                      <w:rFonts w:cs="Arial"/>
                      <w:sz w:val="20"/>
                      <w:szCs w:val="20"/>
                      <w:vertAlign w:val="superscript"/>
                    </w:rPr>
                    <w:t>2</w:t>
                  </w:r>
                  <w:r w:rsidRPr="00E02F30">
                    <w:rPr>
                      <w:rFonts w:cs="Arial"/>
                      <w:sz w:val="20"/>
                      <w:szCs w:val="20"/>
                    </w:rPr>
                    <w:t>) (</w:t>
                  </w:r>
                  <w:r w:rsidRPr="00E02F30">
                    <w:rPr>
                      <w:rFonts w:cs="Arial"/>
                      <w:sz w:val="20"/>
                      <w:szCs w:val="20"/>
                      <w:vertAlign w:val="superscript"/>
                    </w:rPr>
                    <w:t>3</w:t>
                  </w:r>
                  <w:r w:rsidRPr="00E02F30">
                    <w:rPr>
                      <w:rFonts w:cs="Arial"/>
                      <w:sz w:val="20"/>
                      <w:szCs w:val="20"/>
                    </w:rPr>
                    <w:t>)</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06105F5F" w14:textId="77777777" w:rsidR="00E02F30" w:rsidRPr="00E02F30" w:rsidRDefault="00E02F30" w:rsidP="00E02F30">
                  <w:pPr>
                    <w:ind w:left="112"/>
                    <w:jc w:val="center"/>
                    <w:rPr>
                      <w:rFonts w:cs="Arial"/>
                      <w:sz w:val="20"/>
                      <w:szCs w:val="20"/>
                    </w:rPr>
                  </w:pPr>
                  <w:r w:rsidRPr="00E02F30">
                    <w:rPr>
                      <w:rFonts w:cs="Arial"/>
                      <w:sz w:val="20"/>
                      <w:szCs w:val="20"/>
                    </w:rPr>
                    <w:t>E-6/Z, E-8/Z</w:t>
                  </w:r>
                </w:p>
              </w:tc>
              <w:tc>
                <w:tcPr>
                  <w:tcW w:w="2739" w:type="dxa"/>
                  <w:tcBorders>
                    <w:top w:val="single" w:sz="4" w:space="0" w:color="000000"/>
                    <w:left w:val="single" w:sz="4" w:space="0" w:color="000000"/>
                    <w:bottom w:val="single" w:sz="4" w:space="0" w:color="000000"/>
                    <w:right w:val="nil"/>
                  </w:tcBorders>
                  <w:shd w:val="clear" w:color="auto" w:fill="auto"/>
                </w:tcPr>
                <w:p w14:paraId="3D2782DF" w14:textId="77777777" w:rsidR="00E02F30" w:rsidRPr="00E02F30" w:rsidRDefault="00E02F30" w:rsidP="00E02F30">
                  <w:pPr>
                    <w:ind w:left="112"/>
                    <w:jc w:val="center"/>
                    <w:rPr>
                      <w:rFonts w:cs="Arial"/>
                      <w:b/>
                      <w:bCs/>
                      <w:sz w:val="20"/>
                      <w:szCs w:val="20"/>
                    </w:rPr>
                  </w:pPr>
                  <w:r w:rsidRPr="00E02F30">
                    <w:rPr>
                      <w:rFonts w:cs="Arial"/>
                      <w:b/>
                      <w:bCs/>
                      <w:sz w:val="20"/>
                      <w:szCs w:val="20"/>
                    </w:rPr>
                    <w:t>BAT-AEL nie ma zastosowania</w:t>
                  </w:r>
                </w:p>
                <w:p w14:paraId="2FD48A2B" w14:textId="77777777" w:rsidR="00E02F30" w:rsidRPr="00E02F30" w:rsidRDefault="00E02F30" w:rsidP="00E02F30">
                  <w:pPr>
                    <w:ind w:left="112"/>
                    <w:jc w:val="center"/>
                    <w:rPr>
                      <w:rFonts w:cs="Arial"/>
                      <w:sz w:val="20"/>
                      <w:szCs w:val="20"/>
                    </w:rPr>
                  </w:pPr>
                  <w:r w:rsidRPr="00E02F30">
                    <w:rPr>
                      <w:rFonts w:cs="Arial"/>
                      <w:sz w:val="20"/>
                      <w:szCs w:val="20"/>
                    </w:rPr>
                    <w:t>Dla wszystkich emitorów (tj. E-6/Z, E/8-Z) spełniony jest warunek: przepływ masowy wynosi poniżej 50 g/h</w:t>
                  </w:r>
                </w:p>
              </w:tc>
            </w:tr>
            <w:tr w:rsidR="00E02F30" w:rsidRPr="00E02F30" w14:paraId="3723F13F" w14:textId="77777777" w:rsidTr="00A1631B">
              <w:trPr>
                <w:trHeight w:val="359"/>
              </w:trPr>
              <w:tc>
                <w:tcPr>
                  <w:tcW w:w="4153" w:type="dxa"/>
                  <w:tcBorders>
                    <w:top w:val="single" w:sz="4" w:space="0" w:color="000000"/>
                    <w:left w:val="nil"/>
                    <w:bottom w:val="single" w:sz="4" w:space="0" w:color="000000"/>
                    <w:right w:val="single" w:sz="4" w:space="0" w:color="000000"/>
                  </w:tcBorders>
                  <w:shd w:val="clear" w:color="auto" w:fill="auto"/>
                </w:tcPr>
                <w:p w14:paraId="37818D87" w14:textId="77777777" w:rsidR="00E02F30" w:rsidRPr="00E02F30" w:rsidRDefault="00E02F30" w:rsidP="00E02F30">
                  <w:pPr>
                    <w:rPr>
                      <w:rFonts w:cs="Arial"/>
                      <w:sz w:val="20"/>
                      <w:szCs w:val="20"/>
                    </w:rPr>
                  </w:pPr>
                  <w:r w:rsidRPr="00E02F30">
                    <w:rPr>
                      <w:rFonts w:cs="Arial"/>
                      <w:sz w:val="20"/>
                      <w:szCs w:val="20"/>
                    </w:rPr>
                    <w:t>Tlenki azotu (NO</w:t>
                  </w:r>
                  <w:r w:rsidRPr="00E02F30">
                    <w:rPr>
                      <w:rFonts w:cs="Arial"/>
                      <w:sz w:val="20"/>
                      <w:szCs w:val="20"/>
                      <w:vertAlign w:val="subscript"/>
                    </w:rPr>
                    <w:t>X</w:t>
                  </w:r>
                  <w:r w:rsidRPr="00E02F30">
                    <w:rPr>
                      <w:rFonts w:cs="Arial"/>
                      <w:sz w:val="20"/>
                      <w:szCs w:val="20"/>
                    </w:rPr>
                    <w:t>)</w:t>
                  </w:r>
                </w:p>
              </w:tc>
              <w:tc>
                <w:tcPr>
                  <w:tcW w:w="2901" w:type="dxa"/>
                  <w:tcBorders>
                    <w:top w:val="single" w:sz="4" w:space="0" w:color="000000"/>
                    <w:left w:val="single" w:sz="4" w:space="0" w:color="000000"/>
                    <w:bottom w:val="single" w:sz="4" w:space="0" w:color="000000"/>
                    <w:right w:val="nil"/>
                  </w:tcBorders>
                  <w:shd w:val="clear" w:color="auto" w:fill="auto"/>
                </w:tcPr>
                <w:p w14:paraId="001F547B" w14:textId="77777777" w:rsidR="00E02F30" w:rsidRPr="00E02F30" w:rsidRDefault="00E02F30" w:rsidP="00E02F30">
                  <w:pPr>
                    <w:ind w:left="112"/>
                    <w:jc w:val="center"/>
                    <w:rPr>
                      <w:rFonts w:cs="Arial"/>
                      <w:sz w:val="20"/>
                      <w:szCs w:val="20"/>
                    </w:rPr>
                  </w:pPr>
                  <w:r w:rsidRPr="00E02F30">
                    <w:rPr>
                      <w:rFonts w:cs="Arial"/>
                      <w:sz w:val="20"/>
                      <w:szCs w:val="20"/>
                    </w:rPr>
                    <w:t>10–150 (</w:t>
                  </w:r>
                  <w:r w:rsidRPr="00E02F30">
                    <w:rPr>
                      <w:rFonts w:cs="Arial"/>
                      <w:sz w:val="20"/>
                      <w:szCs w:val="20"/>
                      <w:vertAlign w:val="superscript"/>
                    </w:rPr>
                    <w:t>7</w:t>
                  </w:r>
                  <w:r w:rsidRPr="00E02F30">
                    <w:rPr>
                      <w:rFonts w:cs="Arial"/>
                      <w:sz w:val="20"/>
                      <w:szCs w:val="20"/>
                    </w:rPr>
                    <w:t>) (</w:t>
                  </w:r>
                  <w:r w:rsidRPr="00E02F30">
                    <w:rPr>
                      <w:rFonts w:cs="Arial"/>
                      <w:sz w:val="20"/>
                      <w:szCs w:val="20"/>
                      <w:vertAlign w:val="superscript"/>
                    </w:rPr>
                    <w:t>8</w:t>
                  </w:r>
                  <w:r w:rsidRPr="00E02F30">
                    <w:rPr>
                      <w:rFonts w:cs="Arial"/>
                      <w:sz w:val="20"/>
                      <w:szCs w:val="20"/>
                    </w:rPr>
                    <w:t>) (</w:t>
                  </w:r>
                  <w:r w:rsidRPr="00E02F30">
                    <w:rPr>
                      <w:rFonts w:cs="Arial"/>
                      <w:sz w:val="20"/>
                      <w:szCs w:val="20"/>
                      <w:vertAlign w:val="superscript"/>
                    </w:rPr>
                    <w:t>9</w:t>
                  </w:r>
                  <w:r w:rsidRPr="00E02F30">
                    <w:rPr>
                      <w:rFonts w:cs="Arial"/>
                      <w:sz w:val="20"/>
                      <w:szCs w:val="20"/>
                    </w:rPr>
                    <w:t>) (</w:t>
                  </w:r>
                  <w:r w:rsidRPr="00E02F30">
                    <w:rPr>
                      <w:rFonts w:cs="Arial"/>
                      <w:sz w:val="20"/>
                      <w:szCs w:val="20"/>
                      <w:vertAlign w:val="superscript"/>
                    </w:rPr>
                    <w:t>10</w:t>
                  </w:r>
                  <w:r w:rsidRPr="00E02F30">
                    <w:rPr>
                      <w:rFonts w:cs="Arial"/>
                      <w:sz w:val="20"/>
                      <w:szCs w:val="20"/>
                    </w:rPr>
                    <w:t>)</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4CF89D64" w14:textId="77777777" w:rsidR="00E02F30" w:rsidRPr="00E02F30" w:rsidRDefault="00E02F30" w:rsidP="00E02F30">
                  <w:pPr>
                    <w:ind w:left="112"/>
                    <w:jc w:val="center"/>
                    <w:rPr>
                      <w:rFonts w:cs="Arial"/>
                      <w:sz w:val="20"/>
                      <w:szCs w:val="20"/>
                    </w:rPr>
                  </w:pPr>
                  <w:r w:rsidRPr="00E02F30">
                    <w:rPr>
                      <w:rFonts w:cs="Arial"/>
                      <w:sz w:val="20"/>
                      <w:szCs w:val="20"/>
                    </w:rPr>
                    <w:t>Nie dotyczy</w:t>
                  </w:r>
                </w:p>
              </w:tc>
              <w:tc>
                <w:tcPr>
                  <w:tcW w:w="2739" w:type="dxa"/>
                  <w:tcBorders>
                    <w:top w:val="single" w:sz="4" w:space="0" w:color="000000"/>
                    <w:left w:val="single" w:sz="4" w:space="0" w:color="000000"/>
                    <w:bottom w:val="single" w:sz="4" w:space="0" w:color="000000"/>
                    <w:right w:val="nil"/>
                  </w:tcBorders>
                  <w:shd w:val="clear" w:color="auto" w:fill="auto"/>
                </w:tcPr>
                <w:p w14:paraId="78BAF3B2" w14:textId="77777777" w:rsidR="00E02F30" w:rsidRPr="00E02F30" w:rsidRDefault="00E02F30" w:rsidP="00E02F30">
                  <w:pPr>
                    <w:ind w:left="112"/>
                    <w:jc w:val="center"/>
                    <w:rPr>
                      <w:rFonts w:cs="Arial"/>
                      <w:sz w:val="20"/>
                      <w:szCs w:val="20"/>
                    </w:rPr>
                  </w:pPr>
                </w:p>
              </w:tc>
            </w:tr>
            <w:tr w:rsidR="00E02F30" w:rsidRPr="00E02F30" w14:paraId="66316FBB" w14:textId="77777777" w:rsidTr="00A1631B">
              <w:trPr>
                <w:trHeight w:val="359"/>
              </w:trPr>
              <w:tc>
                <w:tcPr>
                  <w:tcW w:w="4153" w:type="dxa"/>
                  <w:tcBorders>
                    <w:top w:val="single" w:sz="4" w:space="0" w:color="000000"/>
                    <w:left w:val="nil"/>
                    <w:bottom w:val="single" w:sz="4" w:space="0" w:color="000000"/>
                    <w:right w:val="single" w:sz="4" w:space="0" w:color="000000"/>
                  </w:tcBorders>
                  <w:shd w:val="clear" w:color="auto" w:fill="auto"/>
                </w:tcPr>
                <w:p w14:paraId="78EAC1D8" w14:textId="77777777" w:rsidR="00E02F30" w:rsidRPr="00E02F30" w:rsidRDefault="00E02F30" w:rsidP="00E02F30">
                  <w:pPr>
                    <w:rPr>
                      <w:rFonts w:cs="Arial"/>
                      <w:sz w:val="20"/>
                      <w:szCs w:val="20"/>
                    </w:rPr>
                  </w:pPr>
                  <w:r w:rsidRPr="00E02F30">
                    <w:rPr>
                      <w:rFonts w:cs="Arial"/>
                      <w:sz w:val="20"/>
                      <w:szCs w:val="20"/>
                    </w:rPr>
                    <w:t>Tlenki siarki (SO</w:t>
                  </w:r>
                  <w:r w:rsidRPr="00E02F30">
                    <w:rPr>
                      <w:rFonts w:cs="Arial"/>
                      <w:sz w:val="20"/>
                      <w:szCs w:val="20"/>
                      <w:vertAlign w:val="subscript"/>
                    </w:rPr>
                    <w:t>2</w:t>
                  </w:r>
                  <w:r w:rsidRPr="00E02F30">
                    <w:rPr>
                      <w:rFonts w:cs="Arial"/>
                      <w:sz w:val="20"/>
                      <w:szCs w:val="20"/>
                    </w:rPr>
                    <w:t>)</w:t>
                  </w:r>
                </w:p>
              </w:tc>
              <w:tc>
                <w:tcPr>
                  <w:tcW w:w="2901" w:type="dxa"/>
                  <w:tcBorders>
                    <w:top w:val="single" w:sz="4" w:space="0" w:color="000000"/>
                    <w:left w:val="single" w:sz="4" w:space="0" w:color="000000"/>
                    <w:bottom w:val="single" w:sz="4" w:space="0" w:color="000000"/>
                    <w:right w:val="nil"/>
                  </w:tcBorders>
                  <w:shd w:val="clear" w:color="auto" w:fill="auto"/>
                </w:tcPr>
                <w:p w14:paraId="611B7201" w14:textId="77777777" w:rsidR="00E02F30" w:rsidRPr="00E02F30" w:rsidRDefault="00E02F30" w:rsidP="00E02F30">
                  <w:pPr>
                    <w:ind w:left="111"/>
                    <w:jc w:val="center"/>
                    <w:rPr>
                      <w:rFonts w:cs="Arial"/>
                      <w:sz w:val="20"/>
                      <w:szCs w:val="20"/>
                    </w:rPr>
                  </w:pPr>
                  <w:r w:rsidRPr="00E02F30">
                    <w:rPr>
                      <w:rFonts w:cs="Arial"/>
                      <w:sz w:val="20"/>
                      <w:szCs w:val="20"/>
                    </w:rPr>
                    <w:t>&lt; 3–150 (</w:t>
                  </w:r>
                  <w:r w:rsidRPr="00E02F30">
                    <w:rPr>
                      <w:rFonts w:cs="Arial"/>
                      <w:sz w:val="20"/>
                      <w:szCs w:val="20"/>
                      <w:vertAlign w:val="superscript"/>
                    </w:rPr>
                    <w:t>9</w:t>
                  </w:r>
                  <w:r w:rsidRPr="00E02F30">
                    <w:rPr>
                      <w:rFonts w:cs="Arial"/>
                      <w:sz w:val="20"/>
                      <w:szCs w:val="20"/>
                    </w:rPr>
                    <w:t>) (</w:t>
                  </w:r>
                  <w:r w:rsidRPr="00E02F30">
                    <w:rPr>
                      <w:rFonts w:cs="Arial"/>
                      <w:sz w:val="20"/>
                      <w:szCs w:val="20"/>
                      <w:vertAlign w:val="superscript"/>
                    </w:rPr>
                    <w:t>11</w:t>
                  </w:r>
                  <w:r w:rsidRPr="00E02F30">
                    <w:rPr>
                      <w:rFonts w:cs="Arial"/>
                      <w:sz w:val="20"/>
                      <w:szCs w:val="20"/>
                    </w:rPr>
                    <w:t>)</w:t>
                  </w:r>
                </w:p>
              </w:tc>
              <w:tc>
                <w:tcPr>
                  <w:tcW w:w="2740" w:type="dxa"/>
                  <w:tcBorders>
                    <w:top w:val="single" w:sz="4" w:space="0" w:color="000000"/>
                    <w:left w:val="single" w:sz="4" w:space="0" w:color="000000"/>
                    <w:bottom w:val="single" w:sz="4" w:space="0" w:color="000000"/>
                    <w:right w:val="single" w:sz="4" w:space="0" w:color="000000"/>
                  </w:tcBorders>
                  <w:shd w:val="clear" w:color="auto" w:fill="auto"/>
                </w:tcPr>
                <w:p w14:paraId="74F177FC" w14:textId="77777777" w:rsidR="00E02F30" w:rsidRPr="00E02F30" w:rsidRDefault="00E02F30" w:rsidP="00E02F30">
                  <w:pPr>
                    <w:ind w:left="111"/>
                    <w:jc w:val="center"/>
                    <w:rPr>
                      <w:rFonts w:cs="Arial"/>
                      <w:sz w:val="20"/>
                      <w:szCs w:val="20"/>
                    </w:rPr>
                  </w:pPr>
                  <w:r w:rsidRPr="00E02F30">
                    <w:rPr>
                      <w:rFonts w:cs="Arial"/>
                      <w:sz w:val="20"/>
                      <w:szCs w:val="20"/>
                    </w:rPr>
                    <w:t>Nie dotyczy</w:t>
                  </w:r>
                </w:p>
              </w:tc>
              <w:tc>
                <w:tcPr>
                  <w:tcW w:w="2739" w:type="dxa"/>
                  <w:tcBorders>
                    <w:top w:val="single" w:sz="4" w:space="0" w:color="000000"/>
                    <w:left w:val="single" w:sz="4" w:space="0" w:color="000000"/>
                    <w:bottom w:val="single" w:sz="4" w:space="0" w:color="000000"/>
                    <w:right w:val="nil"/>
                  </w:tcBorders>
                  <w:shd w:val="clear" w:color="auto" w:fill="auto"/>
                </w:tcPr>
                <w:p w14:paraId="6E9506C4" w14:textId="77777777" w:rsidR="00E02F30" w:rsidRPr="00E02F30" w:rsidRDefault="00E02F30" w:rsidP="00E02F30">
                  <w:pPr>
                    <w:ind w:left="111"/>
                    <w:jc w:val="center"/>
                    <w:rPr>
                      <w:rFonts w:cs="Arial"/>
                      <w:sz w:val="20"/>
                      <w:szCs w:val="20"/>
                    </w:rPr>
                  </w:pPr>
                </w:p>
              </w:tc>
            </w:tr>
          </w:tbl>
          <w:p w14:paraId="119853BF" w14:textId="77777777" w:rsidR="00E02F30" w:rsidRPr="00E02F30" w:rsidRDefault="00E02F30" w:rsidP="00E02F30">
            <w:pPr>
              <w:spacing w:after="0" w:line="240" w:lineRule="auto"/>
              <w:rPr>
                <w:rFonts w:eastAsia="Times New Roman" w:cs="Arial"/>
                <w:bCs/>
                <w:sz w:val="20"/>
                <w:szCs w:val="20"/>
                <w:lang w:eastAsia="pl-PL"/>
              </w:rPr>
            </w:pPr>
          </w:p>
          <w:p w14:paraId="1BD16EB3" w14:textId="77777777" w:rsidR="00E02F30" w:rsidRPr="00E02F30" w:rsidRDefault="00E02F30">
            <w:pPr>
              <w:numPr>
                <w:ilvl w:val="0"/>
                <w:numId w:val="58"/>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BAT-AEL nie ma zastosowania do emisji zorganizowanych amoniaku do powietrza powstałych w wyniku stosowania SCR lub SNCR (ucieczka amoniaku). Działalność ta wchodzi w zakres stosowania BAT 17.</w:t>
            </w:r>
          </w:p>
          <w:p w14:paraId="4C90983A" w14:textId="77777777" w:rsidR="00E02F30" w:rsidRPr="00E02F30" w:rsidRDefault="00E02F30">
            <w:pPr>
              <w:numPr>
                <w:ilvl w:val="0"/>
                <w:numId w:val="58"/>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BAT-AEL nie ma zastosowania do niewielkich emisji (tj. gdy przepływ masowy NH3 wynosi poniżej np. 50 g/h).</w:t>
            </w:r>
          </w:p>
          <w:p w14:paraId="622CC2AF" w14:textId="77777777" w:rsidR="00E02F30" w:rsidRPr="00E02F30" w:rsidRDefault="00E02F30">
            <w:pPr>
              <w:numPr>
                <w:ilvl w:val="0"/>
                <w:numId w:val="58"/>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przypadku etapu suszenia w produkcji E-PVC górna granica zakresu BAT-AEL może być wyższa i wynosić do 20 mg/Nm3, jeżeli zastąpienie soli amoniowych nie jest możliwe ze względu na specyfikacje w zakresie jakości produktu.</w:t>
            </w:r>
          </w:p>
          <w:p w14:paraId="6A3596B4" w14:textId="77777777" w:rsidR="00E02F30" w:rsidRPr="00E02F30" w:rsidRDefault="00E02F30">
            <w:pPr>
              <w:numPr>
                <w:ilvl w:val="0"/>
                <w:numId w:val="58"/>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BAT-AEL nie ma zastosowania do niewielkich emisji (tj. gdy przepływ masowy danej substancji wynosi poniżej np. 5 g/h).</w:t>
            </w:r>
          </w:p>
          <w:p w14:paraId="24E35D25" w14:textId="77777777" w:rsidR="00E02F30" w:rsidRPr="00E02F30" w:rsidRDefault="00E02F30">
            <w:pPr>
              <w:numPr>
                <w:ilvl w:val="0"/>
                <w:numId w:val="58"/>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przypadku stężeń NOX powyżej 100 mg/Nm3 górna granica zakresu BAT-AEL może być wyższa i wynosić do 3 mg/Nm3 ze względu na interferencję analityczną.</w:t>
            </w:r>
          </w:p>
          <w:p w14:paraId="4179218B" w14:textId="77777777" w:rsidR="00E02F30" w:rsidRPr="00E02F30" w:rsidRDefault="00E02F30">
            <w:pPr>
              <w:numPr>
                <w:ilvl w:val="0"/>
                <w:numId w:val="58"/>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BAT-AEL nie ma zastosowania do niewielkich emisji (tj. gdy przepływ masowy HCl wynosi poniżej np. 30 g/h).</w:t>
            </w:r>
          </w:p>
          <w:p w14:paraId="5F08A7D0" w14:textId="77777777" w:rsidR="00E02F30" w:rsidRPr="00E02F30" w:rsidRDefault="00E02F30">
            <w:pPr>
              <w:numPr>
                <w:ilvl w:val="0"/>
                <w:numId w:val="58"/>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przypadku produkcji materiałów wybuchowych górna granica zakresu BAT-AEL może być wyższa i wynosić do 220 mg/Nm3 podczas regeneracji lub odzyskiwania kwasu azotowego z procesu produkcyjnego.</w:t>
            </w:r>
          </w:p>
          <w:p w14:paraId="6A1AB9FD" w14:textId="77777777" w:rsidR="00E02F30" w:rsidRPr="00E02F30" w:rsidRDefault="00E02F30">
            <w:pPr>
              <w:numPr>
                <w:ilvl w:val="0"/>
                <w:numId w:val="58"/>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BAT-AEL nie ma zastosowania do emisji zorganizowanych do powietrza NOX powstałych w wyniku stosowania utleniania katalitycznego lub termicznego (zob. BAT 16) lub pochodzących z pieców procesowych/nagrzewnic (zob. BAT 36).</w:t>
            </w:r>
          </w:p>
          <w:p w14:paraId="1E5E208A" w14:textId="77777777" w:rsidR="00E02F30" w:rsidRPr="00E02F30" w:rsidRDefault="00E02F30">
            <w:pPr>
              <w:numPr>
                <w:ilvl w:val="0"/>
                <w:numId w:val="58"/>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BAT-AEL nie ma zastosowania do niewielkich emisji (tj. gdy przepływ masowy danej substancji wynosi poniżej np. 500 g/h).</w:t>
            </w:r>
          </w:p>
          <w:p w14:paraId="1C130AC1" w14:textId="77777777" w:rsidR="00E02F30" w:rsidRPr="00E02F30" w:rsidRDefault="00E02F30">
            <w:pPr>
              <w:numPr>
                <w:ilvl w:val="0"/>
                <w:numId w:val="58"/>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przypadku produkcji kaprolaktamu górna granica zakresu BAT-AEL może być wyższa i wynosić do 200 mg/Nm3, w przypadku gdy gazy odlotowe z procesu technologicznego zawierają bardzo duże ilości NOX (np. powyżej 10 000 mg/Nm3) przed zastosowaniem SCR lub SNCR, jeżeli efektywność redukcji emisji pochodzących z SCR lub SNCR wynosi ≥ 99 %.</w:t>
            </w:r>
          </w:p>
          <w:p w14:paraId="21903F91" w14:textId="77777777" w:rsidR="00E02F30" w:rsidRPr="00E02F30" w:rsidRDefault="00E02F30">
            <w:pPr>
              <w:numPr>
                <w:ilvl w:val="0"/>
                <w:numId w:val="58"/>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BAT-AEL nie ma zastosowania w przypadku fizycznego oczyszczania lub ponownego zatężania zużytego kwasu siarkowego.</w:t>
            </w:r>
          </w:p>
        </w:tc>
      </w:tr>
      <w:tr w:rsidR="00E02F30" w:rsidRPr="00E02F30" w14:paraId="4FBB576C" w14:textId="77777777" w:rsidTr="00A1631B">
        <w:trPr>
          <w:trHeight w:val="284"/>
        </w:trPr>
        <w:tc>
          <w:tcPr>
            <w:tcW w:w="1695" w:type="dxa"/>
            <w:shd w:val="clear" w:color="auto" w:fill="auto"/>
            <w:vAlign w:val="center"/>
          </w:tcPr>
          <w:p w14:paraId="71C05C6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7BA5061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937" w:type="dxa"/>
            <w:gridSpan w:val="5"/>
            <w:shd w:val="clear" w:color="auto" w:fill="auto"/>
          </w:tcPr>
          <w:p w14:paraId="04E6E517"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28EF634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Stosowane w instalacji techniki:</w:t>
            </w:r>
          </w:p>
          <w:p w14:paraId="02C02596"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 absorpcja - w etapie kondensacji powstaje amoniak, który jest absorbowany w wodzie. Powstałe ścieki z absorpcji kierowane są do kanalizacji ścieków przemysłowych. Emisja występuje z emitorów E-6/Z oraz E-8/Z.</w:t>
            </w:r>
          </w:p>
          <w:p w14:paraId="206EA4F7" w14:textId="77777777" w:rsidR="00E02F30" w:rsidRPr="00E02F30" w:rsidRDefault="00E02F30" w:rsidP="00E02F30">
            <w:pPr>
              <w:spacing w:after="0" w:line="240" w:lineRule="auto"/>
              <w:jc w:val="both"/>
              <w:rPr>
                <w:rFonts w:eastAsia="Times New Roman" w:cs="Arial"/>
                <w:b/>
                <w:sz w:val="20"/>
                <w:szCs w:val="20"/>
                <w:lang w:eastAsia="pl-PL"/>
              </w:rPr>
            </w:pPr>
          </w:p>
        </w:tc>
      </w:tr>
      <w:tr w:rsidR="00E02F30" w:rsidRPr="00E02F30" w14:paraId="163B9EF7" w14:textId="77777777" w:rsidTr="00A1631B">
        <w:trPr>
          <w:trHeight w:val="284"/>
        </w:trPr>
        <w:tc>
          <w:tcPr>
            <w:tcW w:w="10632" w:type="dxa"/>
            <w:gridSpan w:val="6"/>
            <w:shd w:val="clear" w:color="auto" w:fill="auto"/>
          </w:tcPr>
          <w:p w14:paraId="6115A3D9"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Emisje rozproszone LZO do powietrza</w:t>
            </w:r>
          </w:p>
        </w:tc>
      </w:tr>
      <w:tr w:rsidR="00E02F30" w:rsidRPr="00E02F30" w14:paraId="7A8E9268" w14:textId="77777777" w:rsidTr="00A1631B">
        <w:trPr>
          <w:trHeight w:val="284"/>
        </w:trPr>
        <w:tc>
          <w:tcPr>
            <w:tcW w:w="10632" w:type="dxa"/>
            <w:gridSpan w:val="6"/>
            <w:shd w:val="clear" w:color="auto" w:fill="auto"/>
          </w:tcPr>
          <w:p w14:paraId="084E2920"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BAT 19</w:t>
            </w:r>
          </w:p>
          <w:p w14:paraId="398C575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zapobiec występowaniu emisji rozproszonych LZO do powietrza lub, jeżeli jest to niemożliwe, ograniczyć je, w ramach BAT należy opracować i wdrożyć system zarządzania emisjami rozproszonymi LZO jako część systemu zarządzania środowiskowego (zob. BAT 1), którego zakres obejmuje wszystkie następujące elementy:</w:t>
            </w:r>
          </w:p>
          <w:p w14:paraId="5800611A" w14:textId="77777777" w:rsidR="00E02F30" w:rsidRPr="00E02F30" w:rsidRDefault="00E02F30">
            <w:pPr>
              <w:numPr>
                <w:ilvl w:val="0"/>
                <w:numId w:val="62"/>
              </w:numPr>
              <w:spacing w:after="0" w:line="240" w:lineRule="auto"/>
              <w:ind w:left="742" w:hanging="284"/>
              <w:jc w:val="both"/>
              <w:rPr>
                <w:rFonts w:eastAsia="Times New Roman" w:cs="Arial"/>
                <w:bCs/>
                <w:sz w:val="20"/>
                <w:szCs w:val="20"/>
                <w:lang w:eastAsia="pl-PL"/>
              </w:rPr>
            </w:pPr>
            <w:r w:rsidRPr="00E02F30">
              <w:rPr>
                <w:rFonts w:eastAsia="Times New Roman" w:cs="Arial"/>
                <w:bCs/>
                <w:sz w:val="20"/>
                <w:szCs w:val="20"/>
                <w:lang w:eastAsia="pl-PL"/>
              </w:rPr>
              <w:t>Oszacowanie rocznej ilości emisji rozproszonych LZO (zob. BAT 20).</w:t>
            </w:r>
          </w:p>
          <w:p w14:paraId="219A05E1" w14:textId="77777777" w:rsidR="00E02F30" w:rsidRPr="00E02F30" w:rsidRDefault="00E02F30">
            <w:pPr>
              <w:numPr>
                <w:ilvl w:val="0"/>
                <w:numId w:val="62"/>
              </w:numPr>
              <w:spacing w:after="0" w:line="240" w:lineRule="auto"/>
              <w:ind w:left="742" w:hanging="284"/>
              <w:jc w:val="both"/>
              <w:rPr>
                <w:rFonts w:eastAsia="Times New Roman" w:cs="Arial"/>
                <w:bCs/>
                <w:sz w:val="20"/>
                <w:szCs w:val="20"/>
                <w:lang w:eastAsia="pl-PL"/>
              </w:rPr>
            </w:pPr>
            <w:r w:rsidRPr="00E02F30">
              <w:rPr>
                <w:rFonts w:eastAsia="Times New Roman" w:cs="Arial"/>
                <w:bCs/>
                <w:sz w:val="20"/>
                <w:szCs w:val="20"/>
                <w:lang w:eastAsia="pl-PL"/>
              </w:rPr>
              <w:t>Monitorowanie emisji rozproszonych LZO powstałych w wyniku stosowania rozpuszczalników przez obliczanie, w stosownych przypadkach, bilansu masy rozpuszczalnika (zob. BAT 21).</w:t>
            </w:r>
          </w:p>
          <w:p w14:paraId="2CE03DA4" w14:textId="77777777" w:rsidR="00E02F30" w:rsidRPr="00E02F30" w:rsidRDefault="00E02F30">
            <w:pPr>
              <w:numPr>
                <w:ilvl w:val="0"/>
                <w:numId w:val="62"/>
              </w:numPr>
              <w:spacing w:after="0" w:line="240" w:lineRule="auto"/>
              <w:ind w:left="742" w:hanging="284"/>
              <w:jc w:val="both"/>
              <w:rPr>
                <w:rFonts w:eastAsia="Times New Roman" w:cs="Arial"/>
                <w:bCs/>
                <w:sz w:val="20"/>
                <w:szCs w:val="20"/>
                <w:lang w:eastAsia="pl-PL"/>
              </w:rPr>
            </w:pPr>
            <w:r w:rsidRPr="00E02F30">
              <w:rPr>
                <w:rFonts w:eastAsia="Times New Roman" w:cs="Arial"/>
                <w:bCs/>
                <w:sz w:val="20"/>
                <w:szCs w:val="20"/>
                <w:lang w:eastAsia="pl-PL"/>
              </w:rPr>
              <w:t>Ustanowienie i realizowanie programu wykrywania i naprawy wycieków (LDAR) w odniesieniu do emisji ulotnych LZO. Czas realizacji programu wynosi zazwyczaj 1–5 lat, w zależności od charakteru, skali i złożoności zespołów urządzeń (5 lat może odpowiadać dużym zespołom urządzeń o dużej liczbie źródeł emisji).</w:t>
            </w:r>
          </w:p>
          <w:p w14:paraId="31A97932" w14:textId="77777777" w:rsidR="00E02F30" w:rsidRPr="00E02F30" w:rsidRDefault="00E02F30" w:rsidP="00E02F30">
            <w:p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Program LDAR obejmuje wszystkie następujące elementy:</w:t>
            </w:r>
          </w:p>
          <w:p w14:paraId="4D9B4AFB" w14:textId="77777777" w:rsidR="00E02F30" w:rsidRPr="00E02F30" w:rsidRDefault="00E02F30">
            <w:pPr>
              <w:numPr>
                <w:ilvl w:val="0"/>
                <w:numId w:val="63"/>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uwzględnienie urządzeń zidentyfikowanych jako istotne źródła emisji ulotnych LZO w wykazie emisji rozproszonych LZO (zob. BAT 2);</w:t>
            </w:r>
          </w:p>
          <w:p w14:paraId="59985487" w14:textId="77777777" w:rsidR="00E02F30" w:rsidRPr="00E02F30" w:rsidRDefault="00E02F30">
            <w:pPr>
              <w:numPr>
                <w:ilvl w:val="0"/>
                <w:numId w:val="63"/>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określenie kryteriów związanych z:</w:t>
            </w:r>
          </w:p>
          <w:p w14:paraId="43EF949C" w14:textId="77777777" w:rsidR="00E02F30" w:rsidRPr="00E02F30" w:rsidRDefault="00E02F30" w:rsidP="00E02F30">
            <w:p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 nieszczelnymi urządzeniami. Typowe kryteria mogą obejmować próg wycieku, powyżej którego urządzenia uznaje się za nieszczelne, lub wizualizację wycieku za pomocą kamer OGI. Zależy to od charakterystyki źródła emisji (np. możliwości dostępu do niego) i niebezpiecznych właściwości emitowanych substancji;</w:t>
            </w:r>
          </w:p>
          <w:p w14:paraId="59250F25" w14:textId="77777777" w:rsidR="00E02F30" w:rsidRPr="00E02F30" w:rsidRDefault="00E02F30" w:rsidP="00E02F30">
            <w:p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 xml:space="preserve">— działania w zakresie konserwacji lub naprawy, które należy podjąć. Typowym kryterium może być próg stężenia LZO warunkujący podjęcie działań w zakresie konserwacji lub naprawy (próg konserwacji/naprawy). Próg konserwacji/naprawy jest zazwyczaj równy progowi wycieku lub wyższy od niego. Zależy to od charakterystyki źródła emisji (np. możliwości dostępu do niego) i niebezpiecznych właściwości emitowanych substancji. W przypadku pierwszego programu LDAR zasadniczo nie jest on wyższy niż 5 000 </w:t>
            </w:r>
            <w:proofErr w:type="spellStart"/>
            <w:r w:rsidRPr="00E02F30">
              <w:rPr>
                <w:rFonts w:eastAsia="Times New Roman" w:cs="Arial"/>
                <w:bCs/>
                <w:sz w:val="20"/>
                <w:szCs w:val="20"/>
                <w:lang w:eastAsia="pl-PL"/>
              </w:rPr>
              <w:t>ppmv</w:t>
            </w:r>
            <w:proofErr w:type="spellEnd"/>
            <w:r w:rsidRPr="00E02F30">
              <w:rPr>
                <w:rFonts w:eastAsia="Times New Roman" w:cs="Arial"/>
                <w:bCs/>
                <w:sz w:val="20"/>
                <w:szCs w:val="20"/>
                <w:lang w:eastAsia="pl-PL"/>
              </w:rPr>
              <w:t xml:space="preserve"> w odniesieniu do LZO innych niż LZO sklasyfikowane jako substancje CMR kategorii 1 A lub 1B oraz 1 000 </w:t>
            </w:r>
            <w:proofErr w:type="spellStart"/>
            <w:r w:rsidRPr="00E02F30">
              <w:rPr>
                <w:rFonts w:eastAsia="Times New Roman" w:cs="Arial"/>
                <w:bCs/>
                <w:sz w:val="20"/>
                <w:szCs w:val="20"/>
                <w:lang w:eastAsia="pl-PL"/>
              </w:rPr>
              <w:t>ppmv</w:t>
            </w:r>
            <w:proofErr w:type="spellEnd"/>
            <w:r w:rsidRPr="00E02F30">
              <w:rPr>
                <w:rFonts w:eastAsia="Times New Roman" w:cs="Arial"/>
                <w:bCs/>
                <w:sz w:val="20"/>
                <w:szCs w:val="20"/>
                <w:lang w:eastAsia="pl-PL"/>
              </w:rPr>
              <w:t xml:space="preserve"> w odniesieniu do LZO sklasyfikowanych jako substancje CMR kategorii 1 A lub 1B. W przypadku kolejnych programów LDAR próg konserwacji/naprawy jest obniżany (zob. pkt (vi) lit. a)) i nie przekracza 1 000 </w:t>
            </w:r>
            <w:proofErr w:type="spellStart"/>
            <w:r w:rsidRPr="00E02F30">
              <w:rPr>
                <w:rFonts w:eastAsia="Times New Roman" w:cs="Arial"/>
                <w:bCs/>
                <w:sz w:val="20"/>
                <w:szCs w:val="20"/>
                <w:lang w:eastAsia="pl-PL"/>
              </w:rPr>
              <w:t>ppmv</w:t>
            </w:r>
            <w:proofErr w:type="spellEnd"/>
            <w:r w:rsidRPr="00E02F30">
              <w:rPr>
                <w:rFonts w:eastAsia="Times New Roman" w:cs="Arial"/>
                <w:bCs/>
                <w:sz w:val="20"/>
                <w:szCs w:val="20"/>
                <w:lang w:eastAsia="pl-PL"/>
              </w:rPr>
              <w:t xml:space="preserve"> w odniesieniu do LZO innych niż LZO sklasyfikowane jako substancje CMR kategorii 1 A lub 1B oraz 500 </w:t>
            </w:r>
            <w:proofErr w:type="spellStart"/>
            <w:r w:rsidRPr="00E02F30">
              <w:rPr>
                <w:rFonts w:eastAsia="Times New Roman" w:cs="Arial"/>
                <w:bCs/>
                <w:sz w:val="20"/>
                <w:szCs w:val="20"/>
                <w:lang w:eastAsia="pl-PL"/>
              </w:rPr>
              <w:t>ppmv</w:t>
            </w:r>
            <w:proofErr w:type="spellEnd"/>
            <w:r w:rsidRPr="00E02F30">
              <w:rPr>
                <w:rFonts w:eastAsia="Times New Roman" w:cs="Arial"/>
                <w:bCs/>
                <w:sz w:val="20"/>
                <w:szCs w:val="20"/>
                <w:lang w:eastAsia="pl-PL"/>
              </w:rPr>
              <w:t xml:space="preserve"> w odniesieniu do LZO sklasyfikowanych jako substancje CMR kategorii 1 A lub 1B, docelowo wynosi 100 </w:t>
            </w:r>
            <w:proofErr w:type="spellStart"/>
            <w:r w:rsidRPr="00E02F30">
              <w:rPr>
                <w:rFonts w:eastAsia="Times New Roman" w:cs="Arial"/>
                <w:bCs/>
                <w:sz w:val="20"/>
                <w:szCs w:val="20"/>
                <w:lang w:eastAsia="pl-PL"/>
              </w:rPr>
              <w:t>ppmv</w:t>
            </w:r>
            <w:proofErr w:type="spellEnd"/>
            <w:r w:rsidRPr="00E02F30">
              <w:rPr>
                <w:rFonts w:eastAsia="Times New Roman" w:cs="Arial"/>
                <w:bCs/>
                <w:sz w:val="20"/>
                <w:szCs w:val="20"/>
                <w:lang w:eastAsia="pl-PL"/>
              </w:rPr>
              <w:t>;</w:t>
            </w:r>
          </w:p>
          <w:p w14:paraId="7DC2DC8C" w14:textId="77777777" w:rsidR="00E02F30" w:rsidRPr="00E02F30" w:rsidRDefault="00E02F30">
            <w:pPr>
              <w:numPr>
                <w:ilvl w:val="0"/>
                <w:numId w:val="63"/>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dokonywanie pomiarów emisji ulotnych LZO pochodzących z urządzeń wymienionych w pkt (iii) lit. a) (zob. BAT 22);</w:t>
            </w:r>
          </w:p>
          <w:p w14:paraId="3793EC75" w14:textId="77777777" w:rsidR="00E02F30" w:rsidRPr="00E02F30" w:rsidRDefault="00E02F30">
            <w:pPr>
              <w:numPr>
                <w:ilvl w:val="0"/>
                <w:numId w:val="63"/>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możliwie najszybsze przeprowadzanie, w stosownych przypadkach, działań w zakresie konserwacji i naprawy (zob. BAT 23, techniki określone w lit. e) i f)) zgodnie z kryteriami określonymi w pkt (iii) lit. b). Działaniom w zakresie konserwacji i naprawy nadawany jest priorytet w zależności od niebezpiecznych właściwości emitowanej(-</w:t>
            </w:r>
            <w:proofErr w:type="spellStart"/>
            <w:r w:rsidRPr="00E02F30">
              <w:rPr>
                <w:rFonts w:eastAsia="Times New Roman" w:cs="Arial"/>
                <w:bCs/>
                <w:sz w:val="20"/>
                <w:szCs w:val="20"/>
                <w:lang w:eastAsia="pl-PL"/>
              </w:rPr>
              <w:t>nych</w:t>
            </w:r>
            <w:proofErr w:type="spellEnd"/>
            <w:r w:rsidRPr="00E02F30">
              <w:rPr>
                <w:rFonts w:eastAsia="Times New Roman" w:cs="Arial"/>
                <w:bCs/>
                <w:sz w:val="20"/>
                <w:szCs w:val="20"/>
                <w:lang w:eastAsia="pl-PL"/>
              </w:rPr>
              <w:t>) substancji, znaczenia emisji lub ograniczeń eksploatacyjnych. Skuteczność działań w zakresie konserwacji lub naprawy weryfikuje się zgodnie z pkt (iii) lit. c), pozostawiając wystarczająco dużo czasu po interwencji (np. 2 miesiące);</w:t>
            </w:r>
          </w:p>
          <w:p w14:paraId="40E31940" w14:textId="77777777" w:rsidR="00E02F30" w:rsidRPr="00E02F30" w:rsidRDefault="00E02F30">
            <w:pPr>
              <w:numPr>
                <w:ilvl w:val="0"/>
                <w:numId w:val="63"/>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wypełnianie bazy danych, o której mowa w pkt (v).</w:t>
            </w:r>
          </w:p>
          <w:p w14:paraId="634C706F" w14:textId="77777777" w:rsidR="00E02F30" w:rsidRPr="00E02F30" w:rsidRDefault="00E02F30">
            <w:pPr>
              <w:numPr>
                <w:ilvl w:val="0"/>
                <w:numId w:val="64"/>
              </w:numPr>
              <w:spacing w:after="0" w:line="240" w:lineRule="auto"/>
              <w:ind w:left="742" w:hanging="284"/>
              <w:jc w:val="both"/>
              <w:rPr>
                <w:rFonts w:eastAsia="Times New Roman" w:cs="Arial"/>
                <w:bCs/>
                <w:sz w:val="20"/>
                <w:szCs w:val="20"/>
                <w:lang w:eastAsia="pl-PL"/>
              </w:rPr>
            </w:pPr>
            <w:r w:rsidRPr="00E02F30">
              <w:rPr>
                <w:rFonts w:eastAsia="Times New Roman" w:cs="Arial"/>
                <w:bCs/>
                <w:sz w:val="20"/>
                <w:szCs w:val="20"/>
                <w:lang w:eastAsia="pl-PL"/>
              </w:rPr>
              <w:t>Ustanowienie i realizowanie programu wykrywania i redukcji emisji nieulotnych LZO, którego zakres obejmuje wszystkie następujące elementy:</w:t>
            </w:r>
          </w:p>
          <w:p w14:paraId="06823768" w14:textId="77777777" w:rsidR="00E02F30" w:rsidRPr="00E02F30" w:rsidRDefault="00E02F30">
            <w:pPr>
              <w:numPr>
                <w:ilvl w:val="1"/>
                <w:numId w:val="64"/>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uwzględnienie urządzeń zidentyfikowanych jako istotne źródła emisji nieulotnych LZO w wykazie emisji rozproszonych LZO (zob. BAT 2);</w:t>
            </w:r>
          </w:p>
          <w:p w14:paraId="4C944588" w14:textId="77777777" w:rsidR="00E02F30" w:rsidRPr="00E02F30" w:rsidRDefault="00E02F30">
            <w:pPr>
              <w:numPr>
                <w:ilvl w:val="1"/>
                <w:numId w:val="64"/>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monitorowanie emisji nieulotnych LZO pochodzących z urządzeń wymienionych w pkt (iv) lit. a) (zob. BAT 22);</w:t>
            </w:r>
          </w:p>
          <w:p w14:paraId="6F3C4773" w14:textId="77777777" w:rsidR="00E02F30" w:rsidRPr="00E02F30" w:rsidRDefault="00E02F30">
            <w:pPr>
              <w:numPr>
                <w:ilvl w:val="1"/>
                <w:numId w:val="64"/>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planowanie i wdrażanie technik w zakresie redukcji emisji nieulotnych LZO (zob. BAT 23, techniki określone w lit. a), c) i g)–j)). Planowaniu i wdrażaniu technik nadawany jest priorytet w zależności od niebezpiecznych właściwości emitowanej(-</w:t>
            </w:r>
            <w:proofErr w:type="spellStart"/>
            <w:r w:rsidRPr="00E02F30">
              <w:rPr>
                <w:rFonts w:eastAsia="Times New Roman" w:cs="Arial"/>
                <w:bCs/>
                <w:sz w:val="20"/>
                <w:szCs w:val="20"/>
                <w:lang w:eastAsia="pl-PL"/>
              </w:rPr>
              <w:t>nych</w:t>
            </w:r>
            <w:proofErr w:type="spellEnd"/>
            <w:r w:rsidRPr="00E02F30">
              <w:rPr>
                <w:rFonts w:eastAsia="Times New Roman" w:cs="Arial"/>
                <w:bCs/>
                <w:sz w:val="20"/>
                <w:szCs w:val="20"/>
                <w:lang w:eastAsia="pl-PL"/>
              </w:rPr>
              <w:t>) substancji, znaczenia emisji lub ograniczeń eksploatacyjnych;</w:t>
            </w:r>
          </w:p>
          <w:p w14:paraId="768DE6D5" w14:textId="77777777" w:rsidR="00E02F30" w:rsidRPr="00E02F30" w:rsidRDefault="00E02F30">
            <w:pPr>
              <w:numPr>
                <w:ilvl w:val="1"/>
                <w:numId w:val="64"/>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wypełnianie bazy danych, o której mowa w pkt (v).</w:t>
            </w:r>
          </w:p>
          <w:p w14:paraId="3CDD747D" w14:textId="77777777" w:rsidR="00E02F30" w:rsidRPr="00E02F30" w:rsidRDefault="00E02F30">
            <w:pPr>
              <w:numPr>
                <w:ilvl w:val="0"/>
                <w:numId w:val="64"/>
              </w:numPr>
              <w:spacing w:after="0" w:line="240" w:lineRule="auto"/>
              <w:ind w:left="742" w:hanging="284"/>
              <w:jc w:val="both"/>
              <w:rPr>
                <w:rFonts w:eastAsia="Times New Roman" w:cs="Arial"/>
                <w:bCs/>
                <w:sz w:val="20"/>
                <w:szCs w:val="20"/>
                <w:lang w:eastAsia="pl-PL"/>
              </w:rPr>
            </w:pPr>
            <w:r w:rsidRPr="00E02F30">
              <w:rPr>
                <w:rFonts w:eastAsia="Times New Roman" w:cs="Arial"/>
                <w:bCs/>
                <w:sz w:val="20"/>
                <w:szCs w:val="20"/>
                <w:lang w:eastAsia="pl-PL"/>
              </w:rPr>
              <w:t>Ustanowienie i prowadzenie bazy danych w odniesieniu do źródeł emisji rozproszonych LZO określonych w wykazie, o którym mowa w BAT 2, w celu prowadzenia rejestru:</w:t>
            </w:r>
          </w:p>
          <w:p w14:paraId="16CAA3AC" w14:textId="77777777" w:rsidR="00E02F30" w:rsidRPr="00E02F30" w:rsidRDefault="00E02F30">
            <w:pPr>
              <w:numPr>
                <w:ilvl w:val="2"/>
                <w:numId w:val="67"/>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specyfikacji konstrukcji urządzeń (w tym daty i opisu wszelkich zmian konstrukcyjnych);</w:t>
            </w:r>
          </w:p>
          <w:p w14:paraId="76F5C32A" w14:textId="77777777" w:rsidR="00E02F30" w:rsidRPr="00E02F30" w:rsidRDefault="00E02F30">
            <w:pPr>
              <w:numPr>
                <w:ilvl w:val="2"/>
                <w:numId w:val="67"/>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wykonanych lub planowanych działań w zakresie konserwacji, naprawy, modernizacji lub wymiany urządzeń oraz daty ich realizacji;</w:t>
            </w:r>
          </w:p>
          <w:p w14:paraId="4D4D1F9D" w14:textId="77777777" w:rsidR="00E02F30" w:rsidRPr="00E02F30" w:rsidRDefault="00E02F30">
            <w:pPr>
              <w:numPr>
                <w:ilvl w:val="2"/>
                <w:numId w:val="67"/>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urządzeń, których konserwacja, naprawa, modernizacja lub wymiana jest niemożliwa ze względu na ograniczenia eksploatacyjne;</w:t>
            </w:r>
          </w:p>
          <w:p w14:paraId="22C29F88" w14:textId="77777777" w:rsidR="00E02F30" w:rsidRPr="00E02F30" w:rsidRDefault="00E02F30">
            <w:pPr>
              <w:numPr>
                <w:ilvl w:val="2"/>
                <w:numId w:val="67"/>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wyników pomiarów lub monitorowania, w tym stężenia(-żeń) emitowanej(-</w:t>
            </w:r>
            <w:proofErr w:type="spellStart"/>
            <w:r w:rsidRPr="00E02F30">
              <w:rPr>
                <w:rFonts w:eastAsia="Times New Roman" w:cs="Arial"/>
                <w:bCs/>
                <w:sz w:val="20"/>
                <w:szCs w:val="20"/>
                <w:lang w:eastAsia="pl-PL"/>
              </w:rPr>
              <w:t>nych</w:t>
            </w:r>
            <w:proofErr w:type="spellEnd"/>
            <w:r w:rsidRPr="00E02F30">
              <w:rPr>
                <w:rFonts w:eastAsia="Times New Roman" w:cs="Arial"/>
                <w:bCs/>
                <w:sz w:val="20"/>
                <w:szCs w:val="20"/>
                <w:lang w:eastAsia="pl-PL"/>
              </w:rPr>
              <w:t>) substancji, obliczonej wielkości wycieku (wyrażonej w kg/rok), zapisu z kamer OGI (np. z ostatniego programu LDAR) oraz dat wykonania pomiarów i realizacji działań w zakresie monitorowania;</w:t>
            </w:r>
          </w:p>
          <w:p w14:paraId="1F6EE18D" w14:textId="77777777" w:rsidR="00E02F30" w:rsidRPr="00E02F30" w:rsidRDefault="00E02F30">
            <w:pPr>
              <w:numPr>
                <w:ilvl w:val="2"/>
                <w:numId w:val="67"/>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rocznej ilości emisji rozproszonych LZO (jako emisji ulotnych i nieulotnych), w tym informacji na temat źródeł niedostępnych i dostępnych które nie były monitorowane w ciągu roku.</w:t>
            </w:r>
          </w:p>
          <w:p w14:paraId="7BCF9A16" w14:textId="77777777" w:rsidR="00E02F30" w:rsidRPr="00E02F30" w:rsidRDefault="00E02F30">
            <w:pPr>
              <w:numPr>
                <w:ilvl w:val="0"/>
                <w:numId w:val="64"/>
              </w:numPr>
              <w:spacing w:after="0" w:line="240" w:lineRule="auto"/>
              <w:ind w:left="742" w:hanging="284"/>
              <w:jc w:val="both"/>
              <w:rPr>
                <w:rFonts w:eastAsia="Times New Roman" w:cs="Arial"/>
                <w:bCs/>
                <w:sz w:val="20"/>
                <w:szCs w:val="20"/>
                <w:lang w:eastAsia="pl-PL"/>
              </w:rPr>
            </w:pPr>
            <w:r w:rsidRPr="00E02F30">
              <w:rPr>
                <w:rFonts w:eastAsia="Times New Roman" w:cs="Arial"/>
                <w:bCs/>
                <w:sz w:val="20"/>
                <w:szCs w:val="20"/>
                <w:lang w:eastAsia="pl-PL"/>
              </w:rPr>
              <w:t>Okresowy przegląd i aktualizacja programu LDAR. Może to obejmować następujące działania:</w:t>
            </w:r>
          </w:p>
          <w:p w14:paraId="66574336" w14:textId="77777777" w:rsidR="00E02F30" w:rsidRPr="00E02F30" w:rsidRDefault="00E02F30">
            <w:pPr>
              <w:numPr>
                <w:ilvl w:val="3"/>
                <w:numId w:val="66"/>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obniżenie progów wycieku lub konserwacji/naprawy (zob. pkt (iii) lit. b));</w:t>
            </w:r>
          </w:p>
          <w:p w14:paraId="3CBA6D52" w14:textId="77777777" w:rsidR="00E02F30" w:rsidRPr="00E02F30" w:rsidRDefault="00E02F30">
            <w:pPr>
              <w:numPr>
                <w:ilvl w:val="3"/>
                <w:numId w:val="66"/>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przegląd priorytetów nadawanych urządzeniom, które należy monitorować, nadanie wyższego priorytetu urządzeniom (rodzajowi urządzeń) uznanym za nieszczelne w okresie trwania poprzedniego programu LDAR;</w:t>
            </w:r>
          </w:p>
          <w:p w14:paraId="5700C28C" w14:textId="77777777" w:rsidR="00E02F30" w:rsidRPr="00E02F30" w:rsidRDefault="00E02F30">
            <w:pPr>
              <w:numPr>
                <w:ilvl w:val="3"/>
                <w:numId w:val="66"/>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planowanie konserwacji, naprawy, modernizacji lub wymiany urządzeń, w przypadku których prace te były niemożliwe do wykonania w okresie trwania poprzedniego programu LDAR ze względu na ograniczenia eksploatacyjne.</w:t>
            </w:r>
          </w:p>
          <w:p w14:paraId="533453F1" w14:textId="77777777" w:rsidR="00E02F30" w:rsidRPr="00E02F30" w:rsidRDefault="00E02F30">
            <w:pPr>
              <w:numPr>
                <w:ilvl w:val="0"/>
                <w:numId w:val="64"/>
              </w:numPr>
              <w:spacing w:after="0" w:line="240" w:lineRule="auto"/>
              <w:ind w:left="742" w:hanging="284"/>
              <w:jc w:val="both"/>
              <w:rPr>
                <w:rFonts w:eastAsia="Times New Roman" w:cs="Arial"/>
                <w:bCs/>
                <w:sz w:val="20"/>
                <w:szCs w:val="20"/>
                <w:lang w:eastAsia="pl-PL"/>
              </w:rPr>
            </w:pPr>
            <w:r w:rsidRPr="00E02F30">
              <w:rPr>
                <w:rFonts w:eastAsia="Times New Roman" w:cs="Arial"/>
                <w:bCs/>
                <w:sz w:val="20"/>
                <w:szCs w:val="20"/>
                <w:lang w:eastAsia="pl-PL"/>
              </w:rPr>
              <w:t>Przegląd i aktualizacja programu wykrywania i redukcji emisji nieulotnych LZO. Może to obejmować następujące działania:</w:t>
            </w:r>
          </w:p>
          <w:p w14:paraId="198531A6" w14:textId="77777777" w:rsidR="00E02F30" w:rsidRPr="00E02F30" w:rsidRDefault="00E02F30">
            <w:pPr>
              <w:numPr>
                <w:ilvl w:val="3"/>
                <w:numId w:val="65"/>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monitorowanie emisji nieulotnych LZO pochodzących z urządzeń, w odniesieniu do których realizowano działania w zakresie konserwacji, naprawy, modernizacji lub wymiany, w celu ustalenia, czy działania te były skuteczne;</w:t>
            </w:r>
          </w:p>
          <w:p w14:paraId="25CE72C4" w14:textId="77777777" w:rsidR="00E02F30" w:rsidRPr="00E02F30" w:rsidRDefault="00E02F30">
            <w:pPr>
              <w:numPr>
                <w:ilvl w:val="3"/>
                <w:numId w:val="65"/>
              </w:numPr>
              <w:spacing w:after="0" w:line="240" w:lineRule="auto"/>
              <w:ind w:left="884" w:hanging="284"/>
              <w:jc w:val="both"/>
              <w:rPr>
                <w:rFonts w:eastAsia="Times New Roman" w:cs="Arial"/>
                <w:bCs/>
                <w:sz w:val="20"/>
                <w:szCs w:val="20"/>
                <w:lang w:eastAsia="pl-PL"/>
              </w:rPr>
            </w:pPr>
            <w:r w:rsidRPr="00E02F30">
              <w:rPr>
                <w:rFonts w:eastAsia="Times New Roman" w:cs="Arial"/>
                <w:bCs/>
                <w:sz w:val="20"/>
                <w:szCs w:val="20"/>
                <w:lang w:eastAsia="pl-PL"/>
              </w:rPr>
              <w:t>planowanie działań w zakresie konserwacji, naprawy, modernizacji lub wymiany, których nie można było wykonać ze względu na ograniczenia eksploatacyjne.</w:t>
            </w:r>
          </w:p>
          <w:p w14:paraId="7C158B49" w14:textId="77777777" w:rsidR="00E02F30" w:rsidRPr="00E02F30" w:rsidRDefault="00E02F30" w:rsidP="00E02F30">
            <w:pPr>
              <w:spacing w:after="0" w:line="240" w:lineRule="auto"/>
              <w:rPr>
                <w:rFonts w:eastAsia="Times New Roman" w:cs="Arial"/>
                <w:bCs/>
                <w:sz w:val="20"/>
                <w:szCs w:val="20"/>
                <w:lang w:eastAsia="pl-PL"/>
              </w:rPr>
            </w:pPr>
          </w:p>
          <w:p w14:paraId="618D77AA"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Elementy określone w pkt (iii), (iv), (vi) oraz (vii) mają zastosowanie wyłącznie do źródeł emisji rozproszonych LZO, w \odniesieniu do których ma zastosowanie monitorowanie zgodnie z BAT 22.</w:t>
            </w:r>
          </w:p>
          <w:p w14:paraId="0B349040"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106318DE" w14:textId="77777777" w:rsidTr="00A1631B">
        <w:trPr>
          <w:trHeight w:val="284"/>
        </w:trPr>
        <w:tc>
          <w:tcPr>
            <w:tcW w:w="1985" w:type="dxa"/>
            <w:gridSpan w:val="2"/>
            <w:shd w:val="clear" w:color="auto" w:fill="auto"/>
            <w:vAlign w:val="center"/>
          </w:tcPr>
          <w:p w14:paraId="4A939199"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1A457120"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7511AA98"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41CA7E7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instalacjach występują emisje rozproszone tzw. emisje ulotne. Spółka dokonała oszacowania rocznej emisji rozproszonej z instalacji (z którego wynika, że nie przekracza progów wskazanych w BAT 22).</w:t>
            </w:r>
          </w:p>
        </w:tc>
      </w:tr>
      <w:tr w:rsidR="00E02F30" w:rsidRPr="00E02F30" w14:paraId="784C6A50" w14:textId="77777777" w:rsidTr="00A1631B">
        <w:trPr>
          <w:trHeight w:val="284"/>
        </w:trPr>
        <w:tc>
          <w:tcPr>
            <w:tcW w:w="10632" w:type="dxa"/>
            <w:gridSpan w:val="6"/>
            <w:shd w:val="clear" w:color="auto" w:fill="auto"/>
          </w:tcPr>
          <w:p w14:paraId="44BDAA81"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BAT 20</w:t>
            </w:r>
          </w:p>
          <w:p w14:paraId="3B42F6F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ramach BAT należy co najmniej raz w roku oddzielnie oszacować emisje ulotne i nieulotne LZO do powietrza, stosując jedną z poniższych technik lub ich kombinację, a także określić stopień niepewności tych szacunków. W ramach szacunków wyróżnia się LZO sklasyfikowane jako substancje CMR kategorii 1 A lub 1B oraz LZO, których nie sklasyfikowano jako substancje CMR kategorii 1 A lub 1B.</w:t>
            </w:r>
          </w:p>
          <w:p w14:paraId="130A7034" w14:textId="77777777" w:rsidR="00E02F30" w:rsidRPr="00E02F30" w:rsidRDefault="00E02F30" w:rsidP="00E02F30">
            <w:pPr>
              <w:spacing w:after="0" w:line="240" w:lineRule="auto"/>
              <w:jc w:val="both"/>
              <w:rPr>
                <w:rFonts w:eastAsia="Times New Roman" w:cs="Arial"/>
                <w:bCs/>
                <w:sz w:val="20"/>
                <w:szCs w:val="20"/>
                <w:lang w:eastAsia="pl-PL"/>
              </w:rPr>
            </w:pPr>
          </w:p>
          <w:p w14:paraId="127F2D05"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Do celów wykonania szacunków emisje zorganizowane można zaliczyć do emisji nieulotnych, jeżeli swoiste cechy strumienia gazów odlotowych (np. niskie prędkości, zmienność natężenia przepływu i stężenie) uniemożliwiają dokonanie dokładnego pomiaru zgodnie z BAT 8.</w:t>
            </w:r>
          </w:p>
          <w:p w14:paraId="33EEE026"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Określa się główne źródła niepewności w zakresie szacunków oraz podejmuje się działania naprawcze w celu ograniczenia tej niepewności.</w:t>
            </w:r>
          </w:p>
          <w:p w14:paraId="6E19E8A5" w14:textId="77777777" w:rsidR="00E02F30" w:rsidRPr="00E02F30" w:rsidRDefault="00E02F30" w:rsidP="00E02F30">
            <w:pPr>
              <w:spacing w:after="0" w:line="240" w:lineRule="auto"/>
              <w:rPr>
                <w:rFonts w:eastAsia="Times New Roman" w:cs="Arial"/>
                <w:bCs/>
                <w:sz w:val="20"/>
                <w:szCs w:val="20"/>
                <w:lang w:eastAsia="pl-PL"/>
              </w:rPr>
            </w:pPr>
          </w:p>
          <w:tbl>
            <w:tblPr>
              <w:tblStyle w:val="TableGrid"/>
              <w:tblW w:w="4500" w:type="pct"/>
              <w:tblInd w:w="1020" w:type="dxa"/>
              <w:tblLayout w:type="fixed"/>
              <w:tblCellMar>
                <w:top w:w="107" w:type="dxa"/>
                <w:left w:w="95" w:type="dxa"/>
                <w:right w:w="25" w:type="dxa"/>
              </w:tblCellMar>
              <w:tblLook w:val="04A0" w:firstRow="1" w:lastRow="0" w:firstColumn="1" w:lastColumn="0" w:noHBand="0" w:noVBand="1"/>
            </w:tblPr>
            <w:tblGrid>
              <w:gridCol w:w="515"/>
              <w:gridCol w:w="2278"/>
              <w:gridCol w:w="4622"/>
              <w:gridCol w:w="1959"/>
            </w:tblGrid>
            <w:tr w:rsidR="00E02F30" w:rsidRPr="00E02F30" w14:paraId="03DB204D" w14:textId="77777777" w:rsidTr="00A1631B">
              <w:trPr>
                <w:trHeight w:val="343"/>
              </w:trPr>
              <w:tc>
                <w:tcPr>
                  <w:tcW w:w="2432" w:type="dxa"/>
                  <w:gridSpan w:val="2"/>
                  <w:tcBorders>
                    <w:top w:val="single" w:sz="4" w:space="0" w:color="000000"/>
                    <w:left w:val="nil"/>
                    <w:bottom w:val="single" w:sz="4" w:space="0" w:color="000000"/>
                    <w:right w:val="single" w:sz="4" w:space="0" w:color="000000"/>
                  </w:tcBorders>
                </w:tcPr>
                <w:p w14:paraId="72FEEFC9" w14:textId="77777777" w:rsidR="00E02F30" w:rsidRPr="00E02F30" w:rsidRDefault="00E02F30" w:rsidP="00E02F30">
                  <w:pPr>
                    <w:ind w:right="182"/>
                    <w:jc w:val="center"/>
                    <w:rPr>
                      <w:rFonts w:cs="Arial"/>
                      <w:sz w:val="20"/>
                      <w:szCs w:val="20"/>
                    </w:rPr>
                  </w:pPr>
                  <w:r w:rsidRPr="00E02F30">
                    <w:rPr>
                      <w:rFonts w:cs="Arial"/>
                      <w:sz w:val="20"/>
                      <w:szCs w:val="20"/>
                    </w:rPr>
                    <w:t>Technika</w:t>
                  </w:r>
                </w:p>
              </w:tc>
              <w:tc>
                <w:tcPr>
                  <w:tcW w:w="4025" w:type="dxa"/>
                  <w:tcBorders>
                    <w:top w:val="single" w:sz="4" w:space="0" w:color="000000"/>
                    <w:left w:val="single" w:sz="4" w:space="0" w:color="000000"/>
                    <w:bottom w:val="single" w:sz="4" w:space="0" w:color="000000"/>
                    <w:right w:val="single" w:sz="4" w:space="0" w:color="000000"/>
                  </w:tcBorders>
                </w:tcPr>
                <w:p w14:paraId="3941D6F3" w14:textId="77777777" w:rsidR="00E02F30" w:rsidRPr="00E02F30" w:rsidRDefault="00E02F30" w:rsidP="00E02F30">
                  <w:pPr>
                    <w:ind w:right="70"/>
                    <w:jc w:val="center"/>
                    <w:rPr>
                      <w:rFonts w:cs="Arial"/>
                      <w:sz w:val="20"/>
                      <w:szCs w:val="20"/>
                    </w:rPr>
                  </w:pPr>
                  <w:r w:rsidRPr="00E02F30">
                    <w:rPr>
                      <w:rFonts w:cs="Arial"/>
                      <w:sz w:val="20"/>
                      <w:szCs w:val="20"/>
                    </w:rPr>
                    <w:t>Opis</w:t>
                  </w:r>
                </w:p>
              </w:tc>
              <w:tc>
                <w:tcPr>
                  <w:tcW w:w="1706" w:type="dxa"/>
                  <w:tcBorders>
                    <w:top w:val="single" w:sz="4" w:space="0" w:color="000000"/>
                    <w:left w:val="single" w:sz="4" w:space="0" w:color="000000"/>
                    <w:bottom w:val="single" w:sz="4" w:space="0" w:color="000000"/>
                    <w:right w:val="nil"/>
                  </w:tcBorders>
                </w:tcPr>
                <w:p w14:paraId="2DDFF588" w14:textId="77777777" w:rsidR="00E02F30" w:rsidRPr="00E02F30" w:rsidRDefault="00E02F30" w:rsidP="00E02F30">
                  <w:pPr>
                    <w:ind w:left="42"/>
                    <w:jc w:val="center"/>
                    <w:rPr>
                      <w:rFonts w:cs="Arial"/>
                      <w:sz w:val="20"/>
                      <w:szCs w:val="20"/>
                    </w:rPr>
                  </w:pPr>
                  <w:r w:rsidRPr="00E02F30">
                    <w:rPr>
                      <w:rFonts w:cs="Arial"/>
                      <w:sz w:val="20"/>
                      <w:szCs w:val="20"/>
                    </w:rPr>
                    <w:t>Rodzaj emisji</w:t>
                  </w:r>
                </w:p>
              </w:tc>
            </w:tr>
            <w:tr w:rsidR="00E02F30" w:rsidRPr="00E02F30" w14:paraId="64638360" w14:textId="77777777" w:rsidTr="00A1631B">
              <w:trPr>
                <w:trHeight w:val="572"/>
              </w:trPr>
              <w:tc>
                <w:tcPr>
                  <w:tcW w:w="448" w:type="dxa"/>
                  <w:tcBorders>
                    <w:top w:val="single" w:sz="4" w:space="0" w:color="000000"/>
                    <w:left w:val="nil"/>
                    <w:bottom w:val="single" w:sz="4" w:space="0" w:color="000000"/>
                    <w:right w:val="single" w:sz="4" w:space="0" w:color="000000"/>
                  </w:tcBorders>
                  <w:vAlign w:val="center"/>
                </w:tcPr>
                <w:p w14:paraId="0872DECD" w14:textId="77777777" w:rsidR="00E02F30" w:rsidRPr="00E02F30" w:rsidRDefault="00E02F30" w:rsidP="00E02F30">
                  <w:pPr>
                    <w:ind w:left="7"/>
                    <w:rPr>
                      <w:rFonts w:cs="Arial"/>
                      <w:sz w:val="20"/>
                      <w:szCs w:val="20"/>
                    </w:rPr>
                  </w:pPr>
                  <w:r w:rsidRPr="00E02F30">
                    <w:rPr>
                      <w:rFonts w:cs="Arial"/>
                      <w:sz w:val="20"/>
                      <w:szCs w:val="20"/>
                    </w:rPr>
                    <w:t>a)</w:t>
                  </w:r>
                </w:p>
              </w:tc>
              <w:tc>
                <w:tcPr>
                  <w:tcW w:w="1984" w:type="dxa"/>
                  <w:tcBorders>
                    <w:top w:val="single" w:sz="4" w:space="0" w:color="000000"/>
                    <w:left w:val="single" w:sz="4" w:space="0" w:color="000000"/>
                    <w:bottom w:val="single" w:sz="4" w:space="0" w:color="000000"/>
                    <w:right w:val="single" w:sz="4" w:space="0" w:color="000000"/>
                  </w:tcBorders>
                </w:tcPr>
                <w:p w14:paraId="39DA141F" w14:textId="77777777" w:rsidR="00E02F30" w:rsidRPr="00E02F30" w:rsidRDefault="00E02F30" w:rsidP="00E02F30">
                  <w:pPr>
                    <w:ind w:left="17"/>
                    <w:rPr>
                      <w:rFonts w:cs="Arial"/>
                      <w:sz w:val="20"/>
                      <w:szCs w:val="20"/>
                    </w:rPr>
                  </w:pPr>
                  <w:r w:rsidRPr="00E02F30">
                    <w:rPr>
                      <w:rFonts w:cs="Arial"/>
                      <w:sz w:val="20"/>
                      <w:szCs w:val="20"/>
                    </w:rPr>
                    <w:t>Zastosowanie współczynnika emisji</w:t>
                  </w:r>
                </w:p>
              </w:tc>
              <w:tc>
                <w:tcPr>
                  <w:tcW w:w="4025" w:type="dxa"/>
                  <w:tcBorders>
                    <w:top w:val="single" w:sz="4" w:space="0" w:color="000000"/>
                    <w:left w:val="single" w:sz="4" w:space="0" w:color="000000"/>
                    <w:bottom w:val="single" w:sz="4" w:space="0" w:color="000000"/>
                    <w:right w:val="single" w:sz="4" w:space="0" w:color="000000"/>
                  </w:tcBorders>
                  <w:vAlign w:val="center"/>
                </w:tcPr>
                <w:p w14:paraId="7E42C532" w14:textId="77777777" w:rsidR="00E02F30" w:rsidRPr="00E02F30" w:rsidRDefault="00E02F30" w:rsidP="00E02F30">
                  <w:pPr>
                    <w:ind w:left="17"/>
                    <w:rPr>
                      <w:rFonts w:cs="Arial"/>
                      <w:sz w:val="20"/>
                      <w:szCs w:val="20"/>
                    </w:rPr>
                  </w:pPr>
                  <w:r w:rsidRPr="00E02F30">
                    <w:rPr>
                      <w:rFonts w:cs="Arial"/>
                      <w:sz w:val="20"/>
                      <w:szCs w:val="20"/>
                    </w:rPr>
                    <w:t>Zob. sekcja 1.4.2.</w:t>
                  </w:r>
                </w:p>
              </w:tc>
              <w:tc>
                <w:tcPr>
                  <w:tcW w:w="1706" w:type="dxa"/>
                  <w:vMerge w:val="restart"/>
                  <w:tcBorders>
                    <w:top w:val="single" w:sz="4" w:space="0" w:color="000000"/>
                    <w:left w:val="single" w:sz="4" w:space="0" w:color="000000"/>
                    <w:bottom w:val="single" w:sz="4" w:space="0" w:color="000000"/>
                    <w:right w:val="nil"/>
                  </w:tcBorders>
                  <w:vAlign w:val="center"/>
                </w:tcPr>
                <w:p w14:paraId="62940A7F" w14:textId="77777777" w:rsidR="00E02F30" w:rsidRPr="00E02F30" w:rsidRDefault="00E02F30" w:rsidP="00E02F30">
                  <w:pPr>
                    <w:ind w:left="42"/>
                    <w:rPr>
                      <w:rFonts w:cs="Arial"/>
                      <w:sz w:val="20"/>
                      <w:szCs w:val="20"/>
                    </w:rPr>
                  </w:pPr>
                  <w:r w:rsidRPr="00E02F30">
                    <w:rPr>
                      <w:rFonts w:cs="Arial"/>
                      <w:sz w:val="20"/>
                      <w:szCs w:val="20"/>
                    </w:rPr>
                    <w:t>Ulotne lub nieulotne</w:t>
                  </w:r>
                </w:p>
              </w:tc>
            </w:tr>
            <w:tr w:rsidR="00E02F30" w:rsidRPr="00E02F30" w14:paraId="4504EA4B" w14:textId="77777777" w:rsidTr="00A1631B">
              <w:trPr>
                <w:trHeight w:val="1851"/>
              </w:trPr>
              <w:tc>
                <w:tcPr>
                  <w:tcW w:w="448" w:type="dxa"/>
                  <w:tcBorders>
                    <w:top w:val="single" w:sz="4" w:space="0" w:color="000000"/>
                    <w:left w:val="nil"/>
                    <w:bottom w:val="single" w:sz="4" w:space="0" w:color="000000"/>
                    <w:right w:val="single" w:sz="4" w:space="0" w:color="000000"/>
                  </w:tcBorders>
                  <w:vAlign w:val="center"/>
                </w:tcPr>
                <w:p w14:paraId="58B3E087" w14:textId="77777777" w:rsidR="00E02F30" w:rsidRPr="00E02F30" w:rsidRDefault="00E02F30" w:rsidP="00E02F30">
                  <w:pPr>
                    <w:rPr>
                      <w:rFonts w:cs="Arial"/>
                      <w:sz w:val="20"/>
                      <w:szCs w:val="20"/>
                    </w:rPr>
                  </w:pPr>
                  <w:r w:rsidRPr="00E02F30">
                    <w:rPr>
                      <w:rFonts w:cs="Arial"/>
                      <w:sz w:val="20"/>
                      <w:szCs w:val="20"/>
                    </w:rPr>
                    <w:t>b)</w:t>
                  </w:r>
                </w:p>
              </w:tc>
              <w:tc>
                <w:tcPr>
                  <w:tcW w:w="1984" w:type="dxa"/>
                  <w:tcBorders>
                    <w:top w:val="single" w:sz="4" w:space="0" w:color="000000"/>
                    <w:left w:val="single" w:sz="4" w:space="0" w:color="000000"/>
                    <w:bottom w:val="single" w:sz="4" w:space="0" w:color="000000"/>
                    <w:right w:val="single" w:sz="4" w:space="0" w:color="000000"/>
                  </w:tcBorders>
                  <w:vAlign w:val="center"/>
                </w:tcPr>
                <w:p w14:paraId="07B96F0B" w14:textId="77777777" w:rsidR="00E02F30" w:rsidRPr="00E02F30" w:rsidRDefault="00E02F30" w:rsidP="00E02F30">
                  <w:pPr>
                    <w:ind w:left="17"/>
                    <w:rPr>
                      <w:rFonts w:cs="Arial"/>
                      <w:sz w:val="20"/>
                      <w:szCs w:val="20"/>
                    </w:rPr>
                  </w:pPr>
                  <w:r w:rsidRPr="00E02F30">
                    <w:rPr>
                      <w:rFonts w:cs="Arial"/>
                      <w:sz w:val="20"/>
                      <w:szCs w:val="20"/>
                    </w:rPr>
                    <w:t>Zastosowanie bilansu masy</w:t>
                  </w:r>
                </w:p>
              </w:tc>
              <w:tc>
                <w:tcPr>
                  <w:tcW w:w="4025" w:type="dxa"/>
                  <w:tcBorders>
                    <w:top w:val="single" w:sz="4" w:space="0" w:color="000000"/>
                    <w:left w:val="single" w:sz="4" w:space="0" w:color="000000"/>
                    <w:bottom w:val="single" w:sz="4" w:space="0" w:color="000000"/>
                    <w:right w:val="single" w:sz="4" w:space="0" w:color="000000"/>
                  </w:tcBorders>
                </w:tcPr>
                <w:p w14:paraId="6FE59DDC" w14:textId="77777777" w:rsidR="00E02F30" w:rsidRPr="00E02F30" w:rsidRDefault="00E02F30" w:rsidP="00E02F30">
                  <w:pPr>
                    <w:spacing w:line="218" w:lineRule="auto"/>
                    <w:ind w:left="17" w:right="87"/>
                    <w:jc w:val="center"/>
                    <w:rPr>
                      <w:rFonts w:cs="Arial"/>
                      <w:sz w:val="20"/>
                      <w:szCs w:val="20"/>
                    </w:rPr>
                  </w:pPr>
                  <w:r w:rsidRPr="00E02F30">
                    <w:rPr>
                      <w:rFonts w:cs="Arial"/>
                      <w:sz w:val="20"/>
                      <w:szCs w:val="20"/>
                    </w:rPr>
                    <w:t>Szacunki oparte na różnicy masy wkładu substancji i substancji na wyjściu z zespołu urządzeń/jednostki produkcyjnej, z uwzględnieniem wytwarzania i niszczenia substancji w zespole urządzeń/ jednostce produkcyjnej.</w:t>
                  </w:r>
                </w:p>
                <w:p w14:paraId="56E5E8D9" w14:textId="77777777" w:rsidR="00E02F30" w:rsidRPr="00E02F30" w:rsidRDefault="00E02F30" w:rsidP="00E02F30">
                  <w:pPr>
                    <w:ind w:left="17" w:right="87"/>
                    <w:jc w:val="center"/>
                    <w:rPr>
                      <w:rFonts w:cs="Arial"/>
                      <w:sz w:val="20"/>
                      <w:szCs w:val="20"/>
                    </w:rPr>
                  </w:pPr>
                  <w:r w:rsidRPr="00E02F30">
                    <w:rPr>
                      <w:rFonts w:cs="Arial"/>
                      <w:sz w:val="20"/>
                      <w:szCs w:val="20"/>
                    </w:rPr>
                    <w:t>Bilans masy może również opierać się na pomiarze stężenia LZO w produkcie (np. surowcu lub rozpuszczalniku).</w:t>
                  </w:r>
                </w:p>
              </w:tc>
              <w:tc>
                <w:tcPr>
                  <w:tcW w:w="2619" w:type="dxa"/>
                  <w:vMerge/>
                  <w:tcBorders>
                    <w:top w:val="nil"/>
                    <w:left w:val="single" w:sz="4" w:space="0" w:color="000000"/>
                    <w:bottom w:val="nil"/>
                    <w:right w:val="nil"/>
                  </w:tcBorders>
                </w:tcPr>
                <w:p w14:paraId="4D22A446" w14:textId="77777777" w:rsidR="00E02F30" w:rsidRPr="00E02F30" w:rsidRDefault="00E02F30" w:rsidP="00E02F30">
                  <w:pPr>
                    <w:rPr>
                      <w:rFonts w:cs="Arial"/>
                      <w:sz w:val="20"/>
                      <w:szCs w:val="20"/>
                    </w:rPr>
                  </w:pPr>
                </w:p>
              </w:tc>
            </w:tr>
            <w:tr w:rsidR="00E02F30" w:rsidRPr="00E02F30" w14:paraId="4B538A3C" w14:textId="77777777" w:rsidTr="00A1631B">
              <w:trPr>
                <w:trHeight w:val="2818"/>
              </w:trPr>
              <w:tc>
                <w:tcPr>
                  <w:tcW w:w="448" w:type="dxa"/>
                  <w:tcBorders>
                    <w:top w:val="single" w:sz="4" w:space="0" w:color="000000"/>
                    <w:left w:val="nil"/>
                    <w:bottom w:val="single" w:sz="4" w:space="0" w:color="000000"/>
                    <w:right w:val="single" w:sz="4" w:space="0" w:color="000000"/>
                  </w:tcBorders>
                  <w:vAlign w:val="center"/>
                </w:tcPr>
                <w:p w14:paraId="689D296B" w14:textId="77777777" w:rsidR="00E02F30" w:rsidRPr="00E02F30" w:rsidRDefault="00E02F30" w:rsidP="00E02F30">
                  <w:pPr>
                    <w:ind w:left="8"/>
                    <w:rPr>
                      <w:rFonts w:cs="Arial"/>
                      <w:sz w:val="20"/>
                      <w:szCs w:val="20"/>
                    </w:rPr>
                  </w:pPr>
                  <w:r w:rsidRPr="00E02F30">
                    <w:rPr>
                      <w:rFonts w:cs="Arial"/>
                      <w:sz w:val="20"/>
                      <w:szCs w:val="20"/>
                    </w:rPr>
                    <w:t>c)</w:t>
                  </w:r>
                </w:p>
              </w:tc>
              <w:tc>
                <w:tcPr>
                  <w:tcW w:w="1984" w:type="dxa"/>
                  <w:tcBorders>
                    <w:top w:val="single" w:sz="4" w:space="0" w:color="000000"/>
                    <w:left w:val="single" w:sz="4" w:space="0" w:color="000000"/>
                    <w:bottom w:val="single" w:sz="4" w:space="0" w:color="000000"/>
                    <w:right w:val="single" w:sz="4" w:space="0" w:color="000000"/>
                  </w:tcBorders>
                  <w:vAlign w:val="center"/>
                </w:tcPr>
                <w:p w14:paraId="704AD678" w14:textId="77777777" w:rsidR="00E02F30" w:rsidRPr="00E02F30" w:rsidRDefault="00E02F30" w:rsidP="00E02F30">
                  <w:pPr>
                    <w:ind w:left="17"/>
                    <w:rPr>
                      <w:rFonts w:cs="Arial"/>
                      <w:sz w:val="20"/>
                      <w:szCs w:val="20"/>
                    </w:rPr>
                  </w:pPr>
                  <w:r w:rsidRPr="00E02F30">
                    <w:rPr>
                      <w:rFonts w:cs="Arial"/>
                      <w:sz w:val="20"/>
                      <w:szCs w:val="20"/>
                    </w:rPr>
                    <w:t>Zastosowanie modeli termodynamicznych</w:t>
                  </w:r>
                </w:p>
              </w:tc>
              <w:tc>
                <w:tcPr>
                  <w:tcW w:w="4025" w:type="dxa"/>
                  <w:tcBorders>
                    <w:top w:val="single" w:sz="4" w:space="0" w:color="000000"/>
                    <w:left w:val="single" w:sz="4" w:space="0" w:color="000000"/>
                    <w:bottom w:val="single" w:sz="4" w:space="0" w:color="000000"/>
                    <w:right w:val="single" w:sz="4" w:space="0" w:color="000000"/>
                  </w:tcBorders>
                </w:tcPr>
                <w:p w14:paraId="0212A951" w14:textId="77777777" w:rsidR="00E02F30" w:rsidRPr="00E02F30" w:rsidRDefault="00E02F30" w:rsidP="00E02F30">
                  <w:pPr>
                    <w:spacing w:line="218" w:lineRule="auto"/>
                    <w:ind w:left="17"/>
                    <w:jc w:val="center"/>
                    <w:rPr>
                      <w:rFonts w:cs="Arial"/>
                      <w:sz w:val="20"/>
                      <w:szCs w:val="20"/>
                    </w:rPr>
                  </w:pPr>
                  <w:r w:rsidRPr="00E02F30">
                    <w:rPr>
                      <w:rFonts w:cs="Arial"/>
                      <w:sz w:val="20"/>
                      <w:szCs w:val="20"/>
                    </w:rPr>
                    <w:t xml:space="preserve">Szacowanie z zastosowaniem praw termodynamiki stosowanych w odniesieniu do urządzeń (np. </w:t>
                  </w:r>
                </w:p>
                <w:p w14:paraId="20F6354F" w14:textId="77777777" w:rsidR="00E02F30" w:rsidRPr="00E02F30" w:rsidRDefault="00E02F30" w:rsidP="00E02F30">
                  <w:pPr>
                    <w:spacing w:after="113" w:line="218" w:lineRule="auto"/>
                    <w:ind w:left="17"/>
                    <w:rPr>
                      <w:rFonts w:cs="Arial"/>
                      <w:sz w:val="20"/>
                      <w:szCs w:val="20"/>
                    </w:rPr>
                  </w:pPr>
                  <w:r w:rsidRPr="00E02F30">
                    <w:rPr>
                      <w:rFonts w:cs="Arial"/>
                      <w:sz w:val="20"/>
                      <w:szCs w:val="20"/>
                    </w:rPr>
                    <w:t>zbiorników) lub poszczególnych etapów procesu produkcyjnego.</w:t>
                  </w:r>
                </w:p>
                <w:p w14:paraId="2067E9FA" w14:textId="77777777" w:rsidR="00E02F30" w:rsidRPr="00E02F30" w:rsidRDefault="00E02F30" w:rsidP="00E02F30">
                  <w:pPr>
                    <w:spacing w:line="218" w:lineRule="auto"/>
                    <w:ind w:left="17"/>
                    <w:rPr>
                      <w:rFonts w:cs="Arial"/>
                      <w:sz w:val="20"/>
                      <w:szCs w:val="20"/>
                    </w:rPr>
                  </w:pPr>
                  <w:r w:rsidRPr="00E02F30">
                    <w:rPr>
                      <w:rFonts w:cs="Arial"/>
                      <w:sz w:val="20"/>
                      <w:szCs w:val="20"/>
                    </w:rPr>
                    <w:t>Następujące dane stosuje się zazwyczaj jako dane wejściowe do modelu:</w:t>
                  </w:r>
                </w:p>
                <w:p w14:paraId="4D87D0DE" w14:textId="77777777" w:rsidR="00E02F30" w:rsidRPr="00E02F30" w:rsidRDefault="00E02F30" w:rsidP="00E02F30">
                  <w:pPr>
                    <w:spacing w:line="218" w:lineRule="auto"/>
                    <w:ind w:left="300" w:hanging="283"/>
                    <w:jc w:val="center"/>
                    <w:rPr>
                      <w:rFonts w:cs="Arial"/>
                      <w:sz w:val="20"/>
                      <w:szCs w:val="20"/>
                    </w:rPr>
                  </w:pPr>
                  <w:r w:rsidRPr="00E02F30">
                    <w:rPr>
                      <w:rFonts w:cs="Arial"/>
                      <w:sz w:val="20"/>
                      <w:szCs w:val="20"/>
                    </w:rPr>
                    <w:t>— właściwości chemiczne substancji (np. prężność par, masa cząsteczkowa);</w:t>
                  </w:r>
                </w:p>
                <w:p w14:paraId="6E64C590" w14:textId="77777777" w:rsidR="00E02F30" w:rsidRPr="00E02F30" w:rsidRDefault="00E02F30" w:rsidP="00E02F30">
                  <w:pPr>
                    <w:spacing w:line="218" w:lineRule="auto"/>
                    <w:ind w:left="300" w:hanging="283"/>
                    <w:jc w:val="center"/>
                    <w:rPr>
                      <w:rFonts w:cs="Arial"/>
                      <w:sz w:val="20"/>
                      <w:szCs w:val="20"/>
                    </w:rPr>
                  </w:pPr>
                  <w:r w:rsidRPr="00E02F30">
                    <w:rPr>
                      <w:rFonts w:cs="Arial"/>
                      <w:sz w:val="20"/>
                      <w:szCs w:val="20"/>
                    </w:rPr>
                    <w:t>— dane operacyjne dotyczące procesu (np. czas pracy, ilość produktu, wentylacja);</w:t>
                  </w:r>
                </w:p>
                <w:p w14:paraId="2AFC1B40" w14:textId="77777777" w:rsidR="00E02F30" w:rsidRPr="00E02F30" w:rsidRDefault="00E02F30" w:rsidP="00E02F30">
                  <w:pPr>
                    <w:ind w:left="300" w:hanging="283"/>
                    <w:jc w:val="center"/>
                    <w:rPr>
                      <w:rFonts w:cs="Arial"/>
                      <w:sz w:val="20"/>
                      <w:szCs w:val="20"/>
                    </w:rPr>
                  </w:pPr>
                  <w:r w:rsidRPr="00E02F30">
                    <w:rPr>
                      <w:rFonts w:cs="Arial"/>
                      <w:sz w:val="20"/>
                      <w:szCs w:val="20"/>
                    </w:rPr>
                    <w:t>— charakterystyka źródła emisji (np. średnica zbiornika, kolor, kształt).</w:t>
                  </w:r>
                </w:p>
              </w:tc>
              <w:tc>
                <w:tcPr>
                  <w:tcW w:w="2619" w:type="dxa"/>
                  <w:vMerge/>
                  <w:tcBorders>
                    <w:top w:val="nil"/>
                    <w:left w:val="single" w:sz="4" w:space="0" w:color="000000"/>
                    <w:bottom w:val="single" w:sz="4" w:space="0" w:color="000000"/>
                    <w:right w:val="nil"/>
                  </w:tcBorders>
                </w:tcPr>
                <w:p w14:paraId="24AE3C7F" w14:textId="77777777" w:rsidR="00E02F30" w:rsidRPr="00E02F30" w:rsidRDefault="00E02F30" w:rsidP="00E02F30">
                  <w:pPr>
                    <w:rPr>
                      <w:rFonts w:cs="Arial"/>
                      <w:sz w:val="20"/>
                      <w:szCs w:val="20"/>
                    </w:rPr>
                  </w:pPr>
                </w:p>
              </w:tc>
            </w:tr>
          </w:tbl>
          <w:p w14:paraId="5EEAFF2E"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0894B4CD" w14:textId="77777777" w:rsidTr="00A1631B">
        <w:trPr>
          <w:trHeight w:val="284"/>
        </w:trPr>
        <w:tc>
          <w:tcPr>
            <w:tcW w:w="1695" w:type="dxa"/>
            <w:shd w:val="clear" w:color="auto" w:fill="auto"/>
            <w:vAlign w:val="center"/>
          </w:tcPr>
          <w:p w14:paraId="269780C4"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1D33A2DE"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937" w:type="dxa"/>
            <w:gridSpan w:val="5"/>
            <w:shd w:val="clear" w:color="auto" w:fill="auto"/>
          </w:tcPr>
          <w:p w14:paraId="60FBD2F2"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37D885E0" w14:textId="77777777" w:rsidR="00E02F30" w:rsidRPr="00E02F30" w:rsidRDefault="00E02F30" w:rsidP="00E02F30">
            <w:pPr>
              <w:spacing w:after="0" w:line="240" w:lineRule="auto"/>
              <w:jc w:val="both"/>
              <w:rPr>
                <w:rFonts w:eastAsia="Times New Roman" w:cs="Arial"/>
                <w:b/>
                <w:color w:val="FF0000"/>
                <w:sz w:val="20"/>
                <w:szCs w:val="20"/>
                <w:lang w:eastAsia="pl-PL"/>
              </w:rPr>
            </w:pPr>
            <w:r w:rsidRPr="00E02F30">
              <w:rPr>
                <w:rFonts w:eastAsia="Times New Roman" w:cs="Arial"/>
                <w:bCs/>
                <w:sz w:val="20"/>
                <w:szCs w:val="20"/>
                <w:lang w:eastAsia="pl-PL"/>
              </w:rPr>
              <w:t>W instalacjach występują emisje rozproszone tzw. emisje ulotne. Spółka dokonała oszacowania rocznej emisji rozproszonej z instalacji (z którego wynika, że nie przekracza progów wskazanych w BAT 22).</w:t>
            </w:r>
          </w:p>
        </w:tc>
      </w:tr>
      <w:tr w:rsidR="00E02F30" w:rsidRPr="00E02F30" w14:paraId="3C4FD5D4" w14:textId="77777777" w:rsidTr="00A1631B">
        <w:trPr>
          <w:trHeight w:val="284"/>
        </w:trPr>
        <w:tc>
          <w:tcPr>
            <w:tcW w:w="10632" w:type="dxa"/>
            <w:gridSpan w:val="6"/>
            <w:shd w:val="clear" w:color="auto" w:fill="auto"/>
          </w:tcPr>
          <w:p w14:paraId="4BE8C875"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21</w:t>
            </w:r>
          </w:p>
          <w:p w14:paraId="3C5EFBE2"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ramach BAT należy monitorować emisje rozproszone LZO i emisje powstałe w wyniku stosowania rozpuszczalników poprzez obliczanie, co najmniej raz na rok, bilansu masy wkładu rozpuszczalników i rozpuszczalników na wyjściu z zespołu urządzeń, zgodnie z definicją zawartą w części 7 załącznika VII do dyrektywy 2010/75/UE, oraz minimalizować niepewność danych dotyczących bilansu masy rozpuszczalnika za pomocą wszystkich poniższych technik.</w:t>
            </w:r>
          </w:p>
          <w:p w14:paraId="22F1DC9A" w14:textId="77777777" w:rsidR="00E02F30" w:rsidRPr="00E02F30" w:rsidRDefault="00E02F30" w:rsidP="00E02F30">
            <w:pPr>
              <w:spacing w:after="0" w:line="240" w:lineRule="auto"/>
              <w:rPr>
                <w:rFonts w:eastAsia="Times New Roman" w:cs="Arial"/>
                <w:bCs/>
                <w:sz w:val="20"/>
                <w:szCs w:val="20"/>
                <w:lang w:eastAsia="pl-PL"/>
              </w:rPr>
            </w:pPr>
          </w:p>
          <w:tbl>
            <w:tblPr>
              <w:tblStyle w:val="TableGrid"/>
              <w:tblW w:w="4500" w:type="pct"/>
              <w:tblInd w:w="1020" w:type="dxa"/>
              <w:tblLayout w:type="fixed"/>
              <w:tblCellMar>
                <w:top w:w="107" w:type="dxa"/>
              </w:tblCellMar>
              <w:tblLook w:val="04A0" w:firstRow="1" w:lastRow="0" w:firstColumn="1" w:lastColumn="0" w:noHBand="0" w:noVBand="1"/>
            </w:tblPr>
            <w:tblGrid>
              <w:gridCol w:w="514"/>
              <w:gridCol w:w="2865"/>
              <w:gridCol w:w="5995"/>
            </w:tblGrid>
            <w:tr w:rsidR="00E02F30" w:rsidRPr="00E02F30" w14:paraId="5ED2CA53" w14:textId="77777777" w:rsidTr="00A1631B">
              <w:trPr>
                <w:trHeight w:val="343"/>
              </w:trPr>
              <w:tc>
                <w:tcPr>
                  <w:tcW w:w="2943" w:type="dxa"/>
                  <w:gridSpan w:val="2"/>
                  <w:tcBorders>
                    <w:top w:val="single" w:sz="4" w:space="0" w:color="000000"/>
                    <w:left w:val="nil"/>
                    <w:bottom w:val="single" w:sz="4" w:space="0" w:color="000000"/>
                    <w:right w:val="single" w:sz="4" w:space="0" w:color="000000"/>
                  </w:tcBorders>
                </w:tcPr>
                <w:p w14:paraId="33A8CF12" w14:textId="77777777" w:rsidR="00E02F30" w:rsidRPr="00E02F30" w:rsidRDefault="00E02F30" w:rsidP="00E02F30">
                  <w:pPr>
                    <w:ind w:right="113"/>
                    <w:jc w:val="center"/>
                    <w:rPr>
                      <w:rFonts w:cs="Arial"/>
                      <w:sz w:val="20"/>
                      <w:szCs w:val="20"/>
                    </w:rPr>
                  </w:pPr>
                  <w:r w:rsidRPr="00E02F30">
                    <w:rPr>
                      <w:rFonts w:cs="Arial"/>
                      <w:sz w:val="20"/>
                      <w:szCs w:val="20"/>
                    </w:rPr>
                    <w:t>Technika</w:t>
                  </w:r>
                </w:p>
              </w:tc>
              <w:tc>
                <w:tcPr>
                  <w:tcW w:w="5221" w:type="dxa"/>
                  <w:tcBorders>
                    <w:top w:val="single" w:sz="4" w:space="0" w:color="000000"/>
                    <w:left w:val="single" w:sz="4" w:space="0" w:color="000000"/>
                    <w:bottom w:val="single" w:sz="4" w:space="0" w:color="000000"/>
                    <w:right w:val="nil"/>
                  </w:tcBorders>
                </w:tcPr>
                <w:p w14:paraId="6E1CB82F" w14:textId="77777777" w:rsidR="00E02F30" w:rsidRPr="00E02F30" w:rsidRDefault="00E02F30" w:rsidP="00E02F30">
                  <w:pPr>
                    <w:ind w:left="112"/>
                    <w:jc w:val="center"/>
                    <w:rPr>
                      <w:rFonts w:cs="Arial"/>
                      <w:sz w:val="20"/>
                      <w:szCs w:val="20"/>
                    </w:rPr>
                  </w:pPr>
                  <w:r w:rsidRPr="00E02F30">
                    <w:rPr>
                      <w:rFonts w:cs="Arial"/>
                      <w:sz w:val="20"/>
                      <w:szCs w:val="20"/>
                    </w:rPr>
                    <w:t>Opis</w:t>
                  </w:r>
                </w:p>
              </w:tc>
            </w:tr>
            <w:tr w:rsidR="00E02F30" w:rsidRPr="00E02F30" w14:paraId="0907E29E" w14:textId="77777777" w:rsidTr="00A1631B">
              <w:trPr>
                <w:trHeight w:val="3344"/>
              </w:trPr>
              <w:tc>
                <w:tcPr>
                  <w:tcW w:w="448" w:type="dxa"/>
                  <w:tcBorders>
                    <w:top w:val="single" w:sz="4" w:space="0" w:color="000000"/>
                    <w:left w:val="nil"/>
                    <w:bottom w:val="single" w:sz="4" w:space="0" w:color="000000"/>
                    <w:right w:val="single" w:sz="4" w:space="0" w:color="000000"/>
                  </w:tcBorders>
                  <w:vAlign w:val="center"/>
                </w:tcPr>
                <w:p w14:paraId="57A8B7AE" w14:textId="77777777" w:rsidR="00E02F30" w:rsidRPr="00E02F30" w:rsidRDefault="00E02F30" w:rsidP="00E02F30">
                  <w:pPr>
                    <w:rPr>
                      <w:rFonts w:cs="Arial"/>
                      <w:sz w:val="20"/>
                      <w:szCs w:val="20"/>
                    </w:rPr>
                  </w:pPr>
                  <w:r w:rsidRPr="00E02F30">
                    <w:rPr>
                      <w:rFonts w:cs="Arial"/>
                      <w:sz w:val="20"/>
                      <w:szCs w:val="20"/>
                    </w:rPr>
                    <w:t>a)</w:t>
                  </w:r>
                </w:p>
              </w:tc>
              <w:tc>
                <w:tcPr>
                  <w:tcW w:w="2494" w:type="dxa"/>
                  <w:tcBorders>
                    <w:top w:val="single" w:sz="4" w:space="0" w:color="000000"/>
                    <w:left w:val="single" w:sz="4" w:space="0" w:color="000000"/>
                    <w:bottom w:val="single" w:sz="4" w:space="0" w:color="000000"/>
                    <w:right w:val="single" w:sz="4" w:space="0" w:color="000000"/>
                  </w:tcBorders>
                  <w:vAlign w:val="center"/>
                </w:tcPr>
                <w:p w14:paraId="7E9B6CC4" w14:textId="77777777" w:rsidR="00E02F30" w:rsidRPr="00E02F30" w:rsidRDefault="00E02F30" w:rsidP="00E02F30">
                  <w:pPr>
                    <w:ind w:left="112"/>
                    <w:rPr>
                      <w:rFonts w:cs="Arial"/>
                      <w:sz w:val="20"/>
                      <w:szCs w:val="20"/>
                    </w:rPr>
                  </w:pPr>
                  <w:r w:rsidRPr="00E02F30">
                    <w:rPr>
                      <w:rFonts w:cs="Arial"/>
                      <w:sz w:val="20"/>
                      <w:szCs w:val="20"/>
                    </w:rPr>
                    <w:t>Pełna identyfikacja i oznaczanie ilościowe odpowiednich wkładów rozpuszczalników i rozpuszczalników na wyjściu z zespołu urządzeń, z uwzględnieniem powiązanej z tym niepewności</w:t>
                  </w:r>
                </w:p>
              </w:tc>
              <w:tc>
                <w:tcPr>
                  <w:tcW w:w="5221" w:type="dxa"/>
                  <w:tcBorders>
                    <w:top w:val="single" w:sz="4" w:space="0" w:color="000000"/>
                    <w:left w:val="single" w:sz="4" w:space="0" w:color="000000"/>
                    <w:bottom w:val="single" w:sz="4" w:space="0" w:color="000000"/>
                    <w:right w:val="nil"/>
                  </w:tcBorders>
                </w:tcPr>
                <w:p w14:paraId="2BA8A440" w14:textId="77777777" w:rsidR="00E02F30" w:rsidRPr="00E02F30" w:rsidRDefault="00E02F30" w:rsidP="00E02F30">
                  <w:pPr>
                    <w:ind w:left="112"/>
                    <w:jc w:val="both"/>
                    <w:rPr>
                      <w:rFonts w:cs="Arial"/>
                      <w:sz w:val="20"/>
                      <w:szCs w:val="20"/>
                    </w:rPr>
                  </w:pPr>
                  <w:r w:rsidRPr="00E02F30">
                    <w:rPr>
                      <w:rFonts w:cs="Arial"/>
                      <w:sz w:val="20"/>
                      <w:szCs w:val="20"/>
                    </w:rPr>
                    <w:t>Obejmuje to:</w:t>
                  </w:r>
                </w:p>
                <w:p w14:paraId="7FB1E744" w14:textId="77777777" w:rsidR="00E02F30" w:rsidRPr="00E02F30" w:rsidRDefault="00E02F30" w:rsidP="00E02F30">
                  <w:pPr>
                    <w:spacing w:after="1" w:line="218" w:lineRule="auto"/>
                    <w:ind w:left="395" w:hanging="283"/>
                    <w:jc w:val="both"/>
                    <w:rPr>
                      <w:rFonts w:cs="Arial"/>
                      <w:sz w:val="20"/>
                      <w:szCs w:val="20"/>
                    </w:rPr>
                  </w:pPr>
                  <w:r w:rsidRPr="00E02F30">
                    <w:rPr>
                      <w:rFonts w:cs="Arial"/>
                      <w:sz w:val="20"/>
                      <w:szCs w:val="20"/>
                    </w:rPr>
                    <w:t>— identyfikację i dokumentację wkładu rozpuszczalników i rozpuszczalników na wyjściu z zespołu urządzeń (np. emisje zorganizowane i emisje rozproszone do powietrza, emisje do wody, ilość rozpuszczalnika w odpadach);</w:t>
                  </w:r>
                </w:p>
                <w:p w14:paraId="6702087F" w14:textId="77777777" w:rsidR="00E02F30" w:rsidRPr="00E02F30" w:rsidRDefault="00E02F30" w:rsidP="00E02F30">
                  <w:pPr>
                    <w:spacing w:after="13" w:line="218" w:lineRule="auto"/>
                    <w:ind w:left="395" w:right="-1" w:hanging="283"/>
                    <w:jc w:val="both"/>
                    <w:rPr>
                      <w:rFonts w:cs="Arial"/>
                      <w:sz w:val="20"/>
                      <w:szCs w:val="20"/>
                    </w:rPr>
                  </w:pPr>
                  <w:r w:rsidRPr="00E02F30">
                    <w:rPr>
                      <w:rFonts w:cs="Arial"/>
                      <w:sz w:val="20"/>
                      <w:szCs w:val="20"/>
                    </w:rPr>
                    <w:t>— uzasadnione określenie ilościowe wszystkich odpowiednich wkładów rozpuszczalników i rozpuszczalników na wyjściu z zespołu urządzeń oraz rejestrowanie zastosowanej metody (np. pomiar, oszacowanie z zastosowaniem współczynników emisji, szacunki na podstawie parametrów eksploatacyjnych);</w:t>
                  </w:r>
                </w:p>
                <w:p w14:paraId="540CE673" w14:textId="77777777" w:rsidR="00E02F30" w:rsidRPr="00E02F30" w:rsidRDefault="00E02F30" w:rsidP="00E02F30">
                  <w:pPr>
                    <w:spacing w:after="13" w:line="218" w:lineRule="auto"/>
                    <w:ind w:left="395" w:hanging="283"/>
                    <w:jc w:val="both"/>
                    <w:rPr>
                      <w:rFonts w:cs="Arial"/>
                      <w:sz w:val="20"/>
                      <w:szCs w:val="20"/>
                    </w:rPr>
                  </w:pPr>
                  <w:r w:rsidRPr="00E02F30">
                    <w:rPr>
                      <w:rFonts w:cs="Arial"/>
                      <w:sz w:val="20"/>
                      <w:szCs w:val="20"/>
                    </w:rPr>
                    <w:t>— identyfikację głównego źródła niepewności w przypadku wymienionego wyżej określenia ilościowego oraz wdrożenie działań naprawczych w celu zmniejszenia tej niepewności;</w:t>
                  </w:r>
                </w:p>
                <w:p w14:paraId="0DF19C5A" w14:textId="77777777" w:rsidR="00E02F30" w:rsidRPr="00E02F30" w:rsidRDefault="00E02F30" w:rsidP="00E02F30">
                  <w:pPr>
                    <w:ind w:left="395" w:hanging="283"/>
                    <w:jc w:val="both"/>
                    <w:rPr>
                      <w:rFonts w:cs="Arial"/>
                      <w:sz w:val="20"/>
                      <w:szCs w:val="20"/>
                    </w:rPr>
                  </w:pPr>
                  <w:r w:rsidRPr="00E02F30">
                    <w:rPr>
                      <w:rFonts w:cs="Arial"/>
                      <w:sz w:val="20"/>
                      <w:szCs w:val="20"/>
                    </w:rPr>
                    <w:t>— regularne aktualizacje danych dotyczących wkładu rozpuszczalników i rozpuszczalnika na wyjściu z zespołu urządzeń.</w:t>
                  </w:r>
                </w:p>
              </w:tc>
            </w:tr>
            <w:tr w:rsidR="00E02F30" w:rsidRPr="00E02F30" w14:paraId="1EDD1C5B" w14:textId="77777777" w:rsidTr="00A1631B">
              <w:trPr>
                <w:trHeight w:val="998"/>
              </w:trPr>
              <w:tc>
                <w:tcPr>
                  <w:tcW w:w="448" w:type="dxa"/>
                  <w:tcBorders>
                    <w:top w:val="single" w:sz="4" w:space="0" w:color="000000"/>
                    <w:left w:val="nil"/>
                    <w:bottom w:val="single" w:sz="4" w:space="0" w:color="000000"/>
                    <w:right w:val="single" w:sz="4" w:space="0" w:color="000000"/>
                  </w:tcBorders>
                  <w:vAlign w:val="center"/>
                </w:tcPr>
                <w:p w14:paraId="0E8D8A8A" w14:textId="77777777" w:rsidR="00E02F30" w:rsidRPr="00E02F30" w:rsidRDefault="00E02F30" w:rsidP="00E02F30">
                  <w:pPr>
                    <w:rPr>
                      <w:rFonts w:cs="Arial"/>
                      <w:sz w:val="20"/>
                      <w:szCs w:val="20"/>
                    </w:rPr>
                  </w:pPr>
                  <w:r w:rsidRPr="00E02F30">
                    <w:rPr>
                      <w:rFonts w:cs="Arial"/>
                      <w:sz w:val="20"/>
                      <w:szCs w:val="20"/>
                    </w:rPr>
                    <w:t>b)</w:t>
                  </w:r>
                </w:p>
              </w:tc>
              <w:tc>
                <w:tcPr>
                  <w:tcW w:w="2494" w:type="dxa"/>
                  <w:tcBorders>
                    <w:top w:val="single" w:sz="4" w:space="0" w:color="000000"/>
                    <w:left w:val="single" w:sz="4" w:space="0" w:color="000000"/>
                    <w:bottom w:val="single" w:sz="4" w:space="0" w:color="000000"/>
                    <w:right w:val="single" w:sz="4" w:space="0" w:color="000000"/>
                  </w:tcBorders>
                  <w:vAlign w:val="center"/>
                </w:tcPr>
                <w:p w14:paraId="67087A04" w14:textId="77777777" w:rsidR="00E02F30" w:rsidRPr="00E02F30" w:rsidRDefault="00E02F30" w:rsidP="00E02F30">
                  <w:pPr>
                    <w:ind w:left="112"/>
                    <w:rPr>
                      <w:rFonts w:cs="Arial"/>
                      <w:sz w:val="20"/>
                      <w:szCs w:val="20"/>
                    </w:rPr>
                  </w:pPr>
                  <w:r w:rsidRPr="00E02F30">
                    <w:rPr>
                      <w:rFonts w:cs="Arial"/>
                      <w:sz w:val="20"/>
                      <w:szCs w:val="20"/>
                    </w:rPr>
                    <w:t>Wdrożenie systemu śledzenia rozpuszczalnika</w:t>
                  </w:r>
                </w:p>
              </w:tc>
              <w:tc>
                <w:tcPr>
                  <w:tcW w:w="5221" w:type="dxa"/>
                  <w:tcBorders>
                    <w:top w:val="single" w:sz="4" w:space="0" w:color="000000"/>
                    <w:left w:val="single" w:sz="4" w:space="0" w:color="000000"/>
                    <w:bottom w:val="single" w:sz="4" w:space="0" w:color="000000"/>
                    <w:right w:val="nil"/>
                  </w:tcBorders>
                </w:tcPr>
                <w:p w14:paraId="4B3DD9E6" w14:textId="77777777" w:rsidR="00E02F30" w:rsidRPr="00E02F30" w:rsidRDefault="00E02F30" w:rsidP="00E02F30">
                  <w:pPr>
                    <w:ind w:left="112"/>
                    <w:jc w:val="both"/>
                    <w:rPr>
                      <w:rFonts w:cs="Arial"/>
                      <w:sz w:val="20"/>
                      <w:szCs w:val="20"/>
                    </w:rPr>
                  </w:pPr>
                  <w:r w:rsidRPr="00E02F30">
                    <w:rPr>
                      <w:rFonts w:cs="Arial"/>
                      <w:sz w:val="20"/>
                      <w:szCs w:val="20"/>
                    </w:rPr>
                    <w:t>System śledzenia rozpuszczalnika ma na celu zachowanie kontroli nad zużytymi i niewykorzystanymi ilościami rozpuszczalników (np. za pomocą ważenia niewykorzystanych ilości zwróconych z obszaru stosowania do magazynu).</w:t>
                  </w:r>
                </w:p>
              </w:tc>
            </w:tr>
          </w:tbl>
          <w:p w14:paraId="239593B2"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3638FAFF" w14:textId="77777777" w:rsidTr="00A1631B">
        <w:trPr>
          <w:trHeight w:val="284"/>
        </w:trPr>
        <w:tc>
          <w:tcPr>
            <w:tcW w:w="1985" w:type="dxa"/>
            <w:gridSpan w:val="2"/>
            <w:shd w:val="clear" w:color="auto" w:fill="auto"/>
            <w:vAlign w:val="center"/>
          </w:tcPr>
          <w:p w14:paraId="5DCAE867"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C428EB6"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3069A70C"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603A4369" w14:textId="77777777" w:rsidR="00E02F30" w:rsidRPr="00E02F30" w:rsidRDefault="00E02F30" w:rsidP="00E02F30">
            <w:pPr>
              <w:spacing w:after="0" w:line="240" w:lineRule="auto"/>
              <w:rPr>
                <w:rFonts w:eastAsia="Times New Roman" w:cs="Arial"/>
                <w:b/>
                <w:color w:val="FF0000"/>
                <w:sz w:val="20"/>
                <w:szCs w:val="20"/>
                <w:lang w:eastAsia="pl-PL"/>
              </w:rPr>
            </w:pPr>
            <w:r w:rsidRPr="00E02F30">
              <w:rPr>
                <w:rFonts w:eastAsia="Times New Roman" w:cs="Arial"/>
                <w:bCs/>
                <w:sz w:val="20"/>
                <w:szCs w:val="20"/>
                <w:lang w:eastAsia="pl-PL"/>
              </w:rPr>
              <w:t>W instalacjach występują emisje rozproszone tzw. emisje ulotne. Spółka dokonała oszacowania rocznej emisji rozproszonej z instalacji (z którego wynika, że nie przekracza progów wskazanych w BAT 22).</w:t>
            </w:r>
          </w:p>
        </w:tc>
      </w:tr>
      <w:tr w:rsidR="00E02F30" w:rsidRPr="00E02F30" w14:paraId="775BCCAA" w14:textId="77777777" w:rsidTr="00A1631B">
        <w:trPr>
          <w:trHeight w:val="284"/>
        </w:trPr>
        <w:tc>
          <w:tcPr>
            <w:tcW w:w="10632" w:type="dxa"/>
            <w:gridSpan w:val="6"/>
            <w:shd w:val="clear" w:color="auto" w:fill="auto"/>
          </w:tcPr>
          <w:p w14:paraId="4301D909"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BAT 22</w:t>
            </w:r>
          </w:p>
          <w:p w14:paraId="38F0044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ramach BAT należy monitorować emisje rozproszone LZO co najmniej z podaną poniżej częstotliwością i zgodnie z normami EN. Jeżeli normy EN są niedostępne, w ramach BAT należy stosować normy ISO, normy krajowe lub inne międzynarodowe normy zapewniające uzyskanie danych o równoważnej jakości naukowej.</w:t>
            </w:r>
          </w:p>
          <w:p w14:paraId="6AE15270" w14:textId="77777777" w:rsidR="00E02F30" w:rsidRPr="00E02F30" w:rsidRDefault="00E02F30" w:rsidP="00E02F30">
            <w:pPr>
              <w:spacing w:after="0" w:line="240" w:lineRule="auto"/>
              <w:rPr>
                <w:rFonts w:eastAsia="Times New Roman" w:cs="Arial"/>
                <w:bCs/>
                <w:sz w:val="20"/>
                <w:szCs w:val="20"/>
                <w:lang w:eastAsia="pl-PL"/>
              </w:rPr>
            </w:pPr>
          </w:p>
          <w:tbl>
            <w:tblPr>
              <w:tblStyle w:val="TableGrid"/>
              <w:tblW w:w="4500" w:type="pct"/>
              <w:tblInd w:w="1020" w:type="dxa"/>
              <w:tblLayout w:type="fixed"/>
              <w:tblCellMar>
                <w:top w:w="9" w:type="dxa"/>
                <w:bottom w:w="9" w:type="dxa"/>
              </w:tblCellMar>
              <w:tblLook w:val="04A0" w:firstRow="1" w:lastRow="0" w:firstColumn="1" w:lastColumn="0" w:noHBand="0" w:noVBand="1"/>
            </w:tblPr>
            <w:tblGrid>
              <w:gridCol w:w="1686"/>
              <w:gridCol w:w="2571"/>
              <w:gridCol w:w="1888"/>
              <w:gridCol w:w="3229"/>
            </w:tblGrid>
            <w:tr w:rsidR="00E02F30" w:rsidRPr="00E02F30" w14:paraId="3B43B75D" w14:textId="77777777" w:rsidTr="00A1631B">
              <w:trPr>
                <w:trHeight w:val="727"/>
              </w:trPr>
              <w:tc>
                <w:tcPr>
                  <w:tcW w:w="1469" w:type="dxa"/>
                  <w:tcBorders>
                    <w:top w:val="single" w:sz="4" w:space="0" w:color="000000"/>
                    <w:left w:val="nil"/>
                    <w:bottom w:val="single" w:sz="4" w:space="0" w:color="000000"/>
                    <w:right w:val="single" w:sz="4" w:space="0" w:color="000000"/>
                  </w:tcBorders>
                </w:tcPr>
                <w:p w14:paraId="61247E6F" w14:textId="77777777" w:rsidR="00E02F30" w:rsidRPr="00E02F30" w:rsidRDefault="00E02F30" w:rsidP="00E02F30">
                  <w:pPr>
                    <w:spacing w:line="221" w:lineRule="auto"/>
                    <w:ind w:left="178" w:hanging="178"/>
                    <w:rPr>
                      <w:rFonts w:cs="Arial"/>
                      <w:sz w:val="20"/>
                      <w:szCs w:val="20"/>
                    </w:rPr>
                  </w:pPr>
                  <w:r w:rsidRPr="00E02F30">
                    <w:rPr>
                      <w:rFonts w:cs="Arial"/>
                      <w:sz w:val="20"/>
                      <w:szCs w:val="20"/>
                    </w:rPr>
                    <w:t xml:space="preserve">Rodzaj źródeł emisji rozproszonych </w:t>
                  </w:r>
                </w:p>
                <w:p w14:paraId="501349F5" w14:textId="77777777" w:rsidR="00E02F30" w:rsidRPr="00E02F30" w:rsidRDefault="00E02F30" w:rsidP="00E02F30">
                  <w:pPr>
                    <w:tabs>
                      <w:tab w:val="center" w:pos="554"/>
                      <w:tab w:val="center" w:pos="1013"/>
                    </w:tabs>
                    <w:rPr>
                      <w:rFonts w:cs="Arial"/>
                      <w:sz w:val="20"/>
                      <w:szCs w:val="20"/>
                    </w:rPr>
                  </w:pPr>
                  <w:r w:rsidRPr="00E02F30">
                    <w:rPr>
                      <w:rFonts w:cs="Arial"/>
                      <w:sz w:val="20"/>
                      <w:szCs w:val="20"/>
                    </w:rPr>
                    <w:tab/>
                    <w:t>LZO (</w:t>
                  </w:r>
                  <w:r w:rsidRPr="00E02F30">
                    <w:rPr>
                      <w:rFonts w:cs="Arial"/>
                      <w:sz w:val="20"/>
                      <w:szCs w:val="20"/>
                      <w:vertAlign w:val="superscript"/>
                    </w:rPr>
                    <w:t>1</w:t>
                  </w:r>
                  <w:r w:rsidRPr="00E02F30">
                    <w:rPr>
                      <w:rFonts w:cs="Arial"/>
                      <w:sz w:val="20"/>
                      <w:szCs w:val="20"/>
                    </w:rPr>
                    <w:t>)</w:t>
                  </w:r>
                  <w:r w:rsidRPr="00E02F30">
                    <w:rPr>
                      <w:rFonts w:cs="Arial"/>
                      <w:sz w:val="20"/>
                      <w:szCs w:val="20"/>
                    </w:rPr>
                    <w:tab/>
                    <w:t>(</w:t>
                  </w:r>
                  <w:r w:rsidRPr="00E02F30">
                    <w:rPr>
                      <w:rFonts w:cs="Arial"/>
                      <w:sz w:val="20"/>
                      <w:szCs w:val="20"/>
                      <w:vertAlign w:val="superscript"/>
                    </w:rPr>
                    <w:t>2</w:t>
                  </w:r>
                  <w:r w:rsidRPr="00E02F30">
                    <w:rPr>
                      <w:rFonts w:cs="Arial"/>
                      <w:sz w:val="20"/>
                      <w:szCs w:val="20"/>
                    </w:rPr>
                    <w:t>)</w:t>
                  </w:r>
                </w:p>
              </w:tc>
              <w:tc>
                <w:tcPr>
                  <w:tcW w:w="2239" w:type="dxa"/>
                  <w:tcBorders>
                    <w:top w:val="single" w:sz="4" w:space="0" w:color="000000"/>
                    <w:left w:val="single" w:sz="4" w:space="0" w:color="000000"/>
                    <w:bottom w:val="single" w:sz="4" w:space="0" w:color="000000"/>
                    <w:right w:val="single" w:sz="4" w:space="0" w:color="000000"/>
                  </w:tcBorders>
                  <w:vAlign w:val="center"/>
                </w:tcPr>
                <w:p w14:paraId="0F09097C" w14:textId="77777777" w:rsidR="00E02F30" w:rsidRPr="00E02F30" w:rsidRDefault="00E02F30" w:rsidP="00E02F30">
                  <w:pPr>
                    <w:jc w:val="center"/>
                    <w:rPr>
                      <w:rFonts w:cs="Arial"/>
                      <w:sz w:val="20"/>
                      <w:szCs w:val="20"/>
                    </w:rPr>
                  </w:pPr>
                  <w:r w:rsidRPr="00E02F30">
                    <w:rPr>
                      <w:rFonts w:cs="Arial"/>
                      <w:sz w:val="20"/>
                      <w:szCs w:val="20"/>
                    </w:rPr>
                    <w:t>Rodzaj LZO</w:t>
                  </w:r>
                </w:p>
              </w:tc>
              <w:tc>
                <w:tcPr>
                  <w:tcW w:w="1644" w:type="dxa"/>
                  <w:tcBorders>
                    <w:top w:val="single" w:sz="4" w:space="0" w:color="000000"/>
                    <w:left w:val="single" w:sz="4" w:space="0" w:color="000000"/>
                    <w:bottom w:val="single" w:sz="4" w:space="0" w:color="000000"/>
                    <w:right w:val="single" w:sz="4" w:space="0" w:color="000000"/>
                  </w:tcBorders>
                  <w:vAlign w:val="center"/>
                </w:tcPr>
                <w:p w14:paraId="68BD867A" w14:textId="77777777" w:rsidR="00E02F30" w:rsidRPr="00E02F30" w:rsidRDefault="00E02F30" w:rsidP="00E02F30">
                  <w:pPr>
                    <w:ind w:left="2"/>
                    <w:jc w:val="center"/>
                    <w:rPr>
                      <w:rFonts w:cs="Arial"/>
                      <w:sz w:val="20"/>
                      <w:szCs w:val="20"/>
                    </w:rPr>
                  </w:pPr>
                  <w:r w:rsidRPr="00E02F30">
                    <w:rPr>
                      <w:rFonts w:cs="Arial"/>
                      <w:sz w:val="20"/>
                      <w:szCs w:val="20"/>
                    </w:rPr>
                    <w:t>Normy</w:t>
                  </w:r>
                </w:p>
              </w:tc>
              <w:tc>
                <w:tcPr>
                  <w:tcW w:w="2812" w:type="dxa"/>
                  <w:tcBorders>
                    <w:top w:val="single" w:sz="4" w:space="0" w:color="000000"/>
                    <w:left w:val="single" w:sz="4" w:space="0" w:color="000000"/>
                    <w:bottom w:val="single" w:sz="4" w:space="0" w:color="000000"/>
                    <w:right w:val="nil"/>
                  </w:tcBorders>
                  <w:vAlign w:val="center"/>
                </w:tcPr>
                <w:p w14:paraId="49DCEB82" w14:textId="77777777" w:rsidR="00E02F30" w:rsidRPr="00E02F30" w:rsidRDefault="00E02F30" w:rsidP="00E02F30">
                  <w:pPr>
                    <w:ind w:left="117"/>
                    <w:jc w:val="center"/>
                    <w:rPr>
                      <w:rFonts w:cs="Arial"/>
                      <w:sz w:val="20"/>
                      <w:szCs w:val="20"/>
                    </w:rPr>
                  </w:pPr>
                  <w:r w:rsidRPr="00E02F30">
                    <w:rPr>
                      <w:rFonts w:cs="Arial"/>
                      <w:sz w:val="20"/>
                      <w:szCs w:val="20"/>
                    </w:rPr>
                    <w:t>Minimalna częstotliwość monitorowania</w:t>
                  </w:r>
                </w:p>
              </w:tc>
            </w:tr>
            <w:tr w:rsidR="00E02F30" w:rsidRPr="00E02F30" w14:paraId="1967A4A1" w14:textId="77777777" w:rsidTr="00A1631B">
              <w:trPr>
                <w:trHeight w:val="785"/>
              </w:trPr>
              <w:tc>
                <w:tcPr>
                  <w:tcW w:w="1469" w:type="dxa"/>
                  <w:vMerge w:val="restart"/>
                  <w:tcBorders>
                    <w:top w:val="single" w:sz="4" w:space="0" w:color="000000"/>
                    <w:left w:val="nil"/>
                    <w:bottom w:val="single" w:sz="4" w:space="0" w:color="000000"/>
                    <w:right w:val="single" w:sz="4" w:space="0" w:color="000000"/>
                  </w:tcBorders>
                  <w:vAlign w:val="center"/>
                </w:tcPr>
                <w:p w14:paraId="2FDE3C29" w14:textId="77777777" w:rsidR="00E02F30" w:rsidRPr="00E02F30" w:rsidRDefault="00E02F30" w:rsidP="00E02F30">
                  <w:pPr>
                    <w:rPr>
                      <w:rFonts w:cs="Arial"/>
                      <w:sz w:val="20"/>
                      <w:szCs w:val="20"/>
                    </w:rPr>
                  </w:pPr>
                  <w:r w:rsidRPr="00E02F30">
                    <w:rPr>
                      <w:rFonts w:cs="Arial"/>
                      <w:sz w:val="20"/>
                      <w:szCs w:val="20"/>
                    </w:rPr>
                    <w:t>Źródła emisji ulotnych</w:t>
                  </w:r>
                </w:p>
              </w:tc>
              <w:tc>
                <w:tcPr>
                  <w:tcW w:w="2239" w:type="dxa"/>
                  <w:tcBorders>
                    <w:top w:val="single" w:sz="4" w:space="0" w:color="000000"/>
                    <w:left w:val="single" w:sz="4" w:space="0" w:color="000000"/>
                    <w:bottom w:val="single" w:sz="4" w:space="0" w:color="000000"/>
                    <w:right w:val="single" w:sz="4" w:space="0" w:color="000000"/>
                  </w:tcBorders>
                </w:tcPr>
                <w:p w14:paraId="7BB6AE68" w14:textId="77777777" w:rsidR="00E02F30" w:rsidRPr="00E02F30" w:rsidRDefault="00E02F30" w:rsidP="00E02F30">
                  <w:pPr>
                    <w:ind w:left="112" w:right="85"/>
                    <w:rPr>
                      <w:rFonts w:cs="Arial"/>
                      <w:sz w:val="20"/>
                      <w:szCs w:val="20"/>
                    </w:rPr>
                  </w:pPr>
                  <w:r w:rsidRPr="00E02F30">
                    <w:rPr>
                      <w:rFonts w:cs="Arial"/>
                      <w:sz w:val="20"/>
                      <w:szCs w:val="20"/>
                    </w:rPr>
                    <w:t>LZO sklasyfikowane jako substancje CMR kategorii 1 A lub 1B</w:t>
                  </w:r>
                </w:p>
              </w:tc>
              <w:tc>
                <w:tcPr>
                  <w:tcW w:w="1644" w:type="dxa"/>
                  <w:vMerge w:val="restart"/>
                  <w:tcBorders>
                    <w:top w:val="single" w:sz="4" w:space="0" w:color="000000"/>
                    <w:left w:val="single" w:sz="4" w:space="0" w:color="000000"/>
                    <w:bottom w:val="single" w:sz="4" w:space="0" w:color="000000"/>
                    <w:right w:val="single" w:sz="4" w:space="0" w:color="000000"/>
                  </w:tcBorders>
                  <w:vAlign w:val="center"/>
                </w:tcPr>
                <w:p w14:paraId="2A4DD0DB" w14:textId="77777777" w:rsidR="00E02F30" w:rsidRPr="00E02F30" w:rsidRDefault="00E02F30" w:rsidP="00E02F30">
                  <w:pPr>
                    <w:jc w:val="center"/>
                    <w:rPr>
                      <w:rFonts w:cs="Arial"/>
                      <w:sz w:val="20"/>
                      <w:szCs w:val="20"/>
                    </w:rPr>
                  </w:pPr>
                  <w:r w:rsidRPr="00E02F30">
                    <w:rPr>
                      <w:rFonts w:cs="Arial"/>
                      <w:sz w:val="20"/>
                      <w:szCs w:val="20"/>
                    </w:rPr>
                    <w:t>EN 15446 (</w:t>
                  </w:r>
                  <w:r w:rsidRPr="00E02F30">
                    <w:rPr>
                      <w:rFonts w:cs="Arial"/>
                      <w:sz w:val="20"/>
                      <w:szCs w:val="20"/>
                      <w:vertAlign w:val="superscript"/>
                    </w:rPr>
                    <w:t>8</w:t>
                  </w:r>
                  <w:r w:rsidRPr="00E02F30">
                    <w:rPr>
                      <w:rFonts w:cs="Arial"/>
                      <w:sz w:val="20"/>
                      <w:szCs w:val="20"/>
                    </w:rPr>
                    <w:t>)</w:t>
                  </w:r>
                </w:p>
              </w:tc>
              <w:tc>
                <w:tcPr>
                  <w:tcW w:w="2812" w:type="dxa"/>
                  <w:tcBorders>
                    <w:top w:val="single" w:sz="4" w:space="0" w:color="000000"/>
                    <w:left w:val="single" w:sz="4" w:space="0" w:color="000000"/>
                    <w:bottom w:val="single" w:sz="4" w:space="0" w:color="000000"/>
                    <w:right w:val="nil"/>
                  </w:tcBorders>
                  <w:vAlign w:val="center"/>
                </w:tcPr>
                <w:p w14:paraId="06522BD1" w14:textId="77777777" w:rsidR="00E02F30" w:rsidRPr="00E02F30" w:rsidRDefault="00E02F30" w:rsidP="00E02F30">
                  <w:pPr>
                    <w:ind w:left="111"/>
                    <w:jc w:val="center"/>
                    <w:rPr>
                      <w:rFonts w:cs="Arial"/>
                      <w:sz w:val="20"/>
                      <w:szCs w:val="20"/>
                    </w:rPr>
                  </w:pPr>
                  <w:r w:rsidRPr="00E02F30">
                    <w:rPr>
                      <w:rFonts w:cs="Arial"/>
                      <w:sz w:val="20"/>
                      <w:szCs w:val="20"/>
                    </w:rPr>
                    <w:t>Raz na rok (</w:t>
                  </w:r>
                  <w:r w:rsidRPr="00E02F30">
                    <w:rPr>
                      <w:rFonts w:cs="Arial"/>
                      <w:sz w:val="20"/>
                      <w:szCs w:val="20"/>
                      <w:vertAlign w:val="superscript"/>
                    </w:rPr>
                    <w:t>3</w:t>
                  </w:r>
                  <w:r w:rsidRPr="00E02F30">
                    <w:rPr>
                      <w:rFonts w:cs="Arial"/>
                      <w:sz w:val="20"/>
                      <w:szCs w:val="20"/>
                    </w:rPr>
                    <w:t>) (</w:t>
                  </w:r>
                  <w:r w:rsidRPr="00E02F30">
                    <w:rPr>
                      <w:rFonts w:cs="Arial"/>
                      <w:sz w:val="20"/>
                      <w:szCs w:val="20"/>
                      <w:vertAlign w:val="superscript"/>
                    </w:rPr>
                    <w:t>4</w:t>
                  </w:r>
                  <w:r w:rsidRPr="00E02F30">
                    <w:rPr>
                      <w:rFonts w:cs="Arial"/>
                      <w:sz w:val="20"/>
                      <w:szCs w:val="20"/>
                    </w:rPr>
                    <w:t>) (</w:t>
                  </w:r>
                  <w:r w:rsidRPr="00E02F30">
                    <w:rPr>
                      <w:rFonts w:cs="Arial"/>
                      <w:sz w:val="20"/>
                      <w:szCs w:val="20"/>
                      <w:vertAlign w:val="superscript"/>
                    </w:rPr>
                    <w:t>5</w:t>
                  </w:r>
                  <w:r w:rsidRPr="00E02F30">
                    <w:rPr>
                      <w:rFonts w:cs="Arial"/>
                      <w:sz w:val="20"/>
                      <w:szCs w:val="20"/>
                    </w:rPr>
                    <w:t>)</w:t>
                  </w:r>
                </w:p>
              </w:tc>
            </w:tr>
            <w:tr w:rsidR="00E02F30" w:rsidRPr="00E02F30" w14:paraId="4B4706C4" w14:textId="77777777" w:rsidTr="00A1631B">
              <w:trPr>
                <w:trHeight w:val="785"/>
              </w:trPr>
              <w:tc>
                <w:tcPr>
                  <w:tcW w:w="2255" w:type="dxa"/>
                  <w:vMerge/>
                  <w:tcBorders>
                    <w:top w:val="nil"/>
                    <w:left w:val="nil"/>
                    <w:bottom w:val="single" w:sz="4" w:space="0" w:color="000000"/>
                    <w:right w:val="single" w:sz="4" w:space="0" w:color="000000"/>
                  </w:tcBorders>
                </w:tcPr>
                <w:p w14:paraId="382374B4" w14:textId="77777777" w:rsidR="00E02F30" w:rsidRPr="00E02F30" w:rsidRDefault="00E02F30" w:rsidP="00E02F30">
                  <w:pPr>
                    <w:rPr>
                      <w:rFonts w:cs="Arial"/>
                      <w:sz w:val="20"/>
                      <w:szCs w:val="20"/>
                    </w:rPr>
                  </w:pPr>
                </w:p>
              </w:tc>
              <w:tc>
                <w:tcPr>
                  <w:tcW w:w="2239" w:type="dxa"/>
                  <w:tcBorders>
                    <w:top w:val="single" w:sz="4" w:space="0" w:color="000000"/>
                    <w:left w:val="single" w:sz="4" w:space="0" w:color="000000"/>
                    <w:bottom w:val="single" w:sz="4" w:space="0" w:color="000000"/>
                    <w:right w:val="single" w:sz="4" w:space="0" w:color="000000"/>
                  </w:tcBorders>
                </w:tcPr>
                <w:p w14:paraId="4340EA6B" w14:textId="77777777" w:rsidR="00E02F30" w:rsidRPr="00E02F30" w:rsidRDefault="00E02F30" w:rsidP="00E02F30">
                  <w:pPr>
                    <w:ind w:left="112" w:right="23"/>
                    <w:rPr>
                      <w:rFonts w:cs="Arial"/>
                      <w:sz w:val="20"/>
                      <w:szCs w:val="20"/>
                    </w:rPr>
                  </w:pPr>
                  <w:r w:rsidRPr="00E02F30">
                    <w:rPr>
                      <w:rFonts w:cs="Arial"/>
                      <w:sz w:val="20"/>
                      <w:szCs w:val="20"/>
                    </w:rPr>
                    <w:t>LZO niesklasyfikowane jako substancje CMR kategorii 1 A lub 1B</w:t>
                  </w:r>
                </w:p>
              </w:tc>
              <w:tc>
                <w:tcPr>
                  <w:tcW w:w="2524" w:type="dxa"/>
                  <w:vMerge/>
                  <w:tcBorders>
                    <w:top w:val="nil"/>
                    <w:left w:val="single" w:sz="4" w:space="0" w:color="000000"/>
                    <w:bottom w:val="single" w:sz="4" w:space="0" w:color="000000"/>
                    <w:right w:val="single" w:sz="4" w:space="0" w:color="000000"/>
                  </w:tcBorders>
                </w:tcPr>
                <w:p w14:paraId="2C6DDA39" w14:textId="77777777" w:rsidR="00E02F30" w:rsidRPr="00E02F30" w:rsidRDefault="00E02F30" w:rsidP="00E02F30">
                  <w:pPr>
                    <w:rPr>
                      <w:rFonts w:cs="Arial"/>
                      <w:sz w:val="20"/>
                      <w:szCs w:val="20"/>
                    </w:rPr>
                  </w:pPr>
                </w:p>
              </w:tc>
              <w:tc>
                <w:tcPr>
                  <w:tcW w:w="2812" w:type="dxa"/>
                  <w:tcBorders>
                    <w:top w:val="single" w:sz="4" w:space="0" w:color="000000"/>
                    <w:left w:val="single" w:sz="4" w:space="0" w:color="000000"/>
                    <w:bottom w:val="single" w:sz="4" w:space="0" w:color="000000"/>
                    <w:right w:val="nil"/>
                  </w:tcBorders>
                </w:tcPr>
                <w:p w14:paraId="0D597DE6" w14:textId="77777777" w:rsidR="00E02F30" w:rsidRPr="00E02F30" w:rsidRDefault="00E02F30" w:rsidP="00E02F30">
                  <w:pPr>
                    <w:spacing w:line="218" w:lineRule="auto"/>
                    <w:ind w:left="112" w:firstLine="124"/>
                    <w:jc w:val="center"/>
                    <w:rPr>
                      <w:rFonts w:cs="Arial"/>
                      <w:sz w:val="20"/>
                      <w:szCs w:val="20"/>
                    </w:rPr>
                  </w:pPr>
                  <w:r w:rsidRPr="00E02F30">
                    <w:rPr>
                      <w:rFonts w:cs="Arial"/>
                      <w:sz w:val="20"/>
                      <w:szCs w:val="20"/>
                    </w:rPr>
                    <w:t xml:space="preserve">Raz w okresie objętym zakresem każdego programu LDAR (zob. BAT </w:t>
                  </w:r>
                </w:p>
                <w:p w14:paraId="3D3F9514" w14:textId="77777777" w:rsidR="00E02F30" w:rsidRPr="00E02F30" w:rsidRDefault="00E02F30" w:rsidP="00E02F30">
                  <w:pPr>
                    <w:ind w:left="112"/>
                    <w:jc w:val="center"/>
                    <w:rPr>
                      <w:rFonts w:cs="Arial"/>
                      <w:sz w:val="20"/>
                      <w:szCs w:val="20"/>
                    </w:rPr>
                  </w:pPr>
                  <w:r w:rsidRPr="00E02F30">
                    <w:rPr>
                      <w:rFonts w:cs="Arial"/>
                      <w:sz w:val="20"/>
                      <w:szCs w:val="20"/>
                    </w:rPr>
                    <w:t>19 pkt (iii)) (</w:t>
                  </w:r>
                  <w:r w:rsidRPr="00E02F30">
                    <w:rPr>
                      <w:rFonts w:cs="Arial"/>
                      <w:sz w:val="20"/>
                      <w:szCs w:val="20"/>
                      <w:vertAlign w:val="superscript"/>
                    </w:rPr>
                    <w:t>6</w:t>
                  </w:r>
                  <w:r w:rsidRPr="00E02F30">
                    <w:rPr>
                      <w:rFonts w:cs="Arial"/>
                      <w:sz w:val="20"/>
                      <w:szCs w:val="20"/>
                    </w:rPr>
                    <w:t>)</w:t>
                  </w:r>
                </w:p>
              </w:tc>
            </w:tr>
            <w:tr w:rsidR="00E02F30" w:rsidRPr="00E02F30" w14:paraId="2F2652F9" w14:textId="77777777" w:rsidTr="00A1631B">
              <w:trPr>
                <w:trHeight w:val="785"/>
              </w:trPr>
              <w:tc>
                <w:tcPr>
                  <w:tcW w:w="1469" w:type="dxa"/>
                  <w:vMerge w:val="restart"/>
                  <w:tcBorders>
                    <w:top w:val="single" w:sz="4" w:space="0" w:color="000000"/>
                    <w:left w:val="nil"/>
                    <w:bottom w:val="nil"/>
                    <w:right w:val="single" w:sz="4" w:space="0" w:color="000000"/>
                  </w:tcBorders>
                  <w:vAlign w:val="bottom"/>
                </w:tcPr>
                <w:p w14:paraId="7EDB799F" w14:textId="77777777" w:rsidR="00E02F30" w:rsidRPr="00E02F30" w:rsidRDefault="00E02F30" w:rsidP="00E02F30">
                  <w:pPr>
                    <w:rPr>
                      <w:rFonts w:cs="Arial"/>
                      <w:sz w:val="20"/>
                      <w:szCs w:val="20"/>
                    </w:rPr>
                  </w:pPr>
                  <w:r w:rsidRPr="00E02F30">
                    <w:rPr>
                      <w:rFonts w:cs="Arial"/>
                      <w:sz w:val="20"/>
                      <w:szCs w:val="20"/>
                    </w:rPr>
                    <w:t>Źródła emisji nieulotnych</w:t>
                  </w:r>
                </w:p>
              </w:tc>
              <w:tc>
                <w:tcPr>
                  <w:tcW w:w="2239" w:type="dxa"/>
                  <w:tcBorders>
                    <w:top w:val="single" w:sz="4" w:space="0" w:color="000000"/>
                    <w:left w:val="single" w:sz="4" w:space="0" w:color="000000"/>
                    <w:bottom w:val="single" w:sz="4" w:space="0" w:color="000000"/>
                    <w:right w:val="single" w:sz="4" w:space="0" w:color="000000"/>
                  </w:tcBorders>
                </w:tcPr>
                <w:p w14:paraId="44D5C298" w14:textId="77777777" w:rsidR="00E02F30" w:rsidRPr="00E02F30" w:rsidRDefault="00E02F30" w:rsidP="00E02F30">
                  <w:pPr>
                    <w:ind w:left="112" w:right="85"/>
                    <w:rPr>
                      <w:rFonts w:cs="Arial"/>
                      <w:sz w:val="20"/>
                      <w:szCs w:val="20"/>
                    </w:rPr>
                  </w:pPr>
                  <w:r w:rsidRPr="00E02F30">
                    <w:rPr>
                      <w:rFonts w:cs="Arial"/>
                      <w:sz w:val="20"/>
                      <w:szCs w:val="20"/>
                    </w:rPr>
                    <w:t>LZO sklasyfikowane jako substancje CMR kategorii 1 A lub 1B</w:t>
                  </w:r>
                </w:p>
              </w:tc>
              <w:tc>
                <w:tcPr>
                  <w:tcW w:w="1644" w:type="dxa"/>
                  <w:vMerge w:val="restart"/>
                  <w:tcBorders>
                    <w:top w:val="single" w:sz="4" w:space="0" w:color="000000"/>
                    <w:left w:val="single" w:sz="4" w:space="0" w:color="000000"/>
                    <w:bottom w:val="nil"/>
                    <w:right w:val="single" w:sz="4" w:space="0" w:color="000000"/>
                  </w:tcBorders>
                  <w:vAlign w:val="bottom"/>
                </w:tcPr>
                <w:p w14:paraId="5797288B" w14:textId="77777777" w:rsidR="00E02F30" w:rsidRPr="00E02F30" w:rsidRDefault="00E02F30" w:rsidP="00E02F30">
                  <w:pPr>
                    <w:ind w:left="1"/>
                    <w:jc w:val="center"/>
                    <w:rPr>
                      <w:rFonts w:cs="Arial"/>
                      <w:sz w:val="20"/>
                      <w:szCs w:val="20"/>
                    </w:rPr>
                  </w:pPr>
                  <w:r w:rsidRPr="00E02F30">
                    <w:rPr>
                      <w:rFonts w:cs="Arial"/>
                      <w:sz w:val="20"/>
                      <w:szCs w:val="20"/>
                    </w:rPr>
                    <w:t>EN 17628</w:t>
                  </w:r>
                </w:p>
              </w:tc>
              <w:tc>
                <w:tcPr>
                  <w:tcW w:w="2812" w:type="dxa"/>
                  <w:tcBorders>
                    <w:top w:val="single" w:sz="4" w:space="0" w:color="000000"/>
                    <w:left w:val="single" w:sz="4" w:space="0" w:color="000000"/>
                    <w:bottom w:val="single" w:sz="4" w:space="0" w:color="000000"/>
                    <w:right w:val="nil"/>
                  </w:tcBorders>
                  <w:vAlign w:val="center"/>
                </w:tcPr>
                <w:p w14:paraId="5CFB48D7" w14:textId="77777777" w:rsidR="00E02F30" w:rsidRPr="00E02F30" w:rsidRDefault="00E02F30" w:rsidP="00E02F30">
                  <w:pPr>
                    <w:ind w:left="112"/>
                    <w:jc w:val="center"/>
                    <w:rPr>
                      <w:rFonts w:cs="Arial"/>
                      <w:sz w:val="20"/>
                      <w:szCs w:val="20"/>
                    </w:rPr>
                  </w:pPr>
                  <w:r w:rsidRPr="00E02F30">
                    <w:rPr>
                      <w:rFonts w:cs="Arial"/>
                      <w:sz w:val="20"/>
                      <w:szCs w:val="20"/>
                    </w:rPr>
                    <w:t>Raz na rok</w:t>
                  </w:r>
                </w:p>
              </w:tc>
            </w:tr>
            <w:tr w:rsidR="00E02F30" w:rsidRPr="00E02F30" w14:paraId="4E7B06AF" w14:textId="77777777" w:rsidTr="00A1631B">
              <w:trPr>
                <w:trHeight w:val="311"/>
              </w:trPr>
              <w:tc>
                <w:tcPr>
                  <w:tcW w:w="2255" w:type="dxa"/>
                  <w:vMerge/>
                  <w:tcBorders>
                    <w:top w:val="nil"/>
                    <w:left w:val="nil"/>
                    <w:bottom w:val="nil"/>
                    <w:right w:val="single" w:sz="4" w:space="0" w:color="000000"/>
                  </w:tcBorders>
                </w:tcPr>
                <w:p w14:paraId="6C49DF64" w14:textId="77777777" w:rsidR="00E02F30" w:rsidRPr="00E02F30" w:rsidRDefault="00E02F30" w:rsidP="00E02F30">
                  <w:pPr>
                    <w:rPr>
                      <w:rFonts w:cs="Arial"/>
                      <w:sz w:val="20"/>
                      <w:szCs w:val="20"/>
                    </w:rPr>
                  </w:pPr>
                </w:p>
              </w:tc>
              <w:tc>
                <w:tcPr>
                  <w:tcW w:w="2239" w:type="dxa"/>
                  <w:tcBorders>
                    <w:top w:val="single" w:sz="4" w:space="0" w:color="000000"/>
                    <w:left w:val="single" w:sz="4" w:space="0" w:color="000000"/>
                    <w:bottom w:val="nil"/>
                    <w:right w:val="single" w:sz="4" w:space="0" w:color="000000"/>
                  </w:tcBorders>
                </w:tcPr>
                <w:p w14:paraId="690BDD5C" w14:textId="77777777" w:rsidR="00E02F30" w:rsidRPr="00E02F30" w:rsidRDefault="00E02F30" w:rsidP="00E02F30">
                  <w:pPr>
                    <w:ind w:left="112"/>
                    <w:rPr>
                      <w:rFonts w:cs="Arial"/>
                      <w:sz w:val="20"/>
                      <w:szCs w:val="20"/>
                    </w:rPr>
                  </w:pPr>
                  <w:r w:rsidRPr="00E02F30">
                    <w:rPr>
                      <w:rFonts w:cs="Arial"/>
                      <w:sz w:val="20"/>
                      <w:szCs w:val="20"/>
                    </w:rPr>
                    <w:t xml:space="preserve">LZO niesklasyfikowane </w:t>
                  </w:r>
                </w:p>
              </w:tc>
              <w:tc>
                <w:tcPr>
                  <w:tcW w:w="2524" w:type="dxa"/>
                  <w:vMerge/>
                  <w:tcBorders>
                    <w:top w:val="nil"/>
                    <w:left w:val="single" w:sz="4" w:space="0" w:color="000000"/>
                    <w:bottom w:val="nil"/>
                    <w:right w:val="single" w:sz="4" w:space="0" w:color="000000"/>
                  </w:tcBorders>
                </w:tcPr>
                <w:p w14:paraId="07381121" w14:textId="77777777" w:rsidR="00E02F30" w:rsidRPr="00E02F30" w:rsidRDefault="00E02F30" w:rsidP="00E02F30">
                  <w:pPr>
                    <w:rPr>
                      <w:rFonts w:cs="Arial"/>
                      <w:sz w:val="20"/>
                      <w:szCs w:val="20"/>
                    </w:rPr>
                  </w:pPr>
                </w:p>
              </w:tc>
              <w:tc>
                <w:tcPr>
                  <w:tcW w:w="2812" w:type="dxa"/>
                  <w:tcBorders>
                    <w:top w:val="single" w:sz="4" w:space="0" w:color="000000"/>
                    <w:left w:val="single" w:sz="4" w:space="0" w:color="000000"/>
                    <w:bottom w:val="nil"/>
                    <w:right w:val="nil"/>
                  </w:tcBorders>
                </w:tcPr>
                <w:p w14:paraId="0CF5D863" w14:textId="77777777" w:rsidR="00E02F30" w:rsidRPr="00E02F30" w:rsidRDefault="00E02F30" w:rsidP="00E02F30">
                  <w:pPr>
                    <w:rPr>
                      <w:rFonts w:cs="Arial"/>
                      <w:sz w:val="20"/>
                      <w:szCs w:val="20"/>
                    </w:rPr>
                  </w:pPr>
                </w:p>
              </w:tc>
            </w:tr>
            <w:tr w:rsidR="00E02F30" w:rsidRPr="00E02F30" w14:paraId="520F9211" w14:textId="77777777" w:rsidTr="00A1631B">
              <w:trPr>
                <w:trHeight w:val="474"/>
              </w:trPr>
              <w:tc>
                <w:tcPr>
                  <w:tcW w:w="1469" w:type="dxa"/>
                  <w:tcBorders>
                    <w:top w:val="nil"/>
                    <w:left w:val="nil"/>
                    <w:bottom w:val="single" w:sz="4" w:space="0" w:color="000000"/>
                    <w:right w:val="single" w:sz="4" w:space="0" w:color="000000"/>
                  </w:tcBorders>
                </w:tcPr>
                <w:p w14:paraId="60BC54AB" w14:textId="77777777" w:rsidR="00E02F30" w:rsidRPr="00E02F30" w:rsidRDefault="00E02F30" w:rsidP="00E02F30">
                  <w:pPr>
                    <w:rPr>
                      <w:rFonts w:cs="Arial"/>
                      <w:sz w:val="20"/>
                      <w:szCs w:val="20"/>
                    </w:rPr>
                  </w:pPr>
                </w:p>
              </w:tc>
              <w:tc>
                <w:tcPr>
                  <w:tcW w:w="2239" w:type="dxa"/>
                  <w:tcBorders>
                    <w:top w:val="nil"/>
                    <w:left w:val="single" w:sz="4" w:space="0" w:color="000000"/>
                    <w:bottom w:val="single" w:sz="4" w:space="0" w:color="000000"/>
                    <w:right w:val="single" w:sz="4" w:space="0" w:color="000000"/>
                  </w:tcBorders>
                </w:tcPr>
                <w:p w14:paraId="34090FF2" w14:textId="77777777" w:rsidR="00E02F30" w:rsidRPr="00E02F30" w:rsidRDefault="00E02F30" w:rsidP="00E02F30">
                  <w:pPr>
                    <w:ind w:left="112"/>
                    <w:rPr>
                      <w:rFonts w:cs="Arial"/>
                      <w:sz w:val="20"/>
                      <w:szCs w:val="20"/>
                    </w:rPr>
                  </w:pPr>
                  <w:r w:rsidRPr="00E02F30">
                    <w:rPr>
                      <w:rFonts w:cs="Arial"/>
                      <w:sz w:val="20"/>
                      <w:szCs w:val="20"/>
                    </w:rPr>
                    <w:t>jako substancje CMR kategorii 1 A lub 1B</w:t>
                  </w:r>
                </w:p>
              </w:tc>
              <w:tc>
                <w:tcPr>
                  <w:tcW w:w="1644" w:type="dxa"/>
                  <w:tcBorders>
                    <w:top w:val="nil"/>
                    <w:left w:val="single" w:sz="4" w:space="0" w:color="000000"/>
                    <w:bottom w:val="single" w:sz="4" w:space="0" w:color="000000"/>
                    <w:right w:val="single" w:sz="4" w:space="0" w:color="000000"/>
                  </w:tcBorders>
                </w:tcPr>
                <w:p w14:paraId="5AB57900" w14:textId="77777777" w:rsidR="00E02F30" w:rsidRPr="00E02F30" w:rsidRDefault="00E02F30" w:rsidP="00E02F30">
                  <w:pPr>
                    <w:rPr>
                      <w:rFonts w:cs="Arial"/>
                      <w:sz w:val="20"/>
                      <w:szCs w:val="20"/>
                    </w:rPr>
                  </w:pPr>
                </w:p>
              </w:tc>
              <w:tc>
                <w:tcPr>
                  <w:tcW w:w="2812" w:type="dxa"/>
                  <w:tcBorders>
                    <w:top w:val="nil"/>
                    <w:left w:val="single" w:sz="4" w:space="0" w:color="000000"/>
                    <w:bottom w:val="single" w:sz="4" w:space="0" w:color="000000"/>
                    <w:right w:val="nil"/>
                  </w:tcBorders>
                </w:tcPr>
                <w:p w14:paraId="7EEFD6C7" w14:textId="77777777" w:rsidR="00E02F30" w:rsidRPr="00E02F30" w:rsidRDefault="00E02F30" w:rsidP="00E02F30">
                  <w:pPr>
                    <w:ind w:left="112"/>
                    <w:jc w:val="center"/>
                    <w:rPr>
                      <w:rFonts w:cs="Arial"/>
                      <w:sz w:val="20"/>
                      <w:szCs w:val="20"/>
                    </w:rPr>
                  </w:pPr>
                  <w:r w:rsidRPr="00E02F30">
                    <w:rPr>
                      <w:rFonts w:cs="Arial"/>
                      <w:sz w:val="20"/>
                      <w:szCs w:val="20"/>
                    </w:rPr>
                    <w:t>Raz na rok (</w:t>
                  </w:r>
                  <w:r w:rsidRPr="00E02F30">
                    <w:rPr>
                      <w:rFonts w:cs="Arial"/>
                      <w:sz w:val="20"/>
                      <w:szCs w:val="20"/>
                      <w:vertAlign w:val="superscript"/>
                    </w:rPr>
                    <w:t>7</w:t>
                  </w:r>
                  <w:r w:rsidRPr="00E02F30">
                    <w:rPr>
                      <w:rFonts w:cs="Arial"/>
                      <w:sz w:val="20"/>
                      <w:szCs w:val="20"/>
                    </w:rPr>
                    <w:t>)</w:t>
                  </w:r>
                </w:p>
              </w:tc>
            </w:tr>
          </w:tbl>
          <w:p w14:paraId="3A638718" w14:textId="77777777" w:rsidR="00E02F30" w:rsidRPr="00E02F30" w:rsidRDefault="00E02F30">
            <w:pPr>
              <w:numPr>
                <w:ilvl w:val="0"/>
                <w:numId w:val="55"/>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Monitorowanie ma zastosowanie wyłącznie do źródeł emisji zidentyfikowanych jako istotne w wykazie, o którym mowa w BAT 2.</w:t>
            </w:r>
          </w:p>
          <w:p w14:paraId="1742734C" w14:textId="77777777" w:rsidR="00E02F30" w:rsidRPr="00E02F30" w:rsidRDefault="00E02F30">
            <w:pPr>
              <w:numPr>
                <w:ilvl w:val="0"/>
                <w:numId w:val="55"/>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Monitorowanie nie dotyczy urządzeń działających w warunkach podciśnienia.</w:t>
            </w:r>
          </w:p>
          <w:p w14:paraId="6B4DDA56" w14:textId="77777777" w:rsidR="00E02F30" w:rsidRPr="00E02F30" w:rsidRDefault="00E02F30">
            <w:pPr>
              <w:numPr>
                <w:ilvl w:val="0"/>
                <w:numId w:val="55"/>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przypadku niedostępnych źródeł emisji ulotnych LZO (np. jeżeli do celów monitorowania konieczne jest usunięcie izolacji lub użycie rusztowania), częstotliwość monitorowania można ograniczyć do jednego razu w okresie objętym zakresem każdego programu LDAR (zob. BAT 19 pkt (iii)).</w:t>
            </w:r>
          </w:p>
          <w:p w14:paraId="24BE0A22" w14:textId="77777777" w:rsidR="00E02F30" w:rsidRPr="00E02F30" w:rsidRDefault="00E02F30">
            <w:pPr>
              <w:numPr>
                <w:ilvl w:val="0"/>
                <w:numId w:val="55"/>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przypadku produkcji polichlorku winylu minimalną częstotliwość monitorowania można ograniczyć do monitorowania raz na 5 lat, jeżeli w zespołach urządzeń zastosowano detektory chlorku winylu w celu ciągłego monitorowania emisji chlorku winylu w sposób zapewniający równoważny poziom wykrywania jego wycieków.</w:t>
            </w:r>
          </w:p>
          <w:p w14:paraId="29977B9E" w14:textId="77777777" w:rsidR="00E02F30" w:rsidRPr="00E02F30" w:rsidRDefault="00E02F30">
            <w:pPr>
              <w:numPr>
                <w:ilvl w:val="0"/>
                <w:numId w:val="55"/>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przypadku urządzeń o wysokim poziomie integralności (zob. BAT 23 lit. b)) mających kontakt z LZO sklasyfikowanymi jako substancje CMR kategorii 1 A lub 1B można przyjąć niższą minimalną częstotliwość monitorowania, ale w każdym przypadku co najmniej raz na 5 lat.</w:t>
            </w:r>
          </w:p>
          <w:p w14:paraId="336E17E5" w14:textId="77777777" w:rsidR="00E02F30" w:rsidRPr="00E02F30" w:rsidRDefault="00E02F30">
            <w:pPr>
              <w:numPr>
                <w:ilvl w:val="0"/>
                <w:numId w:val="55"/>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przypadku urządzeń o wysokim poziomie integralności (zob. BAT 23 lit. b)) mających kontakt z LZO innymi niż LZO sklasyfikowane jako substancje CMR kategorii 1 A lub 1B można przyjąć niższą minimalną częstotliwość monitorowania, ale w każdym przypadku co najmniej raz na 8 lat.</w:t>
            </w:r>
          </w:p>
          <w:p w14:paraId="21976836" w14:textId="77777777" w:rsidR="00E02F30" w:rsidRPr="00E02F30" w:rsidRDefault="00E02F30">
            <w:pPr>
              <w:numPr>
                <w:ilvl w:val="0"/>
                <w:numId w:val="55"/>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Minimalną częstotliwość monitorowania można ograniczyć do monitorowania raz na 5 lat, jeżeli poziomy emisji nieulotnych są określane ilościowo za pomocą pomiarów.</w:t>
            </w:r>
          </w:p>
          <w:p w14:paraId="4885A60D" w14:textId="77777777" w:rsidR="00E02F30" w:rsidRPr="00E02F30" w:rsidRDefault="00E02F30">
            <w:pPr>
              <w:numPr>
                <w:ilvl w:val="0"/>
                <w:numId w:val="55"/>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Norma EN 17628 może stanowić uzupełnienie tej normy.</w:t>
            </w:r>
          </w:p>
          <w:p w14:paraId="4A4010AC" w14:textId="77777777" w:rsidR="00E02F30" w:rsidRPr="00E02F30" w:rsidRDefault="00E02F30" w:rsidP="00E02F30">
            <w:pPr>
              <w:spacing w:after="0" w:line="240" w:lineRule="auto"/>
              <w:rPr>
                <w:rFonts w:eastAsia="Times New Roman" w:cs="Arial"/>
                <w:bCs/>
                <w:sz w:val="20"/>
                <w:szCs w:val="20"/>
                <w:lang w:eastAsia="pl-PL"/>
              </w:rPr>
            </w:pPr>
          </w:p>
          <w:p w14:paraId="16CC690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BAT 22 ma zastosowanie jedynie w przypadku, gdy roczna ilość emisji rozproszonych LZO pochodzących z zespołu urządzeń oszacowana zgodnie z BAT 20 jest większa niż: w przypadku emisji ulotnych:</w:t>
            </w:r>
          </w:p>
          <w:p w14:paraId="3AE71E5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1 tona LZO rocznie w przypadku LZO sklasyfikowanych jako substancje CMR kategorii 1 A lub 1B, lub</w:t>
            </w:r>
          </w:p>
          <w:p w14:paraId="4F84E5A6"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5 ton LZO rocznie w przypadku innych LZO; w przypadku emisji nieulotnych:</w:t>
            </w:r>
          </w:p>
          <w:p w14:paraId="386AE18E"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1 tona LZO rocznie w przypadku LZO sklasyfikowanych jako substancje CMR kategorii 1 A lub 1B, lub — 5 ton LZO rocznie w przypadku innych LZO.</w:t>
            </w:r>
          </w:p>
        </w:tc>
      </w:tr>
      <w:tr w:rsidR="00E02F30" w:rsidRPr="00E02F30" w14:paraId="2C774B4B" w14:textId="77777777" w:rsidTr="00A1631B">
        <w:trPr>
          <w:trHeight w:val="284"/>
        </w:trPr>
        <w:tc>
          <w:tcPr>
            <w:tcW w:w="1985" w:type="dxa"/>
            <w:gridSpan w:val="2"/>
            <w:shd w:val="clear" w:color="auto" w:fill="auto"/>
            <w:vAlign w:val="center"/>
          </w:tcPr>
          <w:p w14:paraId="17C78BEC"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5D4FA171"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52F15B8B"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1051C821" w14:textId="77777777" w:rsidR="00E02F30" w:rsidRPr="00E02F30" w:rsidRDefault="00E02F30" w:rsidP="00E02F30">
            <w:pPr>
              <w:spacing w:after="0" w:line="240" w:lineRule="auto"/>
              <w:rPr>
                <w:rFonts w:eastAsia="Times New Roman" w:cs="Arial"/>
                <w:b/>
                <w:color w:val="FF0000"/>
                <w:sz w:val="20"/>
                <w:szCs w:val="20"/>
                <w:lang w:eastAsia="pl-PL"/>
              </w:rPr>
            </w:pPr>
            <w:r w:rsidRPr="00E02F30">
              <w:rPr>
                <w:rFonts w:eastAsia="Times New Roman" w:cs="Arial"/>
                <w:bCs/>
                <w:sz w:val="20"/>
                <w:szCs w:val="20"/>
                <w:lang w:eastAsia="pl-PL"/>
              </w:rPr>
              <w:t>W instalacjach występują emisje rozproszone tzw. emisje ulotne. Spółka dokonała oszacowania rocznej emisji rozproszonej z instalacji (z którego wynika, że nie przekracza progów wskazanych w BAT 22).</w:t>
            </w:r>
          </w:p>
        </w:tc>
      </w:tr>
      <w:tr w:rsidR="00E02F30" w:rsidRPr="00E02F30" w14:paraId="400D0839" w14:textId="77777777" w:rsidTr="00A1631B">
        <w:trPr>
          <w:trHeight w:val="284"/>
        </w:trPr>
        <w:tc>
          <w:tcPr>
            <w:tcW w:w="10632" w:type="dxa"/>
            <w:gridSpan w:val="6"/>
            <w:shd w:val="clear" w:color="auto" w:fill="auto"/>
          </w:tcPr>
          <w:p w14:paraId="779043A6"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BAT 23</w:t>
            </w:r>
          </w:p>
          <w:p w14:paraId="74803B7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zapobiec emisjom rozproszonym LZO do powietrza lub, jeżeli jest to niemożliwe, ograniczyć je, w ramach BAT należy stosować kombinację technik wskazanych w BAT 23, z zachowaniem podanej kolejności.</w:t>
            </w:r>
          </w:p>
          <w:p w14:paraId="7676A10B" w14:textId="77777777" w:rsidR="00E02F30" w:rsidRPr="00E02F30" w:rsidRDefault="00E02F30" w:rsidP="00E02F30">
            <w:pPr>
              <w:spacing w:after="0" w:line="240" w:lineRule="auto"/>
              <w:jc w:val="both"/>
              <w:rPr>
                <w:rFonts w:eastAsia="Times New Roman" w:cs="Arial"/>
                <w:bCs/>
                <w:sz w:val="20"/>
                <w:szCs w:val="20"/>
                <w:lang w:eastAsia="pl-PL"/>
              </w:rPr>
            </w:pPr>
          </w:p>
        </w:tc>
      </w:tr>
      <w:tr w:rsidR="00E02F30" w:rsidRPr="00E02F30" w14:paraId="700A76BA" w14:textId="77777777" w:rsidTr="00A1631B">
        <w:trPr>
          <w:trHeight w:val="284"/>
        </w:trPr>
        <w:tc>
          <w:tcPr>
            <w:tcW w:w="1985" w:type="dxa"/>
            <w:gridSpan w:val="2"/>
            <w:shd w:val="clear" w:color="auto" w:fill="auto"/>
            <w:vAlign w:val="center"/>
          </w:tcPr>
          <w:p w14:paraId="4F015BD5"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022CCE27" w14:textId="77777777" w:rsidR="00E02F30" w:rsidRPr="00E02F30" w:rsidRDefault="00E02F30" w:rsidP="00E02F30">
            <w:pPr>
              <w:spacing w:after="0" w:line="240" w:lineRule="auto"/>
              <w:jc w:val="center"/>
              <w:rPr>
                <w:rFonts w:eastAsia="Times New Roman" w:cs="Arial"/>
                <w:bCs/>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0BED647F"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
                <w:sz w:val="20"/>
                <w:szCs w:val="20"/>
                <w:lang w:eastAsia="pl-PL"/>
              </w:rPr>
              <w:t>Zgodne:</w:t>
            </w:r>
          </w:p>
          <w:p w14:paraId="2D3503B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 instalacji stosowane są techniki zapobiegania emisjom rozproszonym LZO do powietrza: </w:t>
            </w:r>
          </w:p>
          <w:p w14:paraId="65DBD743"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 ograniczenie liczby źródeł, emisji i połączeń (minimalizacja długości rur, liczby złączy i zaworów, stosowanie spawanych kształtek i połączeń, stosowanie sprężonego powietrza do rozmieszczania materiałów),</w:t>
            </w:r>
          </w:p>
          <w:p w14:paraId="3DDE0FD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 zastosowanie urządzeń o wysokim poziomie integralności (urządzenia takie jak pompy, sprężarki we wspólnej obudowie, zastosowanie certyfikowanych uszczelek wysokiej jakości, hermetyzacja procesów, praca instalacji w podciśnieniu)</w:t>
            </w:r>
          </w:p>
          <w:p w14:paraId="0B12EC93" w14:textId="77777777" w:rsidR="00E02F30" w:rsidRPr="00E02F30" w:rsidRDefault="00E02F30" w:rsidP="00E02F30">
            <w:pPr>
              <w:spacing w:after="0" w:line="240" w:lineRule="auto"/>
              <w:jc w:val="both"/>
              <w:rPr>
                <w:rFonts w:eastAsia="Times New Roman" w:cs="Arial"/>
                <w:bCs/>
                <w:sz w:val="20"/>
                <w:szCs w:val="20"/>
                <w:lang w:eastAsia="pl-PL"/>
              </w:rPr>
            </w:pPr>
          </w:p>
        </w:tc>
      </w:tr>
      <w:tr w:rsidR="00E02F30" w:rsidRPr="00E02F30" w14:paraId="341BB597" w14:textId="77777777" w:rsidTr="00A1631B">
        <w:trPr>
          <w:trHeight w:val="284"/>
        </w:trPr>
        <w:tc>
          <w:tcPr>
            <w:tcW w:w="10632" w:type="dxa"/>
            <w:gridSpan w:val="6"/>
            <w:shd w:val="clear" w:color="auto" w:fill="auto"/>
          </w:tcPr>
          <w:p w14:paraId="5C79A7AB"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24. </w:t>
            </w:r>
          </w:p>
          <w:p w14:paraId="42222CC1"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 ramach BAT należy monitorować stężenie TVOC w produktach </w:t>
            </w:r>
            <w:proofErr w:type="spellStart"/>
            <w:r w:rsidRPr="00E02F30">
              <w:rPr>
                <w:rFonts w:eastAsia="Times New Roman" w:cs="Arial"/>
                <w:bCs/>
                <w:sz w:val="20"/>
                <w:szCs w:val="20"/>
                <w:lang w:eastAsia="pl-PL"/>
              </w:rPr>
              <w:t>poliolefinowych</w:t>
            </w:r>
            <w:proofErr w:type="spellEnd"/>
            <w:r w:rsidRPr="00E02F30">
              <w:rPr>
                <w:rFonts w:eastAsia="Times New Roman" w:cs="Arial"/>
                <w:bCs/>
                <w:sz w:val="20"/>
                <w:szCs w:val="20"/>
                <w:lang w:eastAsia="pl-PL"/>
              </w:rPr>
              <w:t xml:space="preserve"> z częstotliwością co najmniej raz na rok w odniesieniu do każdej reprezentatywnej klasy </w:t>
            </w:r>
            <w:proofErr w:type="spellStart"/>
            <w:r w:rsidRPr="00E02F30">
              <w:rPr>
                <w:rFonts w:eastAsia="Times New Roman" w:cs="Arial"/>
                <w:bCs/>
                <w:sz w:val="20"/>
                <w:szCs w:val="20"/>
                <w:lang w:eastAsia="pl-PL"/>
              </w:rPr>
              <w:t>poliolefin</w:t>
            </w:r>
            <w:proofErr w:type="spellEnd"/>
            <w:r w:rsidRPr="00E02F30">
              <w:rPr>
                <w:rFonts w:eastAsia="Times New Roman" w:cs="Arial"/>
                <w:bCs/>
                <w:sz w:val="20"/>
                <w:szCs w:val="20"/>
                <w:lang w:eastAsia="pl-PL"/>
              </w:rPr>
              <w:t xml:space="preserve"> wyprodukowanej w tym samym roku, zgodnie z normami EN. Jeżeli normy EN są niedostępne, w ramach BAT należy stosować normy ISO, normy krajowe lub inne międzynarodowe normy zapewniające uzyskanie danych o równoważnej jakości naukowej.</w:t>
            </w:r>
          </w:p>
        </w:tc>
      </w:tr>
      <w:tr w:rsidR="00E02F30" w:rsidRPr="00E02F30" w14:paraId="1B6C9456" w14:textId="77777777" w:rsidTr="00A1631B">
        <w:trPr>
          <w:trHeight w:val="284"/>
        </w:trPr>
        <w:tc>
          <w:tcPr>
            <w:tcW w:w="1985" w:type="dxa"/>
            <w:gridSpan w:val="2"/>
            <w:shd w:val="clear" w:color="auto" w:fill="auto"/>
            <w:vAlign w:val="center"/>
          </w:tcPr>
          <w:p w14:paraId="261234A7"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237AB97F"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362AF3E9"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28DC0305"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BAT 24 ma zastosowanie do produkcji niektórych polimerów (</w:t>
            </w:r>
            <w:proofErr w:type="spellStart"/>
            <w:r w:rsidRPr="00E02F30">
              <w:rPr>
                <w:rFonts w:eastAsia="Times New Roman" w:cs="Arial"/>
                <w:bCs/>
                <w:sz w:val="20"/>
                <w:szCs w:val="20"/>
                <w:lang w:eastAsia="pl-PL"/>
              </w:rPr>
              <w:t>poliolefin</w:t>
            </w:r>
            <w:proofErr w:type="spellEnd"/>
            <w:r w:rsidRPr="00E02F30">
              <w:rPr>
                <w:rFonts w:eastAsia="Times New Roman" w:cs="Arial"/>
                <w:bCs/>
                <w:sz w:val="20"/>
                <w:szCs w:val="20"/>
                <w:lang w:eastAsia="pl-PL"/>
              </w:rPr>
              <w:t>).</w:t>
            </w:r>
            <w:r w:rsidRPr="00E02F30">
              <w:rPr>
                <w:rFonts w:eastAsia="Times New Roman" w:cs="Arial"/>
                <w:sz w:val="20"/>
                <w:szCs w:val="20"/>
                <w:lang w:eastAsia="pl-PL"/>
              </w:rPr>
              <w:t xml:space="preserve"> </w:t>
            </w:r>
            <w:r w:rsidRPr="00E02F30">
              <w:rPr>
                <w:rFonts w:eastAsia="Times New Roman" w:cs="Arial"/>
                <w:bCs/>
                <w:sz w:val="20"/>
                <w:szCs w:val="20"/>
                <w:lang w:eastAsia="pl-PL"/>
              </w:rPr>
              <w:t xml:space="preserve">W instalacji nie realizuje się produkcji </w:t>
            </w:r>
            <w:proofErr w:type="spellStart"/>
            <w:r w:rsidRPr="00E02F30">
              <w:rPr>
                <w:rFonts w:eastAsia="Times New Roman" w:cs="Arial"/>
                <w:bCs/>
                <w:sz w:val="20"/>
                <w:szCs w:val="20"/>
                <w:lang w:eastAsia="pl-PL"/>
              </w:rPr>
              <w:t>poliolefin</w:t>
            </w:r>
            <w:proofErr w:type="spellEnd"/>
            <w:r w:rsidRPr="00E02F30">
              <w:rPr>
                <w:rFonts w:eastAsia="Times New Roman" w:cs="Arial"/>
                <w:bCs/>
                <w:sz w:val="20"/>
                <w:szCs w:val="20"/>
                <w:lang w:eastAsia="pl-PL"/>
              </w:rPr>
              <w:t>, w związku z czym wskazane w tabeli 1.8 poziomy emisji BAT-AEL nie mają zastosowania.</w:t>
            </w:r>
          </w:p>
        </w:tc>
      </w:tr>
      <w:tr w:rsidR="00E02F30" w:rsidRPr="00E02F30" w14:paraId="6519823C" w14:textId="77777777" w:rsidTr="00A1631B">
        <w:trPr>
          <w:trHeight w:val="284"/>
        </w:trPr>
        <w:tc>
          <w:tcPr>
            <w:tcW w:w="10632" w:type="dxa"/>
            <w:gridSpan w:val="6"/>
            <w:shd w:val="clear" w:color="auto" w:fill="auto"/>
          </w:tcPr>
          <w:p w14:paraId="2F835F97"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25. </w:t>
            </w:r>
          </w:p>
          <w:p w14:paraId="5DF6EE1C"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Aby zwiększyć </w:t>
            </w:r>
            <w:proofErr w:type="spellStart"/>
            <w:r w:rsidRPr="00E02F30">
              <w:rPr>
                <w:rFonts w:eastAsia="Times New Roman" w:cs="Arial"/>
                <w:bCs/>
                <w:sz w:val="20"/>
                <w:szCs w:val="20"/>
                <w:lang w:eastAsia="pl-PL"/>
              </w:rPr>
              <w:t>zasobooszczędność</w:t>
            </w:r>
            <w:proofErr w:type="spellEnd"/>
            <w:r w:rsidRPr="00E02F30">
              <w:rPr>
                <w:rFonts w:eastAsia="Times New Roman" w:cs="Arial"/>
                <w:bCs/>
                <w:sz w:val="20"/>
                <w:szCs w:val="20"/>
                <w:lang w:eastAsia="pl-PL"/>
              </w:rPr>
              <w:t xml:space="preserve"> i ograniczyć emisje związków organicznych do powietrza, w ramach BAT należy stosować wszystkie techniki podane poniżej, o ile mają zastosowanie.</w:t>
            </w:r>
          </w:p>
        </w:tc>
      </w:tr>
      <w:tr w:rsidR="00E02F30" w:rsidRPr="00E02F30" w14:paraId="2BB04E81" w14:textId="77777777" w:rsidTr="00A1631B">
        <w:trPr>
          <w:trHeight w:val="284"/>
        </w:trPr>
        <w:tc>
          <w:tcPr>
            <w:tcW w:w="1985" w:type="dxa"/>
            <w:gridSpan w:val="2"/>
            <w:shd w:val="clear" w:color="auto" w:fill="auto"/>
            <w:vAlign w:val="center"/>
          </w:tcPr>
          <w:p w14:paraId="1EA61E60"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65E815E6"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139D0E45"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0B392E42"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BAT 24 ma zastosowanie do produkcji niektórych polimerów (</w:t>
            </w:r>
            <w:proofErr w:type="spellStart"/>
            <w:r w:rsidRPr="00E02F30">
              <w:rPr>
                <w:rFonts w:eastAsia="Times New Roman" w:cs="Arial"/>
                <w:bCs/>
                <w:sz w:val="20"/>
                <w:szCs w:val="20"/>
                <w:lang w:eastAsia="pl-PL"/>
              </w:rPr>
              <w:t>poliolefin</w:t>
            </w:r>
            <w:proofErr w:type="spellEnd"/>
            <w:r w:rsidRPr="00E02F30">
              <w:rPr>
                <w:rFonts w:eastAsia="Times New Roman" w:cs="Arial"/>
                <w:bCs/>
                <w:sz w:val="20"/>
                <w:szCs w:val="20"/>
                <w:lang w:eastAsia="pl-PL"/>
              </w:rPr>
              <w:t xml:space="preserve">). W instalacji nie realizuje się produkcji </w:t>
            </w:r>
            <w:proofErr w:type="spellStart"/>
            <w:r w:rsidRPr="00E02F30">
              <w:rPr>
                <w:rFonts w:eastAsia="Times New Roman" w:cs="Arial"/>
                <w:bCs/>
                <w:sz w:val="20"/>
                <w:szCs w:val="20"/>
                <w:lang w:eastAsia="pl-PL"/>
              </w:rPr>
              <w:t>poliolefin</w:t>
            </w:r>
            <w:proofErr w:type="spellEnd"/>
            <w:r w:rsidRPr="00E02F30">
              <w:rPr>
                <w:rFonts w:eastAsia="Times New Roman" w:cs="Arial"/>
                <w:bCs/>
                <w:sz w:val="20"/>
                <w:szCs w:val="20"/>
                <w:lang w:eastAsia="pl-PL"/>
              </w:rPr>
              <w:t>, w związku z czym wskazane w tabeli 1.8 poziomy emisji BAT-AEL nie mają zastosowania.</w:t>
            </w:r>
          </w:p>
        </w:tc>
      </w:tr>
      <w:tr w:rsidR="00E02F30" w:rsidRPr="00E02F30" w14:paraId="61E9C1B4" w14:textId="77777777" w:rsidTr="00A1631B">
        <w:trPr>
          <w:trHeight w:val="284"/>
        </w:trPr>
        <w:tc>
          <w:tcPr>
            <w:tcW w:w="10632" w:type="dxa"/>
            <w:gridSpan w:val="6"/>
            <w:shd w:val="clear" w:color="auto" w:fill="auto"/>
          </w:tcPr>
          <w:p w14:paraId="25C06B01"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26. </w:t>
            </w:r>
          </w:p>
          <w:p w14:paraId="61D5CB6B"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ramach BAT należy monitorować emisje zorganizowane do powietrza co najmniej z podaną poniżej częstotliwością i zgodnie z normami EN. Jeżeli normy EN są niedostępne, w ramach BAT należy stosować normy ISO, normy krajowe lub inne międzynarodowe normy zapewniające uzyskanie danych o równoważnej jakości naukowej</w:t>
            </w:r>
          </w:p>
        </w:tc>
      </w:tr>
      <w:tr w:rsidR="00E02F30" w:rsidRPr="00E02F30" w14:paraId="77ADEB8B" w14:textId="77777777" w:rsidTr="00A1631B">
        <w:trPr>
          <w:trHeight w:val="284"/>
        </w:trPr>
        <w:tc>
          <w:tcPr>
            <w:tcW w:w="1985" w:type="dxa"/>
            <w:gridSpan w:val="2"/>
            <w:shd w:val="clear" w:color="auto" w:fill="auto"/>
            <w:vAlign w:val="center"/>
          </w:tcPr>
          <w:p w14:paraId="5FB8FD91"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56E48216"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175F5ABD"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4028C8D8"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BAT 26 ma zastosowanie do produkcji polichlorku winylu (PVC). W instalacji nie prowadzi się produkcji polichlorku winylu (PVC).</w:t>
            </w:r>
          </w:p>
        </w:tc>
      </w:tr>
      <w:tr w:rsidR="00E02F30" w:rsidRPr="00E02F30" w14:paraId="07A45390" w14:textId="77777777" w:rsidTr="00A1631B">
        <w:trPr>
          <w:trHeight w:val="284"/>
        </w:trPr>
        <w:tc>
          <w:tcPr>
            <w:tcW w:w="10632" w:type="dxa"/>
            <w:gridSpan w:val="6"/>
            <w:shd w:val="clear" w:color="auto" w:fill="auto"/>
          </w:tcPr>
          <w:p w14:paraId="663234F8"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27. </w:t>
            </w:r>
          </w:p>
          <w:p w14:paraId="2F270981"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ramach BAT należy monitorować stężenie pozostałości chlorku winylu w zawiesinie PVC/lateksie z częstotliwością co najmniej raz na rok w odniesieniu do każdej reprezentatywnej klasy polichlorku winylu wyprodukowanej w tym samym roku, zgodnie z normami EN.</w:t>
            </w:r>
          </w:p>
        </w:tc>
      </w:tr>
      <w:tr w:rsidR="00E02F30" w:rsidRPr="00E02F30" w14:paraId="3A8D23C8" w14:textId="77777777" w:rsidTr="00A1631B">
        <w:trPr>
          <w:trHeight w:val="284"/>
        </w:trPr>
        <w:tc>
          <w:tcPr>
            <w:tcW w:w="1985" w:type="dxa"/>
            <w:gridSpan w:val="2"/>
            <w:shd w:val="clear" w:color="auto" w:fill="auto"/>
            <w:vAlign w:val="center"/>
          </w:tcPr>
          <w:p w14:paraId="4626698B"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AABD61B"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3D41B721"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1D1B475B"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BAT 27 ma zastosowanie do produkcji polichlorku winylu (PVC). W instalacji nie prowadzi się produkcji polichlorku winylu (PVC).</w:t>
            </w:r>
          </w:p>
        </w:tc>
      </w:tr>
      <w:tr w:rsidR="00E02F30" w:rsidRPr="00E02F30" w14:paraId="2FFE515C" w14:textId="77777777" w:rsidTr="00A1631B">
        <w:trPr>
          <w:trHeight w:val="284"/>
        </w:trPr>
        <w:tc>
          <w:tcPr>
            <w:tcW w:w="10632" w:type="dxa"/>
            <w:gridSpan w:val="6"/>
            <w:shd w:val="clear" w:color="auto" w:fill="auto"/>
          </w:tcPr>
          <w:p w14:paraId="53A29290"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28. </w:t>
            </w:r>
          </w:p>
          <w:p w14:paraId="1EDD6F2A"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Aby zwiększyć </w:t>
            </w:r>
            <w:proofErr w:type="spellStart"/>
            <w:r w:rsidRPr="00E02F30">
              <w:rPr>
                <w:rFonts w:eastAsia="Times New Roman" w:cs="Arial"/>
                <w:bCs/>
                <w:sz w:val="20"/>
                <w:szCs w:val="20"/>
                <w:lang w:eastAsia="pl-PL"/>
              </w:rPr>
              <w:t>zasobooszczędność</w:t>
            </w:r>
            <w:proofErr w:type="spellEnd"/>
            <w:r w:rsidRPr="00E02F30">
              <w:rPr>
                <w:rFonts w:eastAsia="Times New Roman" w:cs="Arial"/>
                <w:bCs/>
                <w:sz w:val="20"/>
                <w:szCs w:val="20"/>
                <w:lang w:eastAsia="pl-PL"/>
              </w:rPr>
              <w:t xml:space="preserve"> i ograniczyć przepływ masowy związków organicznych wysyłanych do końcowego oczyszczenia gazów odlotowych, w ramach BAT należy odzyskiwać chlorek winylu z gazów odlotowych z procesu technologicznego za pomocą jednej z poniższych technik lub ich kombinacji oraz ponownie wykorzystywać odzyskany chlorek.</w:t>
            </w:r>
          </w:p>
        </w:tc>
      </w:tr>
      <w:tr w:rsidR="00E02F30" w:rsidRPr="00E02F30" w14:paraId="6F9C6184" w14:textId="77777777" w:rsidTr="00A1631B">
        <w:trPr>
          <w:trHeight w:val="284"/>
        </w:trPr>
        <w:tc>
          <w:tcPr>
            <w:tcW w:w="1985" w:type="dxa"/>
            <w:gridSpan w:val="2"/>
            <w:shd w:val="clear" w:color="auto" w:fill="auto"/>
            <w:vAlign w:val="center"/>
          </w:tcPr>
          <w:p w14:paraId="4A840B9D"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6BE7408"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13762343"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36337857"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BAT 28 ma zastosowanie do produkcji polichlorku winylu (PVC). W instalacji nie prowadzi się produkcji polichlorku winylu (PVC).</w:t>
            </w:r>
          </w:p>
        </w:tc>
      </w:tr>
      <w:tr w:rsidR="00E02F30" w:rsidRPr="00E02F30" w14:paraId="667E4EAB" w14:textId="77777777" w:rsidTr="00A1631B">
        <w:trPr>
          <w:trHeight w:val="284"/>
        </w:trPr>
        <w:tc>
          <w:tcPr>
            <w:tcW w:w="10632" w:type="dxa"/>
            <w:gridSpan w:val="6"/>
            <w:shd w:val="clear" w:color="auto" w:fill="auto"/>
          </w:tcPr>
          <w:p w14:paraId="5D5602D5"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29. </w:t>
            </w:r>
          </w:p>
          <w:p w14:paraId="47B78536"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ograniczyć emisje zorganizowane do powietrza chlorku winylu pochodzące z odzysku chlorku winylu, w ramach BAT należy stosować jedną z poniższych technik lub ich kombinację.</w:t>
            </w:r>
          </w:p>
        </w:tc>
      </w:tr>
      <w:tr w:rsidR="00E02F30" w:rsidRPr="00E02F30" w14:paraId="72B00111" w14:textId="77777777" w:rsidTr="00A1631B">
        <w:trPr>
          <w:trHeight w:val="284"/>
        </w:trPr>
        <w:tc>
          <w:tcPr>
            <w:tcW w:w="1985" w:type="dxa"/>
            <w:gridSpan w:val="2"/>
            <w:shd w:val="clear" w:color="auto" w:fill="auto"/>
            <w:vAlign w:val="center"/>
          </w:tcPr>
          <w:p w14:paraId="169CDF19"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1B2787EB"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569600EF"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53AEC45D"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BAT 29 ma zastosowanie do produkcji polichlorku winylu (PVC). W instalacji nie prowadzi się produkcji polichlorku winylu (PVC), w związku z czym wskazane w tabeli 1.9 poziomy emisji BAT-AEL nie mają zastosowania.</w:t>
            </w:r>
          </w:p>
        </w:tc>
      </w:tr>
      <w:tr w:rsidR="00E02F30" w:rsidRPr="00E02F30" w14:paraId="3458990E" w14:textId="77777777" w:rsidTr="00A1631B">
        <w:trPr>
          <w:trHeight w:val="284"/>
        </w:trPr>
        <w:tc>
          <w:tcPr>
            <w:tcW w:w="10632" w:type="dxa"/>
            <w:gridSpan w:val="6"/>
            <w:shd w:val="clear" w:color="auto" w:fill="auto"/>
          </w:tcPr>
          <w:p w14:paraId="6525EED9"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30. </w:t>
            </w:r>
          </w:p>
          <w:p w14:paraId="7B48D677"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Aby ograniczyć emisje chlorku winylu do powietrza, w ramach BAT należy stosować wszystkie poniższe techniki.</w:t>
            </w:r>
          </w:p>
        </w:tc>
      </w:tr>
      <w:tr w:rsidR="00E02F30" w:rsidRPr="00E02F30" w14:paraId="074B3F7E" w14:textId="77777777" w:rsidTr="00A1631B">
        <w:trPr>
          <w:trHeight w:val="284"/>
        </w:trPr>
        <w:tc>
          <w:tcPr>
            <w:tcW w:w="1985" w:type="dxa"/>
            <w:gridSpan w:val="2"/>
            <w:shd w:val="clear" w:color="auto" w:fill="auto"/>
            <w:vAlign w:val="center"/>
          </w:tcPr>
          <w:p w14:paraId="45F47172"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4DB10791"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1B7C27C2"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050E0E67"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BAT 30 ma zastosowanie do produkcji polichlorku winylu (PVC). W instalacji nie prowadzi się produkcji polichlorku winylu (PVC) , w związku z czym wskazane w tabeli 1.10 oraz 1.11  poziomy emisji BAT-AEL nie mają zastosowania.</w:t>
            </w:r>
          </w:p>
        </w:tc>
      </w:tr>
      <w:tr w:rsidR="00E02F30" w:rsidRPr="00E02F30" w14:paraId="0212D1FF" w14:textId="77777777" w:rsidTr="00A1631B">
        <w:trPr>
          <w:trHeight w:val="284"/>
        </w:trPr>
        <w:tc>
          <w:tcPr>
            <w:tcW w:w="10632" w:type="dxa"/>
            <w:gridSpan w:val="6"/>
            <w:shd w:val="clear" w:color="auto" w:fill="auto"/>
          </w:tcPr>
          <w:p w14:paraId="6CCF6F7B"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31. </w:t>
            </w:r>
          </w:p>
          <w:p w14:paraId="6CF4B00D"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ramach BAT należy monitorować stężenie TVOC w gumach syntetycznych z częstotliwością co najmniej raz na rok w odniesieniu do każdej reprezentatywnej klasy gumy syntetycznej wyprodukowanej w tym samym roku, zgodnie z normami EN. Jeżeli normy EN są niedostępne, w ramach BAT należy stosować normy ISO, normy krajowe lub inne międzynarodowe normy zapewniające uzyskanie danych o równoważnej jakości naukowej.</w:t>
            </w:r>
          </w:p>
        </w:tc>
      </w:tr>
      <w:tr w:rsidR="00E02F30" w:rsidRPr="00E02F30" w14:paraId="6C64991A" w14:textId="77777777" w:rsidTr="00A1631B">
        <w:trPr>
          <w:trHeight w:val="284"/>
        </w:trPr>
        <w:tc>
          <w:tcPr>
            <w:tcW w:w="1985" w:type="dxa"/>
            <w:gridSpan w:val="2"/>
            <w:shd w:val="clear" w:color="auto" w:fill="auto"/>
            <w:vAlign w:val="center"/>
          </w:tcPr>
          <w:p w14:paraId="270ECD13"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7DDE1689"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4C13854C"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23ED9472"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Cs/>
                <w:sz w:val="20"/>
                <w:szCs w:val="20"/>
                <w:lang w:eastAsia="pl-PL"/>
              </w:rPr>
              <w:t>BAT 31 ma zastosowanie do produkcji gum syntetycznych. W instalacji nie prowadzi się produkcji gum syntetycznych.</w:t>
            </w:r>
          </w:p>
        </w:tc>
      </w:tr>
      <w:tr w:rsidR="00E02F30" w:rsidRPr="00E02F30" w14:paraId="6BBC0CF9" w14:textId="77777777" w:rsidTr="00A1631B">
        <w:trPr>
          <w:trHeight w:val="284"/>
        </w:trPr>
        <w:tc>
          <w:tcPr>
            <w:tcW w:w="10632" w:type="dxa"/>
            <w:gridSpan w:val="6"/>
            <w:shd w:val="clear" w:color="auto" w:fill="auto"/>
          </w:tcPr>
          <w:p w14:paraId="6A52636B"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32. </w:t>
            </w:r>
          </w:p>
          <w:p w14:paraId="75BCEC2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ograniczyć emisje związków organicznych do powietrza, w ramach BAT należy stosować jedną z poniższych technik lub ich kombinację.</w:t>
            </w:r>
          </w:p>
        </w:tc>
      </w:tr>
      <w:tr w:rsidR="00E02F30" w:rsidRPr="00E02F30" w14:paraId="08F32139" w14:textId="77777777" w:rsidTr="00A1631B">
        <w:trPr>
          <w:trHeight w:val="284"/>
        </w:trPr>
        <w:tc>
          <w:tcPr>
            <w:tcW w:w="1985" w:type="dxa"/>
            <w:gridSpan w:val="2"/>
            <w:shd w:val="clear" w:color="auto" w:fill="auto"/>
            <w:vAlign w:val="center"/>
          </w:tcPr>
          <w:p w14:paraId="284A9BE1"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514ABE1C"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3B6C1AEE"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3D51DF5F"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BAT 32 ma zastosowanie do produkcji gum syntetycznych. W instalacji nie prowadzi się produkcji gum syntetycznych, w związku z czym wskazane w tabeli 1.12 poziomy emisji BAT-AEL nie mają zastosowania.</w:t>
            </w:r>
          </w:p>
        </w:tc>
      </w:tr>
      <w:tr w:rsidR="00E02F30" w:rsidRPr="00E02F30" w14:paraId="6635EFCC" w14:textId="77777777" w:rsidTr="00A1631B">
        <w:trPr>
          <w:trHeight w:val="284"/>
        </w:trPr>
        <w:tc>
          <w:tcPr>
            <w:tcW w:w="10632" w:type="dxa"/>
            <w:gridSpan w:val="6"/>
            <w:shd w:val="clear" w:color="auto" w:fill="auto"/>
          </w:tcPr>
          <w:p w14:paraId="724E35C9"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33. </w:t>
            </w:r>
          </w:p>
          <w:p w14:paraId="3D72550F"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 ramach BAT należy monitorować emisje zorganizowane do powietrza co najmniej z podaną poniżej częstotliwością i zgodnie z normami EN. Jeżeli normy EN są niedostępne, w ramach BAT należy stosować normy ISO, normy krajowe lub inne międzynarodowe normy zapewniające uzyskanie danych o równoważnej jakości naukowej.</w:t>
            </w:r>
          </w:p>
        </w:tc>
      </w:tr>
      <w:tr w:rsidR="00E02F30" w:rsidRPr="00E02F30" w14:paraId="71826CAF" w14:textId="77777777" w:rsidTr="00A1631B">
        <w:trPr>
          <w:trHeight w:val="284"/>
        </w:trPr>
        <w:tc>
          <w:tcPr>
            <w:tcW w:w="1985" w:type="dxa"/>
            <w:gridSpan w:val="2"/>
            <w:shd w:val="clear" w:color="auto" w:fill="auto"/>
            <w:vAlign w:val="center"/>
          </w:tcPr>
          <w:p w14:paraId="3E3D4CA9"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50B2CA48"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760712A8"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0863A375"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BAT 33 ma zastosowanie do produkcji wiskozy z wykorzystaniem CS</w:t>
            </w:r>
            <w:r w:rsidRPr="00E02F30">
              <w:rPr>
                <w:rFonts w:eastAsia="Times New Roman" w:cs="Arial"/>
                <w:bCs/>
                <w:sz w:val="20"/>
                <w:szCs w:val="20"/>
                <w:vertAlign w:val="subscript"/>
                <w:lang w:eastAsia="pl-PL"/>
              </w:rPr>
              <w:t>2</w:t>
            </w:r>
            <w:r w:rsidRPr="00E02F30">
              <w:rPr>
                <w:rFonts w:eastAsia="Times New Roman" w:cs="Arial"/>
                <w:bCs/>
                <w:sz w:val="20"/>
                <w:szCs w:val="20"/>
                <w:lang w:eastAsia="pl-PL"/>
              </w:rPr>
              <w:t>. W instalacji nie prowadzi się produkcji wiskozy</w:t>
            </w:r>
          </w:p>
        </w:tc>
      </w:tr>
      <w:tr w:rsidR="00E02F30" w:rsidRPr="00E02F30" w14:paraId="6B6A0136" w14:textId="77777777" w:rsidTr="00A1631B">
        <w:trPr>
          <w:trHeight w:val="284"/>
        </w:trPr>
        <w:tc>
          <w:tcPr>
            <w:tcW w:w="10632" w:type="dxa"/>
            <w:gridSpan w:val="6"/>
            <w:shd w:val="clear" w:color="auto" w:fill="auto"/>
          </w:tcPr>
          <w:p w14:paraId="339063B8"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34. </w:t>
            </w:r>
          </w:p>
          <w:p w14:paraId="454E644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Aby zwiększyć </w:t>
            </w:r>
            <w:proofErr w:type="spellStart"/>
            <w:r w:rsidRPr="00E02F30">
              <w:rPr>
                <w:rFonts w:eastAsia="Times New Roman" w:cs="Arial"/>
                <w:bCs/>
                <w:sz w:val="20"/>
                <w:szCs w:val="20"/>
                <w:lang w:eastAsia="pl-PL"/>
              </w:rPr>
              <w:t>zasobooszczędność</w:t>
            </w:r>
            <w:proofErr w:type="spellEnd"/>
            <w:r w:rsidRPr="00E02F30">
              <w:rPr>
                <w:rFonts w:eastAsia="Times New Roman" w:cs="Arial"/>
                <w:bCs/>
                <w:sz w:val="20"/>
                <w:szCs w:val="20"/>
                <w:lang w:eastAsia="pl-PL"/>
              </w:rPr>
              <w:t xml:space="preserve"> i ograniczyć przepływ masowy CS2 i H2S wysyłanych do końcowego oczyszczania gazów odlotowych, w ramach BAT należy odzyskiwać CS2 za pomocą techniki określonej w lit. a) lub lit. b) lub kombinacji techniki określonej w lit. c) z techniką lub technikami określonymi w lit. a) lub b), podanymi poniżej, oraz ponownie wykorzystywać CS2 albo stosować technikę określoną w lit. d).</w:t>
            </w:r>
          </w:p>
        </w:tc>
      </w:tr>
      <w:tr w:rsidR="00E02F30" w:rsidRPr="00E02F30" w14:paraId="3B5645C6" w14:textId="77777777" w:rsidTr="00A1631B">
        <w:trPr>
          <w:trHeight w:val="284"/>
        </w:trPr>
        <w:tc>
          <w:tcPr>
            <w:tcW w:w="1985" w:type="dxa"/>
            <w:gridSpan w:val="2"/>
            <w:shd w:val="clear" w:color="auto" w:fill="auto"/>
            <w:vAlign w:val="center"/>
          </w:tcPr>
          <w:p w14:paraId="5CBD5366"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663567B7"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29D8B465"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798D4328"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BAT 34 ma zastosowanie do produkcji wiskozy z wykorzystaniem CS</w:t>
            </w:r>
            <w:r w:rsidRPr="00E02F30">
              <w:rPr>
                <w:rFonts w:eastAsia="Times New Roman" w:cs="Arial"/>
                <w:bCs/>
                <w:sz w:val="20"/>
                <w:szCs w:val="20"/>
                <w:vertAlign w:val="subscript"/>
                <w:lang w:eastAsia="pl-PL"/>
              </w:rPr>
              <w:t>2</w:t>
            </w:r>
            <w:r w:rsidRPr="00E02F30">
              <w:rPr>
                <w:rFonts w:eastAsia="Times New Roman" w:cs="Arial"/>
                <w:bCs/>
                <w:sz w:val="20"/>
                <w:szCs w:val="20"/>
                <w:lang w:eastAsia="pl-PL"/>
              </w:rPr>
              <w:t>. W instalacji nie prowadzi się produkcji wiskozy.</w:t>
            </w:r>
          </w:p>
        </w:tc>
      </w:tr>
      <w:tr w:rsidR="00E02F30" w:rsidRPr="00E02F30" w14:paraId="09D9E105" w14:textId="77777777" w:rsidTr="00A1631B">
        <w:trPr>
          <w:trHeight w:val="284"/>
        </w:trPr>
        <w:tc>
          <w:tcPr>
            <w:tcW w:w="10632" w:type="dxa"/>
            <w:gridSpan w:val="6"/>
            <w:shd w:val="clear" w:color="auto" w:fill="auto"/>
          </w:tcPr>
          <w:p w14:paraId="77BF9AA9"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35. </w:t>
            </w:r>
          </w:p>
          <w:p w14:paraId="0C9D4E8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ograniczyć emisje zorganizowane do powietrza CS2 i H2S, w ramach BAT należy stosować jedną z poniższych technik lub ich kombinację.</w:t>
            </w:r>
          </w:p>
        </w:tc>
      </w:tr>
      <w:tr w:rsidR="00E02F30" w:rsidRPr="00E02F30" w14:paraId="0BA9FC62" w14:textId="77777777" w:rsidTr="00A1631B">
        <w:trPr>
          <w:trHeight w:val="284"/>
        </w:trPr>
        <w:tc>
          <w:tcPr>
            <w:tcW w:w="1985" w:type="dxa"/>
            <w:gridSpan w:val="2"/>
            <w:shd w:val="clear" w:color="auto" w:fill="auto"/>
            <w:vAlign w:val="center"/>
          </w:tcPr>
          <w:p w14:paraId="069A1FBD"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61C03B7F"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26B76CED"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
                <w:sz w:val="20"/>
                <w:szCs w:val="20"/>
                <w:lang w:eastAsia="pl-PL"/>
              </w:rPr>
              <w:t>Nie dotyczy</w:t>
            </w:r>
          </w:p>
          <w:p w14:paraId="65DA8840" w14:textId="77777777" w:rsidR="00E02F30" w:rsidRPr="00E02F30" w:rsidRDefault="00E02F30" w:rsidP="00E02F30">
            <w:pPr>
              <w:spacing w:after="0" w:line="240" w:lineRule="auto"/>
              <w:jc w:val="both"/>
              <w:rPr>
                <w:rFonts w:eastAsia="Times New Roman" w:cs="Arial"/>
                <w:b/>
                <w:sz w:val="20"/>
                <w:szCs w:val="20"/>
                <w:lang w:eastAsia="pl-PL"/>
              </w:rPr>
            </w:pPr>
            <w:r w:rsidRPr="00E02F30">
              <w:rPr>
                <w:rFonts w:eastAsia="Times New Roman" w:cs="Arial"/>
                <w:bCs/>
                <w:sz w:val="20"/>
                <w:szCs w:val="20"/>
                <w:lang w:eastAsia="pl-PL"/>
              </w:rPr>
              <w:t>BAT 35 ma zastosowanie do produkcji wiskozy z wykorzystaniem CS</w:t>
            </w:r>
            <w:r w:rsidRPr="00E02F30">
              <w:rPr>
                <w:rFonts w:eastAsia="Times New Roman" w:cs="Arial"/>
                <w:bCs/>
                <w:sz w:val="20"/>
                <w:szCs w:val="20"/>
                <w:vertAlign w:val="subscript"/>
                <w:lang w:eastAsia="pl-PL"/>
              </w:rPr>
              <w:t>2</w:t>
            </w:r>
            <w:r w:rsidRPr="00E02F30">
              <w:rPr>
                <w:rFonts w:eastAsia="Times New Roman" w:cs="Arial"/>
                <w:bCs/>
                <w:sz w:val="20"/>
                <w:szCs w:val="20"/>
                <w:lang w:eastAsia="pl-PL"/>
              </w:rPr>
              <w:t>. W instalacji nie prowadzi się produkcji wiskozy, w związku z czym wskazane w tabeli 1.13 i 1.14 poziomy emisji BAT-AEL nie mają zastosowania.</w:t>
            </w:r>
          </w:p>
        </w:tc>
      </w:tr>
      <w:tr w:rsidR="00E02F30" w:rsidRPr="00E02F30" w14:paraId="322BCD70" w14:textId="77777777" w:rsidTr="00A1631B">
        <w:trPr>
          <w:trHeight w:val="284"/>
        </w:trPr>
        <w:tc>
          <w:tcPr>
            <w:tcW w:w="10632" w:type="dxa"/>
            <w:gridSpan w:val="6"/>
            <w:shd w:val="clear" w:color="auto" w:fill="auto"/>
          </w:tcPr>
          <w:p w14:paraId="1343FC1E"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PIECE PROCESOWE / NAGRZEWNICE</w:t>
            </w:r>
          </w:p>
        </w:tc>
      </w:tr>
      <w:tr w:rsidR="00E02F30" w:rsidRPr="00E02F30" w14:paraId="5FEC743D" w14:textId="77777777" w:rsidTr="00A1631B">
        <w:trPr>
          <w:trHeight w:val="284"/>
        </w:trPr>
        <w:tc>
          <w:tcPr>
            <w:tcW w:w="10632" w:type="dxa"/>
            <w:gridSpan w:val="6"/>
            <w:shd w:val="clear" w:color="auto" w:fill="auto"/>
          </w:tcPr>
          <w:p w14:paraId="5575008D"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 xml:space="preserve">BAT 36. </w:t>
            </w:r>
          </w:p>
          <w:p w14:paraId="04A30A47"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Aby zapobiec emisjom zorganizowanym do powietrza CO, pyłu, NOX i SOX lub, jeżeli jest to niemożliwe, ograniczyć je, w ramach BAT należy stosować technikę określoną w lit. c) oraz jedną z pozostałych poniższych technik lub ich kombinację.</w:t>
            </w:r>
          </w:p>
          <w:p w14:paraId="7DCDEC3A" w14:textId="77777777" w:rsidR="00E02F30" w:rsidRPr="00E02F30" w:rsidRDefault="00E02F30" w:rsidP="00E02F30">
            <w:pPr>
              <w:spacing w:after="0" w:line="240" w:lineRule="auto"/>
              <w:rPr>
                <w:rFonts w:eastAsia="Times New Roman" w:cs="Arial"/>
                <w:bCs/>
                <w:sz w:val="20"/>
                <w:szCs w:val="20"/>
                <w:lang w:eastAsia="pl-PL"/>
              </w:rPr>
            </w:pPr>
          </w:p>
        </w:tc>
      </w:tr>
      <w:tr w:rsidR="00E02F30" w:rsidRPr="00E02F30" w14:paraId="74A5762F" w14:textId="77777777" w:rsidTr="00A1631B">
        <w:trPr>
          <w:trHeight w:val="284"/>
        </w:trPr>
        <w:tc>
          <w:tcPr>
            <w:tcW w:w="10632" w:type="dxa"/>
            <w:gridSpan w:val="6"/>
            <w:shd w:val="clear" w:color="auto" w:fill="auto"/>
          </w:tcPr>
          <w:p w14:paraId="0D343C14"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Bat 36 ma zastosowanie, w przypadku gdy piece procesowe/nagrzewnice o całkowitej nominalnej mocy cieplnej dostarczonej w paliwie wynoszącej co najmniej 1 MW są wykorzystywane w procesach produkcyjnych objętych zakresem stosowania tych konkluzji dotyczących BAT.</w:t>
            </w:r>
          </w:p>
          <w:p w14:paraId="27F17EAB" w14:textId="77777777" w:rsidR="00E02F30" w:rsidRPr="00E02F30" w:rsidRDefault="00E02F30" w:rsidP="00E02F30">
            <w:pPr>
              <w:spacing w:after="0" w:line="240" w:lineRule="auto"/>
              <w:rPr>
                <w:rFonts w:eastAsia="Times New Roman" w:cs="Arial"/>
                <w:bCs/>
                <w:sz w:val="20"/>
                <w:szCs w:val="20"/>
                <w:lang w:eastAsia="pl-PL"/>
              </w:rPr>
            </w:pPr>
          </w:p>
          <w:tbl>
            <w:tblPr>
              <w:tblStyle w:val="TableGrid"/>
              <w:tblW w:w="4500" w:type="pct"/>
              <w:tblInd w:w="1020" w:type="dxa"/>
              <w:tblLayout w:type="fixed"/>
              <w:tblCellMar>
                <w:top w:w="90" w:type="dxa"/>
                <w:left w:w="95" w:type="dxa"/>
              </w:tblCellMar>
              <w:tblLook w:val="04A0" w:firstRow="1" w:lastRow="0" w:firstColumn="1" w:lastColumn="0" w:noHBand="0" w:noVBand="1"/>
            </w:tblPr>
            <w:tblGrid>
              <w:gridCol w:w="211"/>
              <w:gridCol w:w="1754"/>
              <w:gridCol w:w="1508"/>
              <w:gridCol w:w="2969"/>
              <w:gridCol w:w="2932"/>
            </w:tblGrid>
            <w:tr w:rsidR="00E02F30" w:rsidRPr="00E02F30" w14:paraId="28CC8812" w14:textId="77777777" w:rsidTr="00A1631B">
              <w:trPr>
                <w:trHeight w:val="1102"/>
              </w:trPr>
              <w:tc>
                <w:tcPr>
                  <w:tcW w:w="245" w:type="dxa"/>
                  <w:tcBorders>
                    <w:top w:val="single" w:sz="4" w:space="0" w:color="000000"/>
                    <w:left w:val="nil"/>
                    <w:bottom w:val="single" w:sz="4" w:space="0" w:color="000000"/>
                    <w:right w:val="nil"/>
                  </w:tcBorders>
                </w:tcPr>
                <w:p w14:paraId="769530D2" w14:textId="77777777" w:rsidR="00E02F30" w:rsidRPr="00E02F30" w:rsidRDefault="00E02F30" w:rsidP="00E02F30">
                  <w:pPr>
                    <w:rPr>
                      <w:rFonts w:cs="Arial"/>
                      <w:sz w:val="20"/>
                      <w:szCs w:val="20"/>
                    </w:rPr>
                  </w:pPr>
                </w:p>
              </w:tc>
              <w:tc>
                <w:tcPr>
                  <w:tcW w:w="2343" w:type="dxa"/>
                  <w:tcBorders>
                    <w:top w:val="single" w:sz="4" w:space="0" w:color="000000"/>
                    <w:left w:val="nil"/>
                    <w:bottom w:val="single" w:sz="4" w:space="0" w:color="000000"/>
                    <w:right w:val="single" w:sz="4" w:space="0" w:color="000000"/>
                  </w:tcBorders>
                  <w:vAlign w:val="center"/>
                </w:tcPr>
                <w:p w14:paraId="547EEC29" w14:textId="77777777" w:rsidR="00E02F30" w:rsidRPr="00E02F30" w:rsidRDefault="00E02F30" w:rsidP="00E02F30">
                  <w:pPr>
                    <w:ind w:left="121"/>
                    <w:rPr>
                      <w:rFonts w:cs="Arial"/>
                      <w:sz w:val="20"/>
                      <w:szCs w:val="20"/>
                    </w:rPr>
                  </w:pPr>
                  <w:r w:rsidRPr="00E02F30">
                    <w:rPr>
                      <w:rFonts w:cs="Arial"/>
                      <w:sz w:val="20"/>
                      <w:szCs w:val="20"/>
                    </w:rPr>
                    <w:t>Technika</w:t>
                  </w:r>
                </w:p>
              </w:tc>
              <w:tc>
                <w:tcPr>
                  <w:tcW w:w="2008" w:type="dxa"/>
                  <w:tcBorders>
                    <w:top w:val="single" w:sz="4" w:space="0" w:color="000000"/>
                    <w:left w:val="single" w:sz="4" w:space="0" w:color="000000"/>
                    <w:bottom w:val="single" w:sz="4" w:space="0" w:color="000000"/>
                    <w:right w:val="single" w:sz="4" w:space="0" w:color="000000"/>
                  </w:tcBorders>
                </w:tcPr>
                <w:p w14:paraId="2436D51C" w14:textId="77777777" w:rsidR="00E02F30" w:rsidRPr="00E02F30" w:rsidRDefault="00E02F30" w:rsidP="00E02F30">
                  <w:pPr>
                    <w:jc w:val="center"/>
                    <w:rPr>
                      <w:rFonts w:cs="Arial"/>
                      <w:sz w:val="20"/>
                      <w:szCs w:val="20"/>
                    </w:rPr>
                  </w:pPr>
                  <w:r w:rsidRPr="00E02F30">
                    <w:rPr>
                      <w:rFonts w:cs="Arial"/>
                      <w:sz w:val="20"/>
                      <w:szCs w:val="20"/>
                    </w:rPr>
                    <w:t>Główne związki</w:t>
                  </w:r>
                  <w:r w:rsidRPr="00E02F30">
                    <w:rPr>
                      <w:rFonts w:cs="Arial"/>
                      <w:sz w:val="20"/>
                      <w:szCs w:val="20"/>
                    </w:rPr>
                    <w:br/>
                    <w:t>nieorganiczne,</w:t>
                  </w:r>
                  <w:r w:rsidRPr="00E02F30">
                    <w:rPr>
                      <w:rFonts w:cs="Arial"/>
                      <w:sz w:val="20"/>
                      <w:szCs w:val="20"/>
                    </w:rPr>
                    <w:br/>
                    <w:t>wobec których</w:t>
                  </w:r>
                  <w:r w:rsidRPr="00E02F30">
                    <w:rPr>
                      <w:rFonts w:cs="Arial"/>
                      <w:sz w:val="20"/>
                      <w:szCs w:val="20"/>
                    </w:rPr>
                    <w:br/>
                    <w:t>stosowana jest</w:t>
                  </w:r>
                  <w:r w:rsidRPr="00E02F30">
                    <w:rPr>
                      <w:rFonts w:cs="Arial"/>
                      <w:sz w:val="20"/>
                      <w:szCs w:val="20"/>
                    </w:rPr>
                    <w:br/>
                    <w:t>technika</w:t>
                  </w:r>
                </w:p>
                <w:p w14:paraId="669A6272" w14:textId="77777777" w:rsidR="00E02F30" w:rsidRPr="00E02F30" w:rsidRDefault="00E02F30" w:rsidP="00E02F30">
                  <w:pPr>
                    <w:spacing w:line="221" w:lineRule="auto"/>
                    <w:jc w:val="center"/>
                    <w:rPr>
                      <w:rFonts w:cs="Arial"/>
                      <w:sz w:val="20"/>
                      <w:szCs w:val="20"/>
                    </w:rPr>
                  </w:pPr>
                </w:p>
              </w:tc>
              <w:tc>
                <w:tcPr>
                  <w:tcW w:w="3994" w:type="dxa"/>
                  <w:tcBorders>
                    <w:top w:val="single" w:sz="4" w:space="0" w:color="000000"/>
                    <w:left w:val="single" w:sz="4" w:space="0" w:color="000000"/>
                    <w:bottom w:val="single" w:sz="4" w:space="0" w:color="000000"/>
                    <w:right w:val="nil"/>
                  </w:tcBorders>
                  <w:vAlign w:val="center"/>
                </w:tcPr>
                <w:p w14:paraId="4BBF8FFF" w14:textId="77777777" w:rsidR="00E02F30" w:rsidRPr="00E02F30" w:rsidRDefault="00E02F30" w:rsidP="00E02F30">
                  <w:pPr>
                    <w:ind w:left="16"/>
                    <w:jc w:val="center"/>
                    <w:rPr>
                      <w:rFonts w:cs="Arial"/>
                      <w:sz w:val="20"/>
                      <w:szCs w:val="20"/>
                    </w:rPr>
                  </w:pPr>
                  <w:r w:rsidRPr="00E02F30">
                    <w:rPr>
                      <w:rFonts w:cs="Arial"/>
                      <w:sz w:val="20"/>
                      <w:szCs w:val="20"/>
                    </w:rPr>
                    <w:t>Stosowanie</w:t>
                  </w:r>
                </w:p>
              </w:tc>
              <w:tc>
                <w:tcPr>
                  <w:tcW w:w="3943" w:type="dxa"/>
                  <w:tcBorders>
                    <w:top w:val="single" w:sz="4" w:space="0" w:color="000000"/>
                    <w:left w:val="single" w:sz="4" w:space="0" w:color="000000"/>
                    <w:bottom w:val="single" w:sz="4" w:space="0" w:color="000000"/>
                    <w:right w:val="nil"/>
                  </w:tcBorders>
                  <w:vAlign w:val="center"/>
                </w:tcPr>
                <w:p w14:paraId="0F0408A6" w14:textId="77777777" w:rsidR="00E02F30" w:rsidRPr="00E02F30" w:rsidRDefault="00E02F30" w:rsidP="00E02F30">
                  <w:pPr>
                    <w:ind w:left="16"/>
                    <w:jc w:val="center"/>
                    <w:rPr>
                      <w:rFonts w:cs="Arial"/>
                      <w:sz w:val="20"/>
                      <w:szCs w:val="20"/>
                    </w:rPr>
                  </w:pPr>
                  <w:r w:rsidRPr="00E02F30">
                    <w:rPr>
                      <w:rFonts w:cs="Arial"/>
                      <w:sz w:val="20"/>
                      <w:szCs w:val="20"/>
                    </w:rPr>
                    <w:t>Zakres stosowanie w instalacji</w:t>
                  </w:r>
                </w:p>
              </w:tc>
            </w:tr>
            <w:tr w:rsidR="00E02F30" w:rsidRPr="00E02F30" w14:paraId="190449D2" w14:textId="77777777" w:rsidTr="00A1631B">
              <w:trPr>
                <w:trHeight w:val="1102"/>
              </w:trPr>
              <w:tc>
                <w:tcPr>
                  <w:tcW w:w="2588" w:type="dxa"/>
                  <w:gridSpan w:val="2"/>
                  <w:tcBorders>
                    <w:top w:val="single" w:sz="4" w:space="0" w:color="000000"/>
                    <w:left w:val="nil"/>
                    <w:bottom w:val="single" w:sz="4" w:space="0" w:color="000000"/>
                    <w:right w:val="single" w:sz="4" w:space="0" w:color="000000"/>
                  </w:tcBorders>
                </w:tcPr>
                <w:p w14:paraId="498CE41E" w14:textId="77777777" w:rsidR="00E02F30" w:rsidRPr="00E02F30" w:rsidRDefault="00E02F30" w:rsidP="00E02F30">
                  <w:pPr>
                    <w:ind w:left="121"/>
                    <w:rPr>
                      <w:rFonts w:cs="Arial"/>
                      <w:sz w:val="20"/>
                      <w:szCs w:val="20"/>
                    </w:rPr>
                  </w:pPr>
                  <w:r w:rsidRPr="00E02F30">
                    <w:rPr>
                      <w:rFonts w:cs="Arial"/>
                      <w:sz w:val="20"/>
                      <w:szCs w:val="20"/>
                    </w:rPr>
                    <w:t>a) Wybór paliwa</w:t>
                  </w:r>
                </w:p>
              </w:tc>
              <w:tc>
                <w:tcPr>
                  <w:tcW w:w="2008" w:type="dxa"/>
                  <w:tcBorders>
                    <w:top w:val="single" w:sz="4" w:space="0" w:color="000000"/>
                    <w:left w:val="single" w:sz="4" w:space="0" w:color="000000"/>
                    <w:bottom w:val="single" w:sz="4" w:space="0" w:color="000000"/>
                    <w:right w:val="single" w:sz="4" w:space="0" w:color="000000"/>
                  </w:tcBorders>
                  <w:vAlign w:val="center"/>
                </w:tcPr>
                <w:p w14:paraId="3D183AF9" w14:textId="77777777" w:rsidR="00E02F30" w:rsidRPr="00E02F30" w:rsidRDefault="00E02F30" w:rsidP="00E02F30">
                  <w:pPr>
                    <w:spacing w:line="221" w:lineRule="auto"/>
                    <w:jc w:val="center"/>
                    <w:rPr>
                      <w:rFonts w:cs="Arial"/>
                      <w:sz w:val="20"/>
                      <w:szCs w:val="20"/>
                    </w:rPr>
                  </w:pPr>
                  <w:r w:rsidRPr="00E02F30">
                    <w:rPr>
                      <w:rFonts w:cs="Arial"/>
                      <w:sz w:val="20"/>
                      <w:szCs w:val="20"/>
                    </w:rPr>
                    <w:t>NOX, SOX, pył</w:t>
                  </w:r>
                </w:p>
              </w:tc>
              <w:tc>
                <w:tcPr>
                  <w:tcW w:w="3994" w:type="dxa"/>
                  <w:tcBorders>
                    <w:top w:val="single" w:sz="4" w:space="0" w:color="000000"/>
                    <w:left w:val="single" w:sz="4" w:space="0" w:color="000000"/>
                    <w:bottom w:val="single" w:sz="4" w:space="0" w:color="000000"/>
                    <w:right w:val="nil"/>
                  </w:tcBorders>
                  <w:vAlign w:val="center"/>
                </w:tcPr>
                <w:p w14:paraId="659B47C2" w14:textId="77777777" w:rsidR="00E02F30" w:rsidRPr="00E02F30" w:rsidRDefault="00E02F30" w:rsidP="00E02F30">
                  <w:pPr>
                    <w:ind w:left="16"/>
                    <w:jc w:val="center"/>
                    <w:rPr>
                      <w:rFonts w:cs="Arial"/>
                      <w:sz w:val="20"/>
                      <w:szCs w:val="20"/>
                    </w:rPr>
                  </w:pPr>
                  <w:r w:rsidRPr="00E02F30">
                    <w:rPr>
                      <w:rFonts w:cs="Arial"/>
                      <w:sz w:val="20"/>
                      <w:szCs w:val="20"/>
                    </w:rPr>
                    <w:t>Przejście ze stosowania paliwa</w:t>
                  </w:r>
                  <w:r w:rsidRPr="00E02F30">
                    <w:rPr>
                      <w:rFonts w:cs="Arial"/>
                      <w:sz w:val="20"/>
                      <w:szCs w:val="20"/>
                    </w:rPr>
                    <w:br/>
                    <w:t>ciekłego na stosowanie paliwa</w:t>
                  </w:r>
                  <w:r w:rsidRPr="00E02F30">
                    <w:rPr>
                      <w:rFonts w:cs="Arial"/>
                      <w:sz w:val="20"/>
                      <w:szCs w:val="20"/>
                    </w:rPr>
                    <w:br/>
                    <w:t>gazowego może być ograniczone</w:t>
                  </w:r>
                  <w:r w:rsidRPr="00E02F30">
                    <w:rPr>
                      <w:rFonts w:cs="Arial"/>
                      <w:sz w:val="20"/>
                      <w:szCs w:val="20"/>
                    </w:rPr>
                    <w:br/>
                    <w:t>przez konstrukcję palników</w:t>
                  </w:r>
                  <w:r w:rsidRPr="00E02F30">
                    <w:rPr>
                      <w:rFonts w:cs="Arial"/>
                      <w:sz w:val="20"/>
                      <w:szCs w:val="20"/>
                    </w:rPr>
                    <w:br/>
                    <w:t>w przypadku istniejących pieców</w:t>
                  </w:r>
                  <w:r w:rsidRPr="00E02F30">
                    <w:rPr>
                      <w:rFonts w:cs="Arial"/>
                      <w:sz w:val="20"/>
                      <w:szCs w:val="20"/>
                    </w:rPr>
                    <w:br/>
                    <w:t>procesowych/nagrzewnic.</w:t>
                  </w:r>
                </w:p>
              </w:tc>
              <w:tc>
                <w:tcPr>
                  <w:tcW w:w="3943" w:type="dxa"/>
                  <w:tcBorders>
                    <w:top w:val="single" w:sz="4" w:space="0" w:color="000000"/>
                    <w:left w:val="single" w:sz="4" w:space="0" w:color="000000"/>
                    <w:bottom w:val="single" w:sz="4" w:space="0" w:color="000000"/>
                    <w:right w:val="nil"/>
                  </w:tcBorders>
                  <w:vAlign w:val="center"/>
                </w:tcPr>
                <w:p w14:paraId="111CCD7F" w14:textId="77777777" w:rsidR="00E02F30" w:rsidRPr="00E02F30" w:rsidRDefault="00E02F30" w:rsidP="00E02F30">
                  <w:pPr>
                    <w:ind w:left="16"/>
                    <w:jc w:val="center"/>
                    <w:rPr>
                      <w:rFonts w:cs="Arial"/>
                      <w:sz w:val="20"/>
                      <w:szCs w:val="20"/>
                    </w:rPr>
                  </w:pPr>
                  <w:r w:rsidRPr="00E02F30">
                    <w:rPr>
                      <w:rFonts w:cs="Arial"/>
                      <w:sz w:val="20"/>
                      <w:szCs w:val="20"/>
                    </w:rPr>
                    <w:t>Stosowanie paliwa o niskiej zawartości związków potencjalnie wytwarzających zanieczyszczenia</w:t>
                  </w:r>
                </w:p>
              </w:tc>
            </w:tr>
            <w:tr w:rsidR="00E02F30" w:rsidRPr="00E02F30" w14:paraId="45A5ED06" w14:textId="77777777" w:rsidTr="00A1631B">
              <w:trPr>
                <w:trHeight w:val="1178"/>
              </w:trPr>
              <w:tc>
                <w:tcPr>
                  <w:tcW w:w="2588" w:type="dxa"/>
                  <w:gridSpan w:val="2"/>
                  <w:tcBorders>
                    <w:top w:val="single" w:sz="4" w:space="0" w:color="000000"/>
                    <w:left w:val="nil"/>
                    <w:bottom w:val="single" w:sz="4" w:space="0" w:color="000000"/>
                    <w:right w:val="single" w:sz="4" w:space="0" w:color="000000"/>
                  </w:tcBorders>
                  <w:vAlign w:val="center"/>
                </w:tcPr>
                <w:p w14:paraId="5490B81B" w14:textId="77777777" w:rsidR="00E02F30" w:rsidRPr="00E02F30" w:rsidRDefault="00E02F30" w:rsidP="00E02F30">
                  <w:pPr>
                    <w:rPr>
                      <w:rFonts w:cs="Arial"/>
                      <w:sz w:val="20"/>
                      <w:szCs w:val="20"/>
                    </w:rPr>
                  </w:pPr>
                  <w:r w:rsidRPr="00E02F30">
                    <w:rPr>
                      <w:rFonts w:cs="Arial"/>
                      <w:sz w:val="20"/>
                      <w:szCs w:val="20"/>
                    </w:rPr>
                    <w:t>b) Palnik o niskiej emisji NO</w:t>
                  </w:r>
                  <w:r w:rsidRPr="00E02F30">
                    <w:rPr>
                      <w:rFonts w:cs="Arial"/>
                      <w:sz w:val="20"/>
                      <w:szCs w:val="20"/>
                      <w:vertAlign w:val="subscript"/>
                    </w:rPr>
                    <w:t>X</w:t>
                  </w:r>
                </w:p>
              </w:tc>
              <w:tc>
                <w:tcPr>
                  <w:tcW w:w="2008" w:type="dxa"/>
                  <w:tcBorders>
                    <w:top w:val="single" w:sz="4" w:space="0" w:color="000000"/>
                    <w:left w:val="single" w:sz="4" w:space="0" w:color="000000"/>
                    <w:bottom w:val="single" w:sz="4" w:space="0" w:color="000000"/>
                    <w:right w:val="single" w:sz="4" w:space="0" w:color="000000"/>
                  </w:tcBorders>
                  <w:vAlign w:val="center"/>
                </w:tcPr>
                <w:p w14:paraId="4EF3D433" w14:textId="77777777" w:rsidR="00E02F30" w:rsidRPr="00E02F30" w:rsidRDefault="00E02F30" w:rsidP="00E02F30">
                  <w:pPr>
                    <w:ind w:right="95"/>
                    <w:jc w:val="center"/>
                    <w:rPr>
                      <w:rFonts w:cs="Arial"/>
                      <w:sz w:val="20"/>
                      <w:szCs w:val="20"/>
                    </w:rPr>
                  </w:pPr>
                  <w:r w:rsidRPr="00E02F30">
                    <w:rPr>
                      <w:rFonts w:cs="Arial"/>
                      <w:sz w:val="20"/>
                      <w:szCs w:val="20"/>
                    </w:rPr>
                    <w:t>NO</w:t>
                  </w:r>
                  <w:r w:rsidRPr="00E02F30">
                    <w:rPr>
                      <w:rFonts w:cs="Arial"/>
                      <w:sz w:val="20"/>
                      <w:szCs w:val="20"/>
                      <w:vertAlign w:val="subscript"/>
                    </w:rPr>
                    <w:t>X</w:t>
                  </w:r>
                </w:p>
              </w:tc>
              <w:tc>
                <w:tcPr>
                  <w:tcW w:w="3994" w:type="dxa"/>
                  <w:tcBorders>
                    <w:top w:val="single" w:sz="4" w:space="0" w:color="000000"/>
                    <w:left w:val="single" w:sz="4" w:space="0" w:color="000000"/>
                    <w:bottom w:val="single" w:sz="4" w:space="0" w:color="000000"/>
                    <w:right w:val="nil"/>
                  </w:tcBorders>
                </w:tcPr>
                <w:p w14:paraId="7B20940C" w14:textId="77777777" w:rsidR="00E02F30" w:rsidRPr="00E02F30" w:rsidRDefault="00E02F30" w:rsidP="00E02F30">
                  <w:pPr>
                    <w:ind w:left="17" w:right="-1"/>
                    <w:jc w:val="center"/>
                    <w:rPr>
                      <w:rFonts w:cs="Arial"/>
                      <w:sz w:val="20"/>
                      <w:szCs w:val="20"/>
                    </w:rPr>
                  </w:pPr>
                  <w:r w:rsidRPr="00E02F30">
                    <w:rPr>
                      <w:rFonts w:cs="Arial"/>
                      <w:sz w:val="20"/>
                      <w:szCs w:val="20"/>
                    </w:rPr>
                    <w:t>Zastosowanie tej techniki może być ograniczone w przypadku istniejących pieców procesowych/ nagrzewnic ze względu na ich konstrukcję.</w:t>
                  </w:r>
                </w:p>
              </w:tc>
              <w:tc>
                <w:tcPr>
                  <w:tcW w:w="3943" w:type="dxa"/>
                  <w:tcBorders>
                    <w:top w:val="single" w:sz="4" w:space="0" w:color="000000"/>
                    <w:left w:val="single" w:sz="4" w:space="0" w:color="000000"/>
                    <w:bottom w:val="single" w:sz="4" w:space="0" w:color="000000"/>
                    <w:right w:val="nil"/>
                  </w:tcBorders>
                  <w:vAlign w:val="center"/>
                </w:tcPr>
                <w:p w14:paraId="2BDC834D" w14:textId="77777777" w:rsidR="00E02F30" w:rsidRPr="00E02F30" w:rsidRDefault="00E02F30" w:rsidP="00E02F30">
                  <w:pPr>
                    <w:ind w:left="17" w:right="-1"/>
                    <w:jc w:val="center"/>
                    <w:rPr>
                      <w:rFonts w:cs="Arial"/>
                      <w:sz w:val="20"/>
                      <w:szCs w:val="20"/>
                    </w:rPr>
                  </w:pPr>
                  <w:r w:rsidRPr="00E02F30">
                    <w:rPr>
                      <w:rFonts w:cs="Arial"/>
                      <w:sz w:val="20"/>
                      <w:szCs w:val="20"/>
                    </w:rPr>
                    <w:t>-</w:t>
                  </w:r>
                </w:p>
              </w:tc>
            </w:tr>
            <w:tr w:rsidR="00E02F30" w:rsidRPr="00E02F30" w14:paraId="6BFA4A02" w14:textId="77777777" w:rsidTr="00A1631B">
              <w:trPr>
                <w:trHeight w:val="538"/>
              </w:trPr>
              <w:tc>
                <w:tcPr>
                  <w:tcW w:w="2588" w:type="dxa"/>
                  <w:gridSpan w:val="2"/>
                  <w:tcBorders>
                    <w:top w:val="single" w:sz="4" w:space="0" w:color="000000"/>
                    <w:left w:val="nil"/>
                    <w:bottom w:val="single" w:sz="4" w:space="0" w:color="000000"/>
                    <w:right w:val="single" w:sz="4" w:space="0" w:color="000000"/>
                  </w:tcBorders>
                  <w:vAlign w:val="center"/>
                </w:tcPr>
                <w:p w14:paraId="0982E709" w14:textId="77777777" w:rsidR="00E02F30" w:rsidRPr="00E02F30" w:rsidRDefault="00E02F30" w:rsidP="00E02F30">
                  <w:pPr>
                    <w:ind w:left="8"/>
                    <w:rPr>
                      <w:rFonts w:cs="Arial"/>
                      <w:sz w:val="20"/>
                      <w:szCs w:val="20"/>
                    </w:rPr>
                  </w:pPr>
                  <w:r w:rsidRPr="00E02F30">
                    <w:rPr>
                      <w:rFonts w:cs="Arial"/>
                      <w:sz w:val="20"/>
                      <w:szCs w:val="20"/>
                    </w:rPr>
                    <w:t>c) Zoptymalizowane spalanie</w:t>
                  </w:r>
                </w:p>
              </w:tc>
              <w:tc>
                <w:tcPr>
                  <w:tcW w:w="2008" w:type="dxa"/>
                  <w:tcBorders>
                    <w:top w:val="single" w:sz="4" w:space="0" w:color="000000"/>
                    <w:left w:val="single" w:sz="4" w:space="0" w:color="000000"/>
                    <w:bottom w:val="single" w:sz="4" w:space="0" w:color="000000"/>
                    <w:right w:val="single" w:sz="4" w:space="0" w:color="000000"/>
                  </w:tcBorders>
                  <w:vAlign w:val="center"/>
                </w:tcPr>
                <w:p w14:paraId="7DE5EE4D" w14:textId="77777777" w:rsidR="00E02F30" w:rsidRPr="00E02F30" w:rsidRDefault="00E02F30" w:rsidP="00E02F30">
                  <w:pPr>
                    <w:ind w:right="95"/>
                    <w:jc w:val="center"/>
                    <w:rPr>
                      <w:rFonts w:cs="Arial"/>
                      <w:sz w:val="20"/>
                      <w:szCs w:val="20"/>
                    </w:rPr>
                  </w:pPr>
                  <w:r w:rsidRPr="00E02F30">
                    <w:rPr>
                      <w:rFonts w:cs="Arial"/>
                      <w:sz w:val="20"/>
                      <w:szCs w:val="20"/>
                    </w:rPr>
                    <w:t>CO, NO</w:t>
                  </w:r>
                  <w:r w:rsidRPr="00E02F30">
                    <w:rPr>
                      <w:rFonts w:cs="Arial"/>
                      <w:sz w:val="20"/>
                      <w:szCs w:val="20"/>
                      <w:vertAlign w:val="subscript"/>
                    </w:rPr>
                    <w:t>X</w:t>
                  </w:r>
                </w:p>
              </w:tc>
              <w:tc>
                <w:tcPr>
                  <w:tcW w:w="3994" w:type="dxa"/>
                  <w:tcBorders>
                    <w:top w:val="single" w:sz="4" w:space="0" w:color="000000"/>
                    <w:left w:val="single" w:sz="4" w:space="0" w:color="000000"/>
                    <w:bottom w:val="single" w:sz="4" w:space="0" w:color="000000"/>
                    <w:right w:val="nil"/>
                  </w:tcBorders>
                  <w:vAlign w:val="center"/>
                </w:tcPr>
                <w:p w14:paraId="78F3FC5A" w14:textId="77777777" w:rsidR="00E02F30" w:rsidRPr="00E02F30" w:rsidRDefault="00E02F30" w:rsidP="00E02F30">
                  <w:pPr>
                    <w:ind w:left="17"/>
                    <w:rPr>
                      <w:rFonts w:cs="Arial"/>
                      <w:sz w:val="20"/>
                      <w:szCs w:val="20"/>
                    </w:rPr>
                  </w:pPr>
                  <w:r w:rsidRPr="00E02F30">
                    <w:rPr>
                      <w:rFonts w:cs="Arial"/>
                      <w:sz w:val="20"/>
                      <w:szCs w:val="20"/>
                    </w:rPr>
                    <w:t>Zastosowanie ogólne</w:t>
                  </w:r>
                </w:p>
              </w:tc>
              <w:tc>
                <w:tcPr>
                  <w:tcW w:w="3943" w:type="dxa"/>
                  <w:tcBorders>
                    <w:top w:val="single" w:sz="4" w:space="0" w:color="000000"/>
                    <w:left w:val="single" w:sz="4" w:space="0" w:color="000000"/>
                    <w:bottom w:val="single" w:sz="4" w:space="0" w:color="000000"/>
                    <w:right w:val="nil"/>
                  </w:tcBorders>
                  <w:vAlign w:val="center"/>
                </w:tcPr>
                <w:p w14:paraId="4324F69E" w14:textId="77777777" w:rsidR="00E02F30" w:rsidRPr="00E02F30" w:rsidRDefault="00E02F30" w:rsidP="00E02F30">
                  <w:pPr>
                    <w:jc w:val="center"/>
                    <w:rPr>
                      <w:rFonts w:cs="Arial"/>
                      <w:sz w:val="20"/>
                      <w:szCs w:val="20"/>
                    </w:rPr>
                  </w:pPr>
                  <w:r w:rsidRPr="00E02F30">
                    <w:rPr>
                      <w:rFonts w:cs="Arial"/>
                      <w:sz w:val="20"/>
                      <w:szCs w:val="20"/>
                    </w:rPr>
                    <w:t>Właściwe zaprojektowanie komór spalania, palników i związanych z nimi urządzeń/</w:t>
                  </w:r>
                  <w:r w:rsidRPr="00E02F30">
                    <w:rPr>
                      <w:rFonts w:cs="Arial"/>
                      <w:sz w:val="20"/>
                      <w:szCs w:val="20"/>
                    </w:rPr>
                    <w:br/>
                    <w:t>sprzętu połączone z optymalizacją warunków oraz regularną planowaną konserwacją systemu spalania zgodnie</w:t>
                  </w:r>
                  <w:r w:rsidRPr="00E02F30">
                    <w:rPr>
                      <w:rFonts w:cs="Arial"/>
                      <w:sz w:val="20"/>
                      <w:szCs w:val="20"/>
                    </w:rPr>
                    <w:br/>
                    <w:t>z zaleceniami dostawców. Kontrola warunków spalania polega na stałym</w:t>
                  </w:r>
                  <w:r w:rsidRPr="00E02F30">
                    <w:rPr>
                      <w:rFonts w:cs="Arial"/>
                      <w:sz w:val="20"/>
                      <w:szCs w:val="20"/>
                    </w:rPr>
                    <w:br/>
                    <w:t>monitorowaniu i automatycznej kontroli odpowiednich parametrów spalania</w:t>
                  </w:r>
                </w:p>
                <w:p w14:paraId="7C15D0DB" w14:textId="77777777" w:rsidR="00E02F30" w:rsidRPr="00E02F30" w:rsidRDefault="00E02F30" w:rsidP="00E02F30">
                  <w:pPr>
                    <w:ind w:left="17"/>
                    <w:jc w:val="center"/>
                    <w:rPr>
                      <w:rFonts w:cs="Arial"/>
                      <w:sz w:val="20"/>
                      <w:szCs w:val="20"/>
                    </w:rPr>
                  </w:pPr>
                </w:p>
              </w:tc>
            </w:tr>
            <w:tr w:rsidR="00E02F30" w:rsidRPr="00E02F30" w14:paraId="01B13A07" w14:textId="77777777" w:rsidTr="00A1631B">
              <w:trPr>
                <w:trHeight w:val="538"/>
              </w:trPr>
              <w:tc>
                <w:tcPr>
                  <w:tcW w:w="2588" w:type="dxa"/>
                  <w:gridSpan w:val="2"/>
                  <w:tcBorders>
                    <w:top w:val="single" w:sz="4" w:space="0" w:color="000000"/>
                    <w:left w:val="nil"/>
                    <w:bottom w:val="single" w:sz="4" w:space="0" w:color="000000"/>
                    <w:right w:val="single" w:sz="4" w:space="0" w:color="000000"/>
                  </w:tcBorders>
                  <w:vAlign w:val="center"/>
                </w:tcPr>
                <w:p w14:paraId="7BF610A8" w14:textId="77777777" w:rsidR="00E02F30" w:rsidRPr="00E02F30" w:rsidRDefault="00E02F30" w:rsidP="00E02F30">
                  <w:pPr>
                    <w:ind w:left="8"/>
                    <w:rPr>
                      <w:rFonts w:cs="Arial"/>
                      <w:sz w:val="20"/>
                      <w:szCs w:val="20"/>
                    </w:rPr>
                  </w:pPr>
                  <w:r w:rsidRPr="00E02F30">
                    <w:rPr>
                      <w:rFonts w:cs="Arial"/>
                      <w:sz w:val="20"/>
                      <w:szCs w:val="20"/>
                    </w:rPr>
                    <w:t>d) Absorpcja</w:t>
                  </w:r>
                </w:p>
              </w:tc>
              <w:tc>
                <w:tcPr>
                  <w:tcW w:w="2008" w:type="dxa"/>
                  <w:tcBorders>
                    <w:top w:val="single" w:sz="4" w:space="0" w:color="000000"/>
                    <w:left w:val="single" w:sz="4" w:space="0" w:color="000000"/>
                    <w:bottom w:val="single" w:sz="4" w:space="0" w:color="000000"/>
                    <w:right w:val="single" w:sz="4" w:space="0" w:color="000000"/>
                  </w:tcBorders>
                  <w:vAlign w:val="center"/>
                </w:tcPr>
                <w:p w14:paraId="29E9E675" w14:textId="77777777" w:rsidR="00E02F30" w:rsidRPr="00E02F30" w:rsidRDefault="00E02F30" w:rsidP="00E02F30">
                  <w:pPr>
                    <w:ind w:right="95"/>
                    <w:jc w:val="center"/>
                    <w:rPr>
                      <w:rFonts w:cs="Arial"/>
                      <w:sz w:val="20"/>
                      <w:szCs w:val="20"/>
                    </w:rPr>
                  </w:pPr>
                  <w:r w:rsidRPr="00E02F30">
                    <w:rPr>
                      <w:rFonts w:cs="Arial"/>
                      <w:sz w:val="20"/>
                      <w:szCs w:val="20"/>
                    </w:rPr>
                    <w:t>SOX, pył</w:t>
                  </w:r>
                </w:p>
              </w:tc>
              <w:tc>
                <w:tcPr>
                  <w:tcW w:w="3994" w:type="dxa"/>
                  <w:tcBorders>
                    <w:top w:val="single" w:sz="4" w:space="0" w:color="000000"/>
                    <w:left w:val="single" w:sz="4" w:space="0" w:color="000000"/>
                    <w:bottom w:val="single" w:sz="4" w:space="0" w:color="000000"/>
                    <w:right w:val="nil"/>
                  </w:tcBorders>
                </w:tcPr>
                <w:p w14:paraId="0D3ADFDD" w14:textId="77777777" w:rsidR="00E02F30" w:rsidRPr="00E02F30" w:rsidRDefault="00E02F30" w:rsidP="00E02F30">
                  <w:pPr>
                    <w:ind w:left="17"/>
                    <w:rPr>
                      <w:rFonts w:cs="Arial"/>
                      <w:sz w:val="20"/>
                      <w:szCs w:val="20"/>
                    </w:rPr>
                  </w:pPr>
                  <w:r w:rsidRPr="00E02F30">
                    <w:rPr>
                      <w:rFonts w:cs="Arial"/>
                      <w:sz w:val="20"/>
                      <w:szCs w:val="20"/>
                    </w:rPr>
                    <w:t>Zastosowanie tej techniki może być ograniczone w przypadku istniejących pieców procesowych/ nagrzewnic ze względu na dostępność przestrzeni.</w:t>
                  </w:r>
                </w:p>
              </w:tc>
              <w:tc>
                <w:tcPr>
                  <w:tcW w:w="3943" w:type="dxa"/>
                  <w:tcBorders>
                    <w:top w:val="single" w:sz="4" w:space="0" w:color="000000"/>
                    <w:left w:val="single" w:sz="4" w:space="0" w:color="000000"/>
                    <w:bottom w:val="single" w:sz="4" w:space="0" w:color="000000"/>
                    <w:right w:val="nil"/>
                  </w:tcBorders>
                  <w:vAlign w:val="center"/>
                </w:tcPr>
                <w:p w14:paraId="26AACE18" w14:textId="77777777" w:rsidR="00E02F30" w:rsidRPr="00E02F30" w:rsidRDefault="00E02F30" w:rsidP="00E02F30">
                  <w:pPr>
                    <w:jc w:val="center"/>
                    <w:rPr>
                      <w:rFonts w:cs="Arial"/>
                      <w:sz w:val="20"/>
                      <w:szCs w:val="20"/>
                    </w:rPr>
                  </w:pPr>
                  <w:r w:rsidRPr="00E02F30">
                    <w:rPr>
                      <w:rFonts w:cs="Arial"/>
                      <w:sz w:val="20"/>
                      <w:szCs w:val="20"/>
                    </w:rPr>
                    <w:t>-</w:t>
                  </w:r>
                </w:p>
              </w:tc>
            </w:tr>
            <w:tr w:rsidR="00E02F30" w:rsidRPr="00E02F30" w14:paraId="131F8CCA" w14:textId="77777777" w:rsidTr="00A1631B">
              <w:trPr>
                <w:trHeight w:val="538"/>
              </w:trPr>
              <w:tc>
                <w:tcPr>
                  <w:tcW w:w="2588" w:type="dxa"/>
                  <w:gridSpan w:val="2"/>
                  <w:tcBorders>
                    <w:top w:val="single" w:sz="4" w:space="0" w:color="000000"/>
                    <w:left w:val="nil"/>
                    <w:bottom w:val="single" w:sz="4" w:space="0" w:color="000000"/>
                    <w:right w:val="single" w:sz="4" w:space="0" w:color="000000"/>
                  </w:tcBorders>
                  <w:vAlign w:val="center"/>
                </w:tcPr>
                <w:p w14:paraId="070BC0B7" w14:textId="77777777" w:rsidR="00E02F30" w:rsidRPr="00E02F30" w:rsidRDefault="00E02F30" w:rsidP="00E02F30">
                  <w:pPr>
                    <w:ind w:left="8"/>
                    <w:rPr>
                      <w:rFonts w:cs="Arial"/>
                      <w:sz w:val="20"/>
                      <w:szCs w:val="20"/>
                    </w:rPr>
                  </w:pPr>
                  <w:r w:rsidRPr="00E02F30">
                    <w:rPr>
                      <w:rFonts w:cs="Arial"/>
                      <w:sz w:val="20"/>
                      <w:szCs w:val="20"/>
                    </w:rPr>
                    <w:t>e) Filtr tkaninowy lub filtr absolutny</w:t>
                  </w:r>
                </w:p>
              </w:tc>
              <w:tc>
                <w:tcPr>
                  <w:tcW w:w="2008" w:type="dxa"/>
                  <w:tcBorders>
                    <w:top w:val="single" w:sz="4" w:space="0" w:color="000000"/>
                    <w:left w:val="single" w:sz="4" w:space="0" w:color="000000"/>
                    <w:bottom w:val="single" w:sz="4" w:space="0" w:color="000000"/>
                    <w:right w:val="single" w:sz="4" w:space="0" w:color="000000"/>
                  </w:tcBorders>
                  <w:vAlign w:val="center"/>
                </w:tcPr>
                <w:p w14:paraId="68ECD95D" w14:textId="77777777" w:rsidR="00E02F30" w:rsidRPr="00E02F30" w:rsidRDefault="00E02F30" w:rsidP="00E02F30">
                  <w:pPr>
                    <w:ind w:right="95"/>
                    <w:jc w:val="center"/>
                    <w:rPr>
                      <w:rFonts w:cs="Arial"/>
                      <w:sz w:val="20"/>
                      <w:szCs w:val="20"/>
                    </w:rPr>
                  </w:pPr>
                  <w:r w:rsidRPr="00E02F30">
                    <w:rPr>
                      <w:rFonts w:cs="Arial"/>
                      <w:sz w:val="20"/>
                      <w:szCs w:val="20"/>
                    </w:rPr>
                    <w:t>Pył</w:t>
                  </w:r>
                </w:p>
              </w:tc>
              <w:tc>
                <w:tcPr>
                  <w:tcW w:w="3994" w:type="dxa"/>
                  <w:tcBorders>
                    <w:top w:val="single" w:sz="4" w:space="0" w:color="000000"/>
                    <w:left w:val="single" w:sz="4" w:space="0" w:color="000000"/>
                    <w:bottom w:val="single" w:sz="4" w:space="0" w:color="000000"/>
                    <w:right w:val="nil"/>
                  </w:tcBorders>
                </w:tcPr>
                <w:p w14:paraId="615BAE0C" w14:textId="77777777" w:rsidR="00E02F30" w:rsidRPr="00E02F30" w:rsidRDefault="00E02F30" w:rsidP="00E02F30">
                  <w:pPr>
                    <w:ind w:left="17"/>
                    <w:rPr>
                      <w:rFonts w:cs="Arial"/>
                      <w:sz w:val="20"/>
                      <w:szCs w:val="20"/>
                    </w:rPr>
                  </w:pPr>
                  <w:r w:rsidRPr="00E02F30">
                    <w:rPr>
                      <w:rFonts w:cs="Arial"/>
                      <w:sz w:val="20"/>
                      <w:szCs w:val="20"/>
                    </w:rPr>
                    <w:t>Nie ma zastosowania, gdy spalanie obejmuje wyłącznie paliwa gazowe.</w:t>
                  </w:r>
                </w:p>
              </w:tc>
              <w:tc>
                <w:tcPr>
                  <w:tcW w:w="3943" w:type="dxa"/>
                  <w:tcBorders>
                    <w:top w:val="single" w:sz="4" w:space="0" w:color="000000"/>
                    <w:left w:val="single" w:sz="4" w:space="0" w:color="000000"/>
                    <w:bottom w:val="single" w:sz="4" w:space="0" w:color="000000"/>
                    <w:right w:val="nil"/>
                  </w:tcBorders>
                  <w:vAlign w:val="center"/>
                </w:tcPr>
                <w:p w14:paraId="1530FB26" w14:textId="77777777" w:rsidR="00E02F30" w:rsidRPr="00E02F30" w:rsidRDefault="00E02F30" w:rsidP="00E02F30">
                  <w:pPr>
                    <w:jc w:val="center"/>
                    <w:rPr>
                      <w:rFonts w:cs="Arial"/>
                      <w:sz w:val="20"/>
                      <w:szCs w:val="20"/>
                    </w:rPr>
                  </w:pPr>
                  <w:r w:rsidRPr="00E02F30">
                    <w:rPr>
                      <w:rFonts w:cs="Arial"/>
                      <w:sz w:val="20"/>
                      <w:szCs w:val="20"/>
                    </w:rPr>
                    <w:t>-</w:t>
                  </w:r>
                </w:p>
              </w:tc>
            </w:tr>
            <w:tr w:rsidR="00E02F30" w:rsidRPr="00E02F30" w14:paraId="0B7AF905" w14:textId="77777777" w:rsidTr="00A1631B">
              <w:trPr>
                <w:trHeight w:val="538"/>
              </w:trPr>
              <w:tc>
                <w:tcPr>
                  <w:tcW w:w="2588" w:type="dxa"/>
                  <w:gridSpan w:val="2"/>
                  <w:tcBorders>
                    <w:top w:val="single" w:sz="4" w:space="0" w:color="000000"/>
                    <w:left w:val="nil"/>
                    <w:bottom w:val="single" w:sz="4" w:space="0" w:color="000000"/>
                    <w:right w:val="single" w:sz="4" w:space="0" w:color="000000"/>
                  </w:tcBorders>
                  <w:vAlign w:val="center"/>
                </w:tcPr>
                <w:p w14:paraId="3C68ECC3" w14:textId="77777777" w:rsidR="00E02F30" w:rsidRPr="00E02F30" w:rsidRDefault="00E02F30" w:rsidP="00E02F30">
                  <w:pPr>
                    <w:ind w:left="8"/>
                    <w:rPr>
                      <w:rFonts w:cs="Arial"/>
                      <w:sz w:val="20"/>
                      <w:szCs w:val="20"/>
                    </w:rPr>
                  </w:pPr>
                  <w:r w:rsidRPr="00E02F30">
                    <w:rPr>
                      <w:rFonts w:cs="Arial"/>
                      <w:sz w:val="20"/>
                      <w:szCs w:val="20"/>
                    </w:rPr>
                    <w:t>f) Selektywna redukcja katalityczna (SCR)</w:t>
                  </w:r>
                </w:p>
              </w:tc>
              <w:tc>
                <w:tcPr>
                  <w:tcW w:w="2008" w:type="dxa"/>
                  <w:tcBorders>
                    <w:top w:val="single" w:sz="4" w:space="0" w:color="000000"/>
                    <w:left w:val="single" w:sz="4" w:space="0" w:color="000000"/>
                    <w:bottom w:val="single" w:sz="4" w:space="0" w:color="000000"/>
                    <w:right w:val="single" w:sz="4" w:space="0" w:color="000000"/>
                  </w:tcBorders>
                  <w:vAlign w:val="center"/>
                </w:tcPr>
                <w:p w14:paraId="204FC457" w14:textId="77777777" w:rsidR="00E02F30" w:rsidRPr="00E02F30" w:rsidRDefault="00E02F30" w:rsidP="00E02F30">
                  <w:pPr>
                    <w:ind w:right="95"/>
                    <w:jc w:val="center"/>
                    <w:rPr>
                      <w:rFonts w:cs="Arial"/>
                      <w:sz w:val="20"/>
                      <w:szCs w:val="20"/>
                    </w:rPr>
                  </w:pPr>
                  <w:r w:rsidRPr="00E02F30">
                    <w:rPr>
                      <w:rFonts w:cs="Arial"/>
                      <w:sz w:val="20"/>
                      <w:szCs w:val="20"/>
                    </w:rPr>
                    <w:t>NOX</w:t>
                  </w:r>
                </w:p>
              </w:tc>
              <w:tc>
                <w:tcPr>
                  <w:tcW w:w="3994" w:type="dxa"/>
                  <w:tcBorders>
                    <w:top w:val="single" w:sz="4" w:space="0" w:color="000000"/>
                    <w:left w:val="single" w:sz="4" w:space="0" w:color="000000"/>
                    <w:bottom w:val="single" w:sz="4" w:space="0" w:color="000000"/>
                    <w:right w:val="nil"/>
                  </w:tcBorders>
                </w:tcPr>
                <w:p w14:paraId="2F2C0CBB" w14:textId="77777777" w:rsidR="00E02F30" w:rsidRPr="00E02F30" w:rsidRDefault="00E02F30" w:rsidP="00E02F30">
                  <w:pPr>
                    <w:ind w:left="17"/>
                    <w:rPr>
                      <w:rFonts w:cs="Arial"/>
                      <w:sz w:val="20"/>
                      <w:szCs w:val="20"/>
                    </w:rPr>
                  </w:pPr>
                  <w:r w:rsidRPr="00E02F30">
                    <w:rPr>
                      <w:rFonts w:cs="Arial"/>
                      <w:sz w:val="20"/>
                      <w:szCs w:val="20"/>
                    </w:rPr>
                    <w:t>Zastosowanie tej techniki może być ograniczone w przypadku istniejących pieców procesowych/ nagrzewnic ze względu na dostępność przestrzeni.</w:t>
                  </w:r>
                </w:p>
              </w:tc>
              <w:tc>
                <w:tcPr>
                  <w:tcW w:w="3943" w:type="dxa"/>
                  <w:tcBorders>
                    <w:top w:val="single" w:sz="4" w:space="0" w:color="000000"/>
                    <w:left w:val="single" w:sz="4" w:space="0" w:color="000000"/>
                    <w:bottom w:val="single" w:sz="4" w:space="0" w:color="000000"/>
                    <w:right w:val="nil"/>
                  </w:tcBorders>
                  <w:vAlign w:val="center"/>
                </w:tcPr>
                <w:p w14:paraId="47F13494" w14:textId="77777777" w:rsidR="00E02F30" w:rsidRPr="00E02F30" w:rsidRDefault="00E02F30" w:rsidP="00E02F30">
                  <w:pPr>
                    <w:jc w:val="center"/>
                    <w:rPr>
                      <w:rFonts w:cs="Arial"/>
                      <w:sz w:val="20"/>
                      <w:szCs w:val="20"/>
                    </w:rPr>
                  </w:pPr>
                  <w:r w:rsidRPr="00E02F30">
                    <w:rPr>
                      <w:rFonts w:cs="Arial"/>
                      <w:sz w:val="20"/>
                      <w:szCs w:val="20"/>
                    </w:rPr>
                    <w:t>-</w:t>
                  </w:r>
                </w:p>
              </w:tc>
            </w:tr>
            <w:tr w:rsidR="00E02F30" w:rsidRPr="00E02F30" w14:paraId="6108AFC0" w14:textId="77777777" w:rsidTr="00A1631B">
              <w:trPr>
                <w:trHeight w:val="20"/>
              </w:trPr>
              <w:tc>
                <w:tcPr>
                  <w:tcW w:w="2588" w:type="dxa"/>
                  <w:gridSpan w:val="2"/>
                  <w:tcBorders>
                    <w:top w:val="single" w:sz="4" w:space="0" w:color="000000"/>
                    <w:left w:val="nil"/>
                    <w:bottom w:val="single" w:sz="4" w:space="0" w:color="000000"/>
                    <w:right w:val="single" w:sz="4" w:space="0" w:color="000000"/>
                  </w:tcBorders>
                  <w:vAlign w:val="center"/>
                </w:tcPr>
                <w:p w14:paraId="07AFF3D6" w14:textId="77777777" w:rsidR="00E02F30" w:rsidRPr="00E02F30" w:rsidRDefault="00E02F30" w:rsidP="00E02F30">
                  <w:pPr>
                    <w:ind w:left="8"/>
                    <w:rPr>
                      <w:rFonts w:cs="Arial"/>
                      <w:sz w:val="20"/>
                      <w:szCs w:val="20"/>
                    </w:rPr>
                  </w:pPr>
                  <w:r w:rsidRPr="00E02F30">
                    <w:rPr>
                      <w:rFonts w:cs="Arial"/>
                      <w:sz w:val="20"/>
                      <w:szCs w:val="20"/>
                    </w:rPr>
                    <w:t>g) Selektywna redukcja niekatalityczna (SNCR)</w:t>
                  </w:r>
                </w:p>
              </w:tc>
              <w:tc>
                <w:tcPr>
                  <w:tcW w:w="2008" w:type="dxa"/>
                  <w:tcBorders>
                    <w:top w:val="single" w:sz="4" w:space="0" w:color="000000"/>
                    <w:left w:val="single" w:sz="4" w:space="0" w:color="000000"/>
                    <w:bottom w:val="single" w:sz="4" w:space="0" w:color="000000"/>
                    <w:right w:val="single" w:sz="4" w:space="0" w:color="000000"/>
                  </w:tcBorders>
                  <w:vAlign w:val="center"/>
                </w:tcPr>
                <w:p w14:paraId="042A0301" w14:textId="77777777" w:rsidR="00E02F30" w:rsidRPr="00E02F30" w:rsidRDefault="00E02F30" w:rsidP="00E02F30">
                  <w:pPr>
                    <w:ind w:right="95"/>
                    <w:jc w:val="center"/>
                    <w:rPr>
                      <w:rFonts w:cs="Arial"/>
                      <w:sz w:val="20"/>
                      <w:szCs w:val="20"/>
                    </w:rPr>
                  </w:pPr>
                  <w:r w:rsidRPr="00E02F30">
                    <w:rPr>
                      <w:rFonts w:cs="Arial"/>
                      <w:sz w:val="20"/>
                      <w:szCs w:val="20"/>
                    </w:rPr>
                    <w:t>NOX</w:t>
                  </w:r>
                </w:p>
              </w:tc>
              <w:tc>
                <w:tcPr>
                  <w:tcW w:w="3994" w:type="dxa"/>
                  <w:tcBorders>
                    <w:top w:val="single" w:sz="4" w:space="0" w:color="000000"/>
                    <w:left w:val="single" w:sz="4" w:space="0" w:color="000000"/>
                    <w:bottom w:val="single" w:sz="4" w:space="0" w:color="000000"/>
                    <w:right w:val="nil"/>
                  </w:tcBorders>
                </w:tcPr>
                <w:p w14:paraId="5AC201EC" w14:textId="77777777" w:rsidR="00E02F30" w:rsidRPr="00E02F30" w:rsidRDefault="00E02F30" w:rsidP="00E02F30">
                  <w:pPr>
                    <w:ind w:left="17"/>
                    <w:rPr>
                      <w:rFonts w:cs="Arial"/>
                      <w:sz w:val="20"/>
                      <w:szCs w:val="20"/>
                    </w:rPr>
                  </w:pPr>
                  <w:r w:rsidRPr="00E02F30">
                    <w:rPr>
                      <w:rFonts w:cs="Arial"/>
                      <w:sz w:val="20"/>
                      <w:szCs w:val="20"/>
                    </w:rPr>
                    <w:t>Zastosowanie tej techniki do istniejących pieców procesowych/nagrzewnic może być ograniczone ze względu na zakres temperatur (800–1 100 ° C) i czas przebywania, którego wymaga reakcja.</w:t>
                  </w:r>
                </w:p>
              </w:tc>
              <w:tc>
                <w:tcPr>
                  <w:tcW w:w="3943" w:type="dxa"/>
                  <w:tcBorders>
                    <w:top w:val="single" w:sz="4" w:space="0" w:color="000000"/>
                    <w:left w:val="single" w:sz="4" w:space="0" w:color="000000"/>
                    <w:bottom w:val="single" w:sz="4" w:space="0" w:color="000000"/>
                    <w:right w:val="nil"/>
                  </w:tcBorders>
                  <w:vAlign w:val="center"/>
                </w:tcPr>
                <w:p w14:paraId="5FD09C4A" w14:textId="77777777" w:rsidR="00E02F30" w:rsidRPr="00E02F30" w:rsidRDefault="00E02F30" w:rsidP="00E02F30">
                  <w:pPr>
                    <w:jc w:val="center"/>
                    <w:rPr>
                      <w:rFonts w:cs="Arial"/>
                      <w:sz w:val="20"/>
                      <w:szCs w:val="20"/>
                    </w:rPr>
                  </w:pPr>
                  <w:r w:rsidRPr="00E02F30">
                    <w:rPr>
                      <w:rFonts w:cs="Arial"/>
                      <w:sz w:val="20"/>
                      <w:szCs w:val="20"/>
                    </w:rPr>
                    <w:t>-</w:t>
                  </w:r>
                </w:p>
              </w:tc>
            </w:tr>
          </w:tbl>
          <w:p w14:paraId="254B5608" w14:textId="77777777" w:rsidR="00E02F30" w:rsidRPr="00E02F30" w:rsidRDefault="00E02F30" w:rsidP="00E02F30">
            <w:pPr>
              <w:spacing w:after="0" w:line="240" w:lineRule="auto"/>
              <w:rPr>
                <w:rFonts w:eastAsia="Times New Roman" w:cs="Arial"/>
                <w:bCs/>
                <w:sz w:val="20"/>
                <w:szCs w:val="20"/>
                <w:lang w:eastAsia="pl-PL"/>
              </w:rPr>
            </w:pPr>
          </w:p>
          <w:p w14:paraId="56303F5B" w14:textId="77777777" w:rsidR="00E02F30" w:rsidRPr="00E02F30" w:rsidRDefault="00E02F30" w:rsidP="00E02F30">
            <w:pPr>
              <w:spacing w:after="0" w:line="240" w:lineRule="auto"/>
              <w:ind w:left="432"/>
              <w:rPr>
                <w:rFonts w:eastAsia="Times New Roman" w:cs="Arial"/>
                <w:bCs/>
                <w:i/>
                <w:sz w:val="20"/>
                <w:szCs w:val="20"/>
                <w:lang w:eastAsia="pl-PL"/>
              </w:rPr>
            </w:pPr>
            <w:r w:rsidRPr="00E02F30">
              <w:rPr>
                <w:rFonts w:eastAsia="Times New Roman" w:cs="Arial"/>
                <w:bCs/>
                <w:i/>
                <w:sz w:val="20"/>
                <w:szCs w:val="20"/>
                <w:lang w:eastAsia="pl-PL"/>
              </w:rPr>
              <w:t>Tabela 1.15</w:t>
            </w:r>
          </w:p>
          <w:p w14:paraId="13FB66B8"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
                <w:bCs/>
                <w:sz w:val="20"/>
                <w:szCs w:val="20"/>
                <w:lang w:eastAsia="pl-PL"/>
              </w:rPr>
              <w:t>Poziom emisji powiązany z najlepszymi dostępnymi technikami (BAT-AEL) w odniesieniu do emisji zorganizowanych do powietrza NO</w:t>
            </w:r>
            <w:r w:rsidRPr="00E02F30">
              <w:rPr>
                <w:rFonts w:eastAsia="Times New Roman" w:cs="Arial"/>
                <w:b/>
                <w:bCs/>
                <w:sz w:val="20"/>
                <w:szCs w:val="20"/>
                <w:vertAlign w:val="subscript"/>
                <w:lang w:eastAsia="pl-PL"/>
              </w:rPr>
              <w:t xml:space="preserve">X </w:t>
            </w:r>
            <w:r w:rsidRPr="00E02F30">
              <w:rPr>
                <w:rFonts w:eastAsia="Times New Roman" w:cs="Arial"/>
                <w:b/>
                <w:bCs/>
                <w:sz w:val="20"/>
                <w:szCs w:val="20"/>
                <w:lang w:eastAsia="pl-PL"/>
              </w:rPr>
              <w:t xml:space="preserve">i wskaźnikowy poziom emisji w odniesieniu do zorganizowanych emisji CO do powietrza z pieców procesowych/nagrzewnic </w:t>
            </w:r>
          </w:p>
          <w:tbl>
            <w:tblPr>
              <w:tblW w:w="8164" w:type="dxa"/>
              <w:tblInd w:w="1020" w:type="dxa"/>
              <w:tblLayout w:type="fixed"/>
              <w:tblCellMar>
                <w:top w:w="107" w:type="dxa"/>
                <w:right w:w="40" w:type="dxa"/>
              </w:tblCellMar>
              <w:tblLook w:val="04A0" w:firstRow="1" w:lastRow="0" w:firstColumn="1" w:lastColumn="0" w:noHBand="0" w:noVBand="1"/>
            </w:tblPr>
            <w:tblGrid>
              <w:gridCol w:w="4587"/>
              <w:gridCol w:w="3577"/>
            </w:tblGrid>
            <w:tr w:rsidR="00E02F30" w:rsidRPr="00E02F30" w14:paraId="6F0FB20C" w14:textId="77777777" w:rsidTr="00A1631B">
              <w:trPr>
                <w:trHeight w:val="727"/>
              </w:trPr>
              <w:tc>
                <w:tcPr>
                  <w:tcW w:w="4587" w:type="dxa"/>
                  <w:tcBorders>
                    <w:top w:val="single" w:sz="4" w:space="0" w:color="000000"/>
                    <w:left w:val="nil"/>
                    <w:bottom w:val="single" w:sz="4" w:space="0" w:color="000000"/>
                    <w:right w:val="single" w:sz="4" w:space="0" w:color="000000"/>
                  </w:tcBorders>
                  <w:vAlign w:val="center"/>
                </w:tcPr>
                <w:p w14:paraId="2EA06076"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Parametr</w:t>
                  </w:r>
                </w:p>
              </w:tc>
              <w:tc>
                <w:tcPr>
                  <w:tcW w:w="3577" w:type="dxa"/>
                  <w:tcBorders>
                    <w:top w:val="single" w:sz="4" w:space="0" w:color="000000"/>
                    <w:left w:val="single" w:sz="4" w:space="0" w:color="000000"/>
                    <w:bottom w:val="single" w:sz="4" w:space="0" w:color="000000"/>
                    <w:right w:val="nil"/>
                  </w:tcBorders>
                </w:tcPr>
                <w:p w14:paraId="59A14A82"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BAT-AEL (mg/Nm</w:t>
                  </w:r>
                  <w:r w:rsidRPr="00E02F30">
                    <w:rPr>
                      <w:rFonts w:eastAsia="Times New Roman" w:cs="Arial"/>
                      <w:bCs/>
                      <w:sz w:val="20"/>
                      <w:szCs w:val="20"/>
                      <w:vertAlign w:val="superscript"/>
                      <w:lang w:eastAsia="pl-PL"/>
                    </w:rPr>
                    <w:t>3</w:t>
                  </w:r>
                  <w:r w:rsidRPr="00E02F30">
                    <w:rPr>
                      <w:rFonts w:eastAsia="Times New Roman" w:cs="Arial"/>
                      <w:bCs/>
                      <w:sz w:val="20"/>
                      <w:szCs w:val="20"/>
                      <w:lang w:eastAsia="pl-PL"/>
                    </w:rPr>
                    <w:t>)</w:t>
                  </w:r>
                </w:p>
                <w:p w14:paraId="1BB44D8C"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(średnia dobowa lub średnia z okresu pobierania próbek)</w:t>
                  </w:r>
                </w:p>
              </w:tc>
            </w:tr>
            <w:tr w:rsidR="00E02F30" w:rsidRPr="00E02F30" w14:paraId="07BC5D26" w14:textId="77777777" w:rsidTr="00A1631B">
              <w:trPr>
                <w:trHeight w:val="359"/>
              </w:trPr>
              <w:tc>
                <w:tcPr>
                  <w:tcW w:w="4587" w:type="dxa"/>
                  <w:tcBorders>
                    <w:top w:val="single" w:sz="4" w:space="0" w:color="000000"/>
                    <w:left w:val="nil"/>
                    <w:bottom w:val="single" w:sz="4" w:space="0" w:color="000000"/>
                    <w:right w:val="single" w:sz="4" w:space="0" w:color="000000"/>
                  </w:tcBorders>
                </w:tcPr>
                <w:p w14:paraId="482E6D6C"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Tlenki azotu (NO</w:t>
                  </w:r>
                  <w:r w:rsidRPr="00E02F30">
                    <w:rPr>
                      <w:rFonts w:eastAsia="Times New Roman" w:cs="Arial"/>
                      <w:bCs/>
                      <w:sz w:val="20"/>
                      <w:szCs w:val="20"/>
                      <w:vertAlign w:val="subscript"/>
                      <w:lang w:eastAsia="pl-PL"/>
                    </w:rPr>
                    <w:t>X</w:t>
                  </w:r>
                  <w:r w:rsidRPr="00E02F30">
                    <w:rPr>
                      <w:rFonts w:eastAsia="Times New Roman" w:cs="Arial"/>
                      <w:bCs/>
                      <w:sz w:val="20"/>
                      <w:szCs w:val="20"/>
                      <w:lang w:eastAsia="pl-PL"/>
                    </w:rPr>
                    <w:t>)</w:t>
                  </w:r>
                </w:p>
              </w:tc>
              <w:tc>
                <w:tcPr>
                  <w:tcW w:w="3577" w:type="dxa"/>
                  <w:tcBorders>
                    <w:top w:val="single" w:sz="4" w:space="0" w:color="000000"/>
                    <w:left w:val="single" w:sz="4" w:space="0" w:color="000000"/>
                    <w:bottom w:val="single" w:sz="4" w:space="0" w:color="000000"/>
                    <w:right w:val="nil"/>
                  </w:tcBorders>
                </w:tcPr>
                <w:p w14:paraId="382893D6"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30–150 (</w:t>
                  </w:r>
                  <w:r w:rsidRPr="00E02F30">
                    <w:rPr>
                      <w:rFonts w:eastAsia="Times New Roman" w:cs="Arial"/>
                      <w:bCs/>
                      <w:sz w:val="20"/>
                      <w:szCs w:val="20"/>
                      <w:vertAlign w:val="superscript"/>
                      <w:lang w:eastAsia="pl-PL"/>
                    </w:rPr>
                    <w:t>1</w:t>
                  </w:r>
                  <w:r w:rsidRPr="00E02F30">
                    <w:rPr>
                      <w:rFonts w:eastAsia="Times New Roman" w:cs="Arial"/>
                      <w:bCs/>
                      <w:sz w:val="20"/>
                      <w:szCs w:val="20"/>
                      <w:lang w:eastAsia="pl-PL"/>
                    </w:rPr>
                    <w:t>) (</w:t>
                  </w:r>
                  <w:r w:rsidRPr="00E02F30">
                    <w:rPr>
                      <w:rFonts w:eastAsia="Times New Roman" w:cs="Arial"/>
                      <w:bCs/>
                      <w:sz w:val="20"/>
                      <w:szCs w:val="20"/>
                      <w:vertAlign w:val="superscript"/>
                      <w:lang w:eastAsia="pl-PL"/>
                    </w:rPr>
                    <w:t>2</w:t>
                  </w:r>
                  <w:r w:rsidRPr="00E02F30">
                    <w:rPr>
                      <w:rFonts w:eastAsia="Times New Roman" w:cs="Arial"/>
                      <w:bCs/>
                      <w:sz w:val="20"/>
                      <w:szCs w:val="20"/>
                      <w:lang w:eastAsia="pl-PL"/>
                    </w:rPr>
                    <w:t>) (</w:t>
                  </w:r>
                  <w:r w:rsidRPr="00E02F30">
                    <w:rPr>
                      <w:rFonts w:eastAsia="Times New Roman" w:cs="Arial"/>
                      <w:bCs/>
                      <w:sz w:val="20"/>
                      <w:szCs w:val="20"/>
                      <w:vertAlign w:val="superscript"/>
                      <w:lang w:eastAsia="pl-PL"/>
                    </w:rPr>
                    <w:t>3</w:t>
                  </w:r>
                  <w:r w:rsidRPr="00E02F30">
                    <w:rPr>
                      <w:rFonts w:eastAsia="Times New Roman" w:cs="Arial"/>
                      <w:bCs/>
                      <w:sz w:val="20"/>
                      <w:szCs w:val="20"/>
                      <w:lang w:eastAsia="pl-PL"/>
                    </w:rPr>
                    <w:t>)</w:t>
                  </w:r>
                </w:p>
              </w:tc>
            </w:tr>
            <w:tr w:rsidR="00E02F30" w:rsidRPr="00E02F30" w14:paraId="7B366D19" w14:textId="77777777" w:rsidTr="00A1631B">
              <w:trPr>
                <w:trHeight w:val="359"/>
              </w:trPr>
              <w:tc>
                <w:tcPr>
                  <w:tcW w:w="4587" w:type="dxa"/>
                  <w:tcBorders>
                    <w:top w:val="single" w:sz="4" w:space="0" w:color="000000"/>
                    <w:left w:val="nil"/>
                    <w:bottom w:val="single" w:sz="4" w:space="0" w:color="000000"/>
                    <w:right w:val="single" w:sz="4" w:space="0" w:color="000000"/>
                  </w:tcBorders>
                </w:tcPr>
                <w:p w14:paraId="604E3D90"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Tlenek węgla (CO)</w:t>
                  </w:r>
                </w:p>
              </w:tc>
              <w:tc>
                <w:tcPr>
                  <w:tcW w:w="3577" w:type="dxa"/>
                  <w:tcBorders>
                    <w:top w:val="single" w:sz="4" w:space="0" w:color="000000"/>
                    <w:left w:val="single" w:sz="4" w:space="0" w:color="000000"/>
                    <w:bottom w:val="single" w:sz="4" w:space="0" w:color="000000"/>
                    <w:right w:val="nil"/>
                  </w:tcBorders>
                </w:tcPr>
                <w:p w14:paraId="349CB772" w14:textId="77777777" w:rsidR="00E02F30" w:rsidRPr="00E02F30" w:rsidRDefault="00E02F30" w:rsidP="00E02F30">
                  <w:pPr>
                    <w:spacing w:after="0" w:line="240" w:lineRule="auto"/>
                    <w:rPr>
                      <w:rFonts w:eastAsia="Times New Roman" w:cs="Arial"/>
                      <w:bCs/>
                      <w:sz w:val="20"/>
                      <w:szCs w:val="20"/>
                      <w:lang w:eastAsia="pl-PL"/>
                    </w:rPr>
                  </w:pPr>
                  <w:r w:rsidRPr="00E02F30">
                    <w:rPr>
                      <w:rFonts w:eastAsia="Times New Roman" w:cs="Arial"/>
                      <w:bCs/>
                      <w:sz w:val="20"/>
                      <w:szCs w:val="20"/>
                      <w:lang w:eastAsia="pl-PL"/>
                    </w:rPr>
                    <w:t>Brak BAT-AEL (</w:t>
                  </w:r>
                  <w:r w:rsidRPr="00E02F30">
                    <w:rPr>
                      <w:rFonts w:eastAsia="Times New Roman" w:cs="Arial"/>
                      <w:bCs/>
                      <w:sz w:val="20"/>
                      <w:szCs w:val="20"/>
                      <w:vertAlign w:val="superscript"/>
                      <w:lang w:eastAsia="pl-PL"/>
                    </w:rPr>
                    <w:t>4</w:t>
                  </w:r>
                  <w:r w:rsidRPr="00E02F30">
                    <w:rPr>
                      <w:rFonts w:eastAsia="Times New Roman" w:cs="Arial"/>
                      <w:bCs/>
                      <w:sz w:val="20"/>
                      <w:szCs w:val="20"/>
                      <w:lang w:eastAsia="pl-PL"/>
                    </w:rPr>
                    <w:t>)</w:t>
                  </w:r>
                </w:p>
              </w:tc>
            </w:tr>
          </w:tbl>
          <w:p w14:paraId="72044C5E"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t>
            </w:r>
            <w:r w:rsidRPr="00E02F30">
              <w:rPr>
                <w:rFonts w:eastAsia="Times New Roman" w:cs="Arial"/>
                <w:bCs/>
                <w:sz w:val="20"/>
                <w:szCs w:val="20"/>
                <w:vertAlign w:val="superscript"/>
                <w:lang w:eastAsia="pl-PL"/>
              </w:rPr>
              <w:t>1</w:t>
            </w:r>
            <w:r w:rsidRPr="00E02F30">
              <w:rPr>
                <w:rFonts w:eastAsia="Times New Roman" w:cs="Arial"/>
                <w:bCs/>
                <w:sz w:val="20"/>
                <w:szCs w:val="20"/>
                <w:lang w:eastAsia="pl-PL"/>
              </w:rPr>
              <w:t>) W przypadku produkcji złożonych pigmentów nieorganicznych górna granica zakresu BAT-AEL może być wyższa i wynosić do 400 mg/Nm</w:t>
            </w:r>
            <w:r w:rsidRPr="00E02F30">
              <w:rPr>
                <w:rFonts w:eastAsia="Times New Roman" w:cs="Arial"/>
                <w:bCs/>
                <w:sz w:val="20"/>
                <w:szCs w:val="20"/>
                <w:vertAlign w:val="superscript"/>
                <w:lang w:eastAsia="pl-PL"/>
              </w:rPr>
              <w:t>3</w:t>
            </w:r>
            <w:r w:rsidRPr="00E02F30">
              <w:rPr>
                <w:rFonts w:eastAsia="Times New Roman" w:cs="Arial"/>
                <w:bCs/>
                <w:sz w:val="20"/>
                <w:szCs w:val="20"/>
                <w:lang w:eastAsia="pl-PL"/>
              </w:rPr>
              <w:t>, jeżeli spełniono warunek określony w lit. b) poniżej, oraz do 1 000 mg/Nm</w:t>
            </w:r>
            <w:r w:rsidRPr="00E02F30">
              <w:rPr>
                <w:rFonts w:eastAsia="Times New Roman" w:cs="Arial"/>
                <w:bCs/>
                <w:sz w:val="20"/>
                <w:szCs w:val="20"/>
                <w:vertAlign w:val="superscript"/>
                <w:lang w:eastAsia="pl-PL"/>
              </w:rPr>
              <w:t>3</w:t>
            </w:r>
            <w:r w:rsidRPr="00E02F30">
              <w:rPr>
                <w:rFonts w:eastAsia="Times New Roman" w:cs="Arial"/>
                <w:bCs/>
                <w:sz w:val="20"/>
                <w:szCs w:val="20"/>
                <w:lang w:eastAsia="pl-PL"/>
              </w:rPr>
              <w:t>, jeżeli spełnione są warunki określone w lit. a) i b) poniżej:</w:t>
            </w:r>
          </w:p>
          <w:p w14:paraId="29F2AEC2" w14:textId="77777777" w:rsidR="00E02F30" w:rsidRPr="00E02F30" w:rsidRDefault="00E02F30">
            <w:pPr>
              <w:numPr>
                <w:ilvl w:val="0"/>
                <w:numId w:val="70"/>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temperatura spalania jest wyższa niż 1 000 °C;</w:t>
            </w:r>
          </w:p>
          <w:p w14:paraId="5E26FEA6" w14:textId="77777777" w:rsidR="00E02F30" w:rsidRPr="00E02F30" w:rsidRDefault="00E02F30">
            <w:pPr>
              <w:numPr>
                <w:ilvl w:val="0"/>
                <w:numId w:val="70"/>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wykorzystuje się powietrze wzbogacone w tlen lub czysty tlen.</w:t>
            </w:r>
          </w:p>
          <w:p w14:paraId="19040CA9" w14:textId="77777777" w:rsidR="00E02F30" w:rsidRPr="00E02F30" w:rsidRDefault="00E02F30">
            <w:pPr>
              <w:numPr>
                <w:ilvl w:val="0"/>
                <w:numId w:val="97"/>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BAT-AEL nie ma zastosowania do niewielkich emisji (tj. gdy przepływ masowy NO</w:t>
            </w:r>
            <w:r w:rsidRPr="00E02F30">
              <w:rPr>
                <w:rFonts w:eastAsia="Times New Roman" w:cs="Arial"/>
                <w:bCs/>
                <w:sz w:val="20"/>
                <w:szCs w:val="20"/>
                <w:vertAlign w:val="subscript"/>
                <w:lang w:eastAsia="pl-PL"/>
              </w:rPr>
              <w:t xml:space="preserve">X </w:t>
            </w:r>
            <w:r w:rsidRPr="00E02F30">
              <w:rPr>
                <w:rFonts w:eastAsia="Times New Roman" w:cs="Arial"/>
                <w:bCs/>
                <w:sz w:val="20"/>
                <w:szCs w:val="20"/>
                <w:lang w:eastAsia="pl-PL"/>
              </w:rPr>
              <w:t>wynosi poniżej np. 500 g/h).</w:t>
            </w:r>
          </w:p>
          <w:p w14:paraId="4B666784" w14:textId="77777777" w:rsidR="00E02F30" w:rsidRPr="00E02F30" w:rsidRDefault="00E02F30">
            <w:pPr>
              <w:numPr>
                <w:ilvl w:val="0"/>
                <w:numId w:val="97"/>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Górna granica zakresu BAT-AEL może być wyższa i wynosić do 200 mg/Nm</w:t>
            </w:r>
            <w:r w:rsidRPr="00E02F30">
              <w:rPr>
                <w:rFonts w:eastAsia="Times New Roman" w:cs="Arial"/>
                <w:bCs/>
                <w:sz w:val="20"/>
                <w:szCs w:val="20"/>
                <w:vertAlign w:val="superscript"/>
                <w:lang w:eastAsia="pl-PL"/>
              </w:rPr>
              <w:t xml:space="preserve">3 </w:t>
            </w:r>
            <w:r w:rsidRPr="00E02F30">
              <w:rPr>
                <w:rFonts w:eastAsia="Times New Roman" w:cs="Arial"/>
                <w:bCs/>
                <w:sz w:val="20"/>
                <w:szCs w:val="20"/>
                <w:lang w:eastAsia="pl-PL"/>
              </w:rPr>
              <w:t>w przypadku stosowania ogrzewania bezpośredniego.</w:t>
            </w:r>
          </w:p>
          <w:p w14:paraId="329E0EAB" w14:textId="77777777" w:rsidR="00E02F30" w:rsidRPr="00E02F30" w:rsidRDefault="00E02F30">
            <w:pPr>
              <w:numPr>
                <w:ilvl w:val="0"/>
                <w:numId w:val="97"/>
              </w:num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Jako wskaźnik, poziomy emisji tlenku węgla przyjmują wartość 4–50 mg/Nm</w:t>
            </w:r>
            <w:r w:rsidRPr="00E02F30">
              <w:rPr>
                <w:rFonts w:eastAsia="Times New Roman" w:cs="Arial"/>
                <w:bCs/>
                <w:sz w:val="20"/>
                <w:szCs w:val="20"/>
                <w:vertAlign w:val="superscript"/>
                <w:lang w:eastAsia="pl-PL"/>
              </w:rPr>
              <w:t xml:space="preserve">3 </w:t>
            </w:r>
            <w:r w:rsidRPr="00E02F30">
              <w:rPr>
                <w:rFonts w:eastAsia="Times New Roman" w:cs="Arial"/>
                <w:bCs/>
                <w:sz w:val="20"/>
                <w:szCs w:val="20"/>
                <w:lang w:eastAsia="pl-PL"/>
              </w:rPr>
              <w:t>wyrażoną jako średnia dobowa lub średnia z okresu pobierania próbek.</w:t>
            </w:r>
          </w:p>
        </w:tc>
      </w:tr>
      <w:tr w:rsidR="00E02F30" w:rsidRPr="00E02F30" w14:paraId="7CBD9C55" w14:textId="77777777" w:rsidTr="00A1631B">
        <w:trPr>
          <w:trHeight w:val="284"/>
        </w:trPr>
        <w:tc>
          <w:tcPr>
            <w:tcW w:w="1985" w:type="dxa"/>
            <w:gridSpan w:val="2"/>
            <w:shd w:val="clear" w:color="auto" w:fill="auto"/>
            <w:vAlign w:val="center"/>
          </w:tcPr>
          <w:p w14:paraId="0AB3CE88" w14:textId="77777777" w:rsidR="00E02F30" w:rsidRPr="00E02F30" w:rsidRDefault="00E02F30" w:rsidP="00E02F30">
            <w:pPr>
              <w:spacing w:after="0" w:line="240" w:lineRule="auto"/>
              <w:jc w:val="center"/>
              <w:rPr>
                <w:rFonts w:eastAsia="Times New Roman" w:cs="Arial"/>
                <w:b/>
                <w:sz w:val="20"/>
                <w:szCs w:val="20"/>
                <w:lang w:eastAsia="pl-PL"/>
              </w:rPr>
            </w:pPr>
            <w:r w:rsidRPr="00E02F30">
              <w:rPr>
                <w:rFonts w:eastAsia="Times New Roman" w:cs="Arial"/>
                <w:b/>
                <w:sz w:val="20"/>
                <w:szCs w:val="20"/>
                <w:lang w:eastAsia="pl-PL"/>
              </w:rPr>
              <w:t>OCENA STANU ZGODNOŚCI INSTALACJI</w:t>
            </w:r>
          </w:p>
          <w:p w14:paraId="2F06E8C9" w14:textId="77777777" w:rsidR="00E02F30" w:rsidRPr="00E02F30" w:rsidRDefault="00E02F30" w:rsidP="00E02F30">
            <w:pPr>
              <w:spacing w:after="0" w:line="240" w:lineRule="auto"/>
              <w:jc w:val="center"/>
              <w:rPr>
                <w:rFonts w:eastAsia="Times New Roman" w:cs="Arial"/>
                <w:bCs/>
                <w:sz w:val="20"/>
                <w:szCs w:val="20"/>
                <w:lang w:eastAsia="pl-PL"/>
              </w:rPr>
            </w:pPr>
            <w:r w:rsidRPr="00E02F30">
              <w:rPr>
                <w:rFonts w:eastAsia="Times New Roman" w:cs="Arial"/>
                <w:b/>
                <w:sz w:val="20"/>
                <w:szCs w:val="20"/>
                <w:lang w:eastAsia="pl-PL"/>
              </w:rPr>
              <w:t>(zgodne / niezgodne / uwaga / nie dotyczy)</w:t>
            </w:r>
          </w:p>
        </w:tc>
        <w:tc>
          <w:tcPr>
            <w:tcW w:w="8647" w:type="dxa"/>
            <w:gridSpan w:val="4"/>
            <w:shd w:val="clear" w:color="auto" w:fill="auto"/>
          </w:tcPr>
          <w:p w14:paraId="371D3565" w14:textId="77777777" w:rsidR="00E02F30" w:rsidRPr="00E02F30" w:rsidRDefault="00E02F30" w:rsidP="00E02F30">
            <w:pPr>
              <w:spacing w:after="0" w:line="240" w:lineRule="auto"/>
              <w:rPr>
                <w:rFonts w:eastAsia="Times New Roman" w:cs="Arial"/>
                <w:b/>
                <w:sz w:val="20"/>
                <w:szCs w:val="20"/>
                <w:lang w:eastAsia="pl-PL"/>
              </w:rPr>
            </w:pPr>
            <w:r w:rsidRPr="00E02F30">
              <w:rPr>
                <w:rFonts w:eastAsia="Times New Roman" w:cs="Arial"/>
                <w:b/>
                <w:sz w:val="20"/>
                <w:szCs w:val="20"/>
                <w:lang w:eastAsia="pl-PL"/>
              </w:rPr>
              <w:t>Nie dotyczy</w:t>
            </w:r>
          </w:p>
          <w:p w14:paraId="76963D61" w14:textId="77777777" w:rsidR="00E02F30" w:rsidRPr="00E02F30" w:rsidRDefault="00E02F30" w:rsidP="00E02F30">
            <w:pPr>
              <w:spacing w:after="0" w:line="240" w:lineRule="auto"/>
              <w:jc w:val="both"/>
              <w:rPr>
                <w:rFonts w:eastAsia="Times New Roman" w:cs="Arial"/>
                <w:bCs/>
                <w:sz w:val="20"/>
                <w:szCs w:val="20"/>
                <w:lang w:eastAsia="pl-PL"/>
              </w:rPr>
            </w:pPr>
            <w:r w:rsidRPr="00E02F30">
              <w:rPr>
                <w:rFonts w:eastAsia="Times New Roman" w:cs="Arial"/>
                <w:bCs/>
                <w:sz w:val="20"/>
                <w:szCs w:val="20"/>
                <w:lang w:eastAsia="pl-PL"/>
              </w:rPr>
              <w:t xml:space="preserve">W instalacji </w:t>
            </w:r>
            <w:r w:rsidRPr="00E02F30">
              <w:rPr>
                <w:rFonts w:eastAsia="Times New Roman" w:cs="Arial"/>
                <w:sz w:val="20"/>
                <w:szCs w:val="20"/>
                <w:lang w:eastAsia="pl-PL"/>
              </w:rPr>
              <w:t>Nienasyconych żywic poliestrowych (</w:t>
            </w:r>
            <w:r w:rsidRPr="00E02F30">
              <w:rPr>
                <w:rFonts w:eastAsia="Times New Roman" w:cs="Arial"/>
                <w:b/>
                <w:bCs/>
                <w:sz w:val="20"/>
                <w:szCs w:val="20"/>
                <w:lang w:eastAsia="pl-PL"/>
              </w:rPr>
              <w:t>Z</w:t>
            </w:r>
            <w:r w:rsidRPr="00E02F30">
              <w:rPr>
                <w:rFonts w:eastAsia="Times New Roman" w:cs="Arial"/>
                <w:sz w:val="20"/>
                <w:szCs w:val="20"/>
                <w:lang w:eastAsia="pl-PL"/>
              </w:rPr>
              <w:t xml:space="preserve">) </w:t>
            </w:r>
            <w:r w:rsidRPr="00E02F30">
              <w:rPr>
                <w:rFonts w:eastAsia="Times New Roman" w:cs="Arial"/>
                <w:bCs/>
                <w:sz w:val="20"/>
                <w:szCs w:val="20"/>
                <w:lang w:eastAsia="pl-PL"/>
              </w:rPr>
              <w:t>nie są wykorzystywane piece procesowe i nagrzewnice.</w:t>
            </w:r>
          </w:p>
        </w:tc>
      </w:tr>
    </w:tbl>
    <w:p w14:paraId="112370E0" w14:textId="77777777" w:rsidR="00E02F30" w:rsidRPr="00E02F30" w:rsidRDefault="00E02F30" w:rsidP="00E02F30">
      <w:pPr>
        <w:spacing w:before="60" w:after="60" w:line="276" w:lineRule="auto"/>
        <w:ind w:firstLine="709"/>
        <w:jc w:val="both"/>
        <w:rPr>
          <w:rFonts w:eastAsia="Times New Roman" w:cs="Arial"/>
          <w:szCs w:val="24"/>
          <w:lang w:eastAsia="pl-PL"/>
        </w:rPr>
      </w:pPr>
      <w:r w:rsidRPr="00E02F30">
        <w:rPr>
          <w:rFonts w:eastAsia="Times New Roman" w:cs="Arial"/>
          <w:szCs w:val="24"/>
          <w:lang w:eastAsia="pl-PL"/>
        </w:rPr>
        <w:t>Prowadzący instalacje posiada przyjętą i realizuje politykę dotyczącą jakości, środowiska i bezpieczeństwa obejmującą zespół działań zmierzających do minimalizacji wpływu na środowisko. Ponadto w Spółce realizowane są i wdrożone:</w:t>
      </w:r>
    </w:p>
    <w:p w14:paraId="17AE0EEE" w14:textId="77777777" w:rsidR="00E02F30" w:rsidRPr="00E02F30" w:rsidRDefault="00E02F30">
      <w:pPr>
        <w:widowControl w:val="0"/>
        <w:numPr>
          <w:ilvl w:val="0"/>
          <w:numId w:val="94"/>
        </w:numPr>
        <w:adjustRightInd w:val="0"/>
        <w:spacing w:after="0" w:line="276" w:lineRule="auto"/>
        <w:ind w:left="425" w:hanging="425"/>
        <w:jc w:val="both"/>
        <w:textAlignment w:val="baseline"/>
        <w:rPr>
          <w:rFonts w:eastAsia="Times New Roman" w:cs="Arial"/>
          <w:szCs w:val="24"/>
          <w:lang w:eastAsia="pl-PL"/>
        </w:rPr>
      </w:pPr>
      <w:r w:rsidRPr="00E02F30">
        <w:rPr>
          <w:rFonts w:eastAsia="Times New Roman" w:cs="Arial"/>
          <w:szCs w:val="24"/>
          <w:lang w:eastAsia="pl-PL"/>
        </w:rPr>
        <w:t xml:space="preserve">System Zarządzania Jakością ISO 9001:2015, </w:t>
      </w:r>
    </w:p>
    <w:p w14:paraId="0B7F73DE" w14:textId="77777777" w:rsidR="00E02F30" w:rsidRPr="00E02F30" w:rsidRDefault="00E02F30">
      <w:pPr>
        <w:widowControl w:val="0"/>
        <w:numPr>
          <w:ilvl w:val="0"/>
          <w:numId w:val="94"/>
        </w:numPr>
        <w:adjustRightInd w:val="0"/>
        <w:spacing w:after="0" w:line="276" w:lineRule="auto"/>
        <w:ind w:left="425" w:hanging="425"/>
        <w:jc w:val="both"/>
        <w:textAlignment w:val="baseline"/>
        <w:rPr>
          <w:rFonts w:eastAsia="Times New Roman" w:cs="Arial"/>
          <w:szCs w:val="24"/>
          <w:lang w:eastAsia="pl-PL"/>
        </w:rPr>
      </w:pPr>
      <w:r w:rsidRPr="00E02F30">
        <w:rPr>
          <w:rFonts w:eastAsia="Times New Roman" w:cs="Arial"/>
          <w:szCs w:val="24"/>
          <w:lang w:eastAsia="pl-PL"/>
        </w:rPr>
        <w:t>System Zarządzania Bezpieczeństwem oparty na wymaganiach normy PN ISO 45001:2018,</w:t>
      </w:r>
    </w:p>
    <w:p w14:paraId="338CAFFD" w14:textId="77777777" w:rsidR="00E02F30" w:rsidRPr="00E02F30" w:rsidRDefault="00E02F30">
      <w:pPr>
        <w:widowControl w:val="0"/>
        <w:numPr>
          <w:ilvl w:val="0"/>
          <w:numId w:val="94"/>
        </w:numPr>
        <w:adjustRightInd w:val="0"/>
        <w:spacing w:after="0" w:line="276" w:lineRule="auto"/>
        <w:ind w:left="425" w:hanging="425"/>
        <w:jc w:val="both"/>
        <w:textAlignment w:val="baseline"/>
        <w:rPr>
          <w:rFonts w:eastAsia="Times New Roman" w:cs="Arial"/>
          <w:szCs w:val="24"/>
          <w:lang w:eastAsia="pl-PL"/>
        </w:rPr>
      </w:pPr>
      <w:r w:rsidRPr="00E02F30">
        <w:rPr>
          <w:rFonts w:eastAsia="Times New Roman" w:cs="Arial"/>
          <w:szCs w:val="24"/>
          <w:lang w:eastAsia="pl-PL"/>
        </w:rPr>
        <w:t>System Zarządzania Środowiskowego oparty na wymaganiach normy PN – EN ISO 14001:2015.</w:t>
      </w:r>
    </w:p>
    <w:p w14:paraId="37485A6C" w14:textId="3C48C4EE" w:rsidR="00E02F30" w:rsidRPr="00E02F30" w:rsidRDefault="00E02F30" w:rsidP="00E02F30">
      <w:pPr>
        <w:autoSpaceDE w:val="0"/>
        <w:autoSpaceDN w:val="0"/>
        <w:adjustRightInd w:val="0"/>
        <w:spacing w:after="0" w:line="276" w:lineRule="auto"/>
        <w:jc w:val="both"/>
        <w:rPr>
          <w:rFonts w:eastAsia="Calibri" w:cs="Arial"/>
          <w:b/>
          <w:szCs w:val="24"/>
        </w:rPr>
      </w:pPr>
      <w:r w:rsidRPr="00E02F30">
        <w:rPr>
          <w:rFonts w:eastAsia="Calibri" w:cs="Arial"/>
          <w:szCs w:val="24"/>
        </w:rPr>
        <w:t>Uwzględniając powyższe okoliczności uznano, że instalacje których dotyczy wniosek spełniają</w:t>
      </w:r>
      <w:r w:rsidRPr="00E02F30">
        <w:rPr>
          <w:rFonts w:eastAsia="Calibri" w:cs="Arial"/>
          <w:b/>
          <w:bCs/>
          <w:szCs w:val="24"/>
        </w:rPr>
        <w:t xml:space="preserve"> </w:t>
      </w:r>
      <w:r w:rsidRPr="00E02F30">
        <w:rPr>
          <w:rFonts w:eastAsia="Calibri" w:cs="Arial"/>
          <w:szCs w:val="24"/>
        </w:rPr>
        <w:t>wymogi najlepszych dostępnych technik, o których mowa</w:t>
      </w:r>
      <w:r>
        <w:rPr>
          <w:rFonts w:eastAsia="Calibri" w:cs="Arial"/>
          <w:szCs w:val="24"/>
        </w:rPr>
        <w:t xml:space="preserve"> </w:t>
      </w:r>
      <w:r w:rsidRPr="00E02F30">
        <w:rPr>
          <w:rFonts w:eastAsia="Calibri" w:cs="Arial"/>
          <w:szCs w:val="24"/>
        </w:rPr>
        <w:t>w art. 204 ust. 1 w</w:t>
      </w:r>
      <w:r>
        <w:rPr>
          <w:rFonts w:eastAsia="Calibri" w:cs="Arial"/>
          <w:szCs w:val="24"/>
        </w:rPr>
        <w:t> </w:t>
      </w:r>
      <w:r w:rsidRPr="00E02F30">
        <w:rPr>
          <w:rFonts w:eastAsia="Calibri" w:cs="Arial"/>
          <w:szCs w:val="24"/>
        </w:rPr>
        <w:t>związku z art. 207 ustawy Prawo ochrony środowiska tj.: dokumentów referencyjnych oraz konkluzji CWW, natomiast do przestrzegania wymagań zawartych w konkluzjach WGC zobowiązano Prowadzącego instalacje od 12 grudnia 2026 r. w</w:t>
      </w:r>
      <w:r>
        <w:rPr>
          <w:rFonts w:eastAsia="Calibri" w:cs="Arial"/>
          <w:szCs w:val="24"/>
        </w:rPr>
        <w:t> </w:t>
      </w:r>
      <w:r w:rsidRPr="00E02F30">
        <w:rPr>
          <w:rFonts w:eastAsia="Calibri" w:cs="Arial"/>
          <w:szCs w:val="24"/>
        </w:rPr>
        <w:t>punktach II i VI niniejszej decyzji.</w:t>
      </w:r>
    </w:p>
    <w:p w14:paraId="6DC1AF15" w14:textId="77777777" w:rsidR="00E02F30" w:rsidRPr="00E02F30" w:rsidRDefault="00E02F30" w:rsidP="00E02F30">
      <w:pPr>
        <w:suppressAutoHyphens/>
        <w:autoSpaceDE w:val="0"/>
        <w:autoSpaceDN w:val="0"/>
        <w:adjustRightInd w:val="0"/>
        <w:spacing w:after="0" w:line="276" w:lineRule="auto"/>
        <w:ind w:firstLine="708"/>
        <w:contextualSpacing/>
        <w:jc w:val="both"/>
        <w:rPr>
          <w:rFonts w:eastAsia="Times New Roman" w:cs="Arial"/>
          <w:szCs w:val="24"/>
          <w:lang w:eastAsia="pl-PL"/>
        </w:rPr>
      </w:pPr>
      <w:r w:rsidRPr="00E02F30">
        <w:rPr>
          <w:rFonts w:eastAsia="Calibri" w:cs="Arial"/>
          <w:szCs w:val="24"/>
        </w:rPr>
        <w:t xml:space="preserve">Z analizy dokumentów referencyjnych oraz konkluzji BAT wynika, że dzięki zastosowaniu odpowiednich procedur, rozwiązań technicznych i organizacyjnych, zasad magazynowania substancji niebezpiecznych oraz </w:t>
      </w:r>
      <w:r w:rsidRPr="00E02F30">
        <w:rPr>
          <w:rFonts w:eastAsia="Times New Roman" w:cs="Arial"/>
          <w:szCs w:val="24"/>
          <w:lang w:eastAsia="pl-PL"/>
        </w:rPr>
        <w:t>nadzoru nad procesami technologicznymi w instalacji i</w:t>
      </w:r>
      <w:r w:rsidRPr="00E02F30">
        <w:rPr>
          <w:rFonts w:eastAsia="Calibri" w:cs="Arial"/>
          <w:szCs w:val="24"/>
        </w:rPr>
        <w:t xml:space="preserve"> prowadzeniu monitoringu </w:t>
      </w:r>
      <w:r w:rsidRPr="00E02F30">
        <w:rPr>
          <w:rFonts w:eastAsia="Times New Roman" w:cs="Arial"/>
          <w:szCs w:val="24"/>
          <w:lang w:eastAsia="pl-PL"/>
        </w:rPr>
        <w:t xml:space="preserve">emisji zanieczyszczeń emitowanych do środowiska, ryzyko wpływu instalacji na środowisko zostanie ograniczone. </w:t>
      </w:r>
    </w:p>
    <w:p w14:paraId="3A66AE44" w14:textId="77777777" w:rsidR="00E02F30" w:rsidRPr="00E02F30" w:rsidRDefault="00E02F30" w:rsidP="00E02F30">
      <w:pPr>
        <w:suppressAutoHyphens/>
        <w:autoSpaceDE w:val="0"/>
        <w:autoSpaceDN w:val="0"/>
        <w:adjustRightInd w:val="0"/>
        <w:spacing w:after="0" w:line="276" w:lineRule="auto"/>
        <w:ind w:firstLine="708"/>
        <w:contextualSpacing/>
        <w:jc w:val="both"/>
        <w:rPr>
          <w:rFonts w:eastAsia="Calibri" w:cs="Arial"/>
          <w:szCs w:val="24"/>
        </w:rPr>
      </w:pPr>
      <w:r w:rsidRPr="00E02F30">
        <w:rPr>
          <w:rFonts w:eastAsia="Calibri" w:cs="Arial"/>
          <w:szCs w:val="24"/>
        </w:rPr>
        <w:t xml:space="preserve">Z ustaleń postępowania wynika, że nie będą występować oddziaływania transgraniczne, w związku z czym nie określono sposobów ograniczania tych oddziaływań. </w:t>
      </w:r>
    </w:p>
    <w:p w14:paraId="10384770" w14:textId="2E6D9E7A" w:rsidR="00E02F30" w:rsidRPr="00E02F30" w:rsidRDefault="00E02F30" w:rsidP="00E02F30">
      <w:pPr>
        <w:suppressAutoHyphens/>
        <w:autoSpaceDE w:val="0"/>
        <w:autoSpaceDN w:val="0"/>
        <w:adjustRightInd w:val="0"/>
        <w:spacing w:after="0" w:line="276" w:lineRule="auto"/>
        <w:ind w:firstLine="708"/>
        <w:contextualSpacing/>
        <w:jc w:val="both"/>
        <w:rPr>
          <w:rFonts w:eastAsia="Calibri" w:cs="Arial"/>
          <w:szCs w:val="24"/>
        </w:rPr>
      </w:pPr>
      <w:r w:rsidRPr="00E02F30">
        <w:rPr>
          <w:rFonts w:eastAsia="Calibri" w:cs="Arial"/>
          <w:szCs w:val="24"/>
        </w:rPr>
        <w:t xml:space="preserve">Z materiałów do wniosku o wydanie pozwolenia zintegrowanego wynika, że przy zachowaniu warunków zaproponowanych we wniosku, dotrzymywane będą standardy jakości środowiska. </w:t>
      </w:r>
    </w:p>
    <w:p w14:paraId="5A195A45" w14:textId="77777777" w:rsidR="00E02F30" w:rsidRPr="00E02F30" w:rsidRDefault="00E02F30" w:rsidP="00E02F30">
      <w:pPr>
        <w:suppressAutoHyphens/>
        <w:autoSpaceDE w:val="0"/>
        <w:autoSpaceDN w:val="0"/>
        <w:adjustRightInd w:val="0"/>
        <w:spacing w:after="0" w:line="276" w:lineRule="auto"/>
        <w:ind w:firstLine="708"/>
        <w:contextualSpacing/>
        <w:jc w:val="both"/>
        <w:rPr>
          <w:rFonts w:eastAsia="Calibri" w:cs="Arial"/>
          <w:szCs w:val="24"/>
        </w:rPr>
      </w:pPr>
      <w:r w:rsidRPr="00E02F30">
        <w:rPr>
          <w:rFonts w:eastAsia="Calibri" w:cs="Arial"/>
          <w:szCs w:val="24"/>
        </w:rPr>
        <w:t xml:space="preserve">Zgodnie z art. 10 § 1 Kpa organ zapewnił stronie czynny udział w każdym stadium postępowania a przed wydaniem decyzji umożliwił wypowiedzenie się co do zebranych materiałów. </w:t>
      </w:r>
    </w:p>
    <w:p w14:paraId="7FB0E8F7" w14:textId="35782668" w:rsidR="00E02F30" w:rsidRPr="00E02F30" w:rsidRDefault="00E02F30" w:rsidP="00E02F30">
      <w:pPr>
        <w:autoSpaceDE w:val="0"/>
        <w:autoSpaceDN w:val="0"/>
        <w:adjustRightInd w:val="0"/>
        <w:spacing w:after="0" w:line="276" w:lineRule="auto"/>
        <w:ind w:firstLine="700"/>
        <w:jc w:val="both"/>
        <w:rPr>
          <w:rFonts w:eastAsia="Calibri" w:cs="Arial"/>
          <w:szCs w:val="24"/>
        </w:rPr>
      </w:pPr>
      <w:r w:rsidRPr="00E02F30">
        <w:rPr>
          <w:rFonts w:eastAsia="Calibri" w:cs="Arial"/>
          <w:szCs w:val="24"/>
        </w:rPr>
        <w:t xml:space="preserve">W świetle powyższego orzeczono jak w sentencji. </w:t>
      </w:r>
    </w:p>
    <w:p w14:paraId="5F0FD527" w14:textId="3C62CDA6" w:rsidR="00E02F30" w:rsidRPr="00E02F30" w:rsidRDefault="00E02F30" w:rsidP="00E02F30">
      <w:pPr>
        <w:keepNext/>
        <w:widowControl w:val="0"/>
        <w:adjustRightInd w:val="0"/>
        <w:spacing w:before="240" w:after="240" w:line="240" w:lineRule="auto"/>
        <w:jc w:val="center"/>
        <w:textAlignment w:val="baseline"/>
        <w:outlineLvl w:val="0"/>
        <w:rPr>
          <w:rFonts w:eastAsia="Calibri" w:cs="Times New Roman"/>
          <w:b/>
          <w:spacing w:val="20"/>
          <w:szCs w:val="20"/>
        </w:rPr>
      </w:pPr>
      <w:r w:rsidRPr="00E02F30">
        <w:rPr>
          <w:rFonts w:eastAsia="Calibri" w:cs="Times New Roman"/>
          <w:b/>
          <w:spacing w:val="20"/>
          <w:szCs w:val="20"/>
        </w:rPr>
        <w:t>Pouczenie</w:t>
      </w:r>
    </w:p>
    <w:p w14:paraId="7D7133E6" w14:textId="77777777" w:rsidR="00E02F30" w:rsidRPr="00E02F30" w:rsidRDefault="00E02F30">
      <w:pPr>
        <w:numPr>
          <w:ilvl w:val="0"/>
          <w:numId w:val="76"/>
        </w:numPr>
        <w:suppressAutoHyphens/>
        <w:autoSpaceDE w:val="0"/>
        <w:autoSpaceDN w:val="0"/>
        <w:adjustRightInd w:val="0"/>
        <w:spacing w:after="0" w:line="276" w:lineRule="auto"/>
        <w:ind w:left="0" w:hanging="426"/>
        <w:contextualSpacing/>
        <w:jc w:val="both"/>
        <w:rPr>
          <w:rFonts w:eastAsia="Calibri" w:cs="Arial"/>
          <w:szCs w:val="24"/>
        </w:rPr>
      </w:pPr>
      <w:r w:rsidRPr="00E02F30">
        <w:rPr>
          <w:rFonts w:eastAsia="Calibri" w:cs="Arial"/>
          <w:szCs w:val="24"/>
        </w:rPr>
        <w:t>Od niniejszej decyzji służy odwołanie do Ministra Klimatu i Środowiska za pośrednictwem Marszałka Województwa Podkarpackiego w terminie 14 dni od dnia doręczenia decyzji. Odwołanie należy składać w dwóch egzemplarzach.</w:t>
      </w:r>
      <w:bookmarkStart w:id="34" w:name="_Hlk172713008"/>
    </w:p>
    <w:p w14:paraId="7AE0EC9F" w14:textId="71B88DEC" w:rsidR="00E02F30" w:rsidRPr="00E02F30" w:rsidRDefault="00E02F30">
      <w:pPr>
        <w:numPr>
          <w:ilvl w:val="0"/>
          <w:numId w:val="76"/>
        </w:numPr>
        <w:suppressAutoHyphens/>
        <w:autoSpaceDE w:val="0"/>
        <w:autoSpaceDN w:val="0"/>
        <w:adjustRightInd w:val="0"/>
        <w:spacing w:after="0" w:line="276" w:lineRule="auto"/>
        <w:ind w:left="0" w:hanging="426"/>
        <w:contextualSpacing/>
        <w:jc w:val="both"/>
        <w:rPr>
          <w:rFonts w:eastAsia="Calibri" w:cs="Arial"/>
          <w:szCs w:val="24"/>
        </w:rPr>
      </w:pPr>
      <w:r w:rsidRPr="00E02F30">
        <w:rPr>
          <w:rFonts w:eastAsia="Calibri" w:cs="Arial"/>
          <w:szCs w:val="24"/>
        </w:rPr>
        <w:t xml:space="preserve">Przed upływem terminu </w:t>
      </w:r>
      <w:bookmarkEnd w:id="34"/>
      <w:r w:rsidRPr="00E02F30">
        <w:rPr>
          <w:rFonts w:eastAsia="Calibri" w:cs="Arial"/>
          <w:szCs w:val="24"/>
        </w:rPr>
        <w:t>do wniesienia odwołania stronie przysługuje prawo do zrzeczenia się odwołania, które należy wnieść do Marszałka Województwa Podkarpackiego. Z dniem doręczenia Marszałkowi Województwa Podkarpackiego oświadczenia o zrzeczeniu się prawa do wniesienia odwołania niniejsza decyzja staje się ostateczna i prawomocna.</w:t>
      </w:r>
    </w:p>
    <w:p w14:paraId="21E28986" w14:textId="77777777" w:rsidR="00E02F30" w:rsidRPr="00E02F30" w:rsidRDefault="00E02F30" w:rsidP="00E02F30">
      <w:pPr>
        <w:suppressAutoHyphens/>
        <w:autoSpaceDE w:val="0"/>
        <w:autoSpaceDN w:val="0"/>
        <w:adjustRightInd w:val="0"/>
        <w:spacing w:after="0" w:line="276" w:lineRule="auto"/>
        <w:contextualSpacing/>
        <w:jc w:val="both"/>
        <w:rPr>
          <w:rFonts w:eastAsia="Calibri" w:cs="Arial"/>
          <w:sz w:val="23"/>
          <w:szCs w:val="23"/>
        </w:rPr>
      </w:pPr>
    </w:p>
    <w:p w14:paraId="0AC2939A" w14:textId="77777777" w:rsidR="00E02F30" w:rsidRPr="00E02F30" w:rsidRDefault="00E02F30" w:rsidP="00E02F30">
      <w:pPr>
        <w:suppressAutoHyphens/>
        <w:autoSpaceDE w:val="0"/>
        <w:autoSpaceDN w:val="0"/>
        <w:adjustRightInd w:val="0"/>
        <w:spacing w:after="0" w:line="276" w:lineRule="auto"/>
        <w:ind w:left="3540"/>
        <w:contextualSpacing/>
        <w:jc w:val="center"/>
        <w:rPr>
          <w:rFonts w:eastAsia="Calibri" w:cs="Arial"/>
          <w:sz w:val="18"/>
          <w:szCs w:val="18"/>
        </w:rPr>
      </w:pPr>
      <w:r w:rsidRPr="00E02F30">
        <w:rPr>
          <w:rFonts w:eastAsia="Calibri" w:cs="Arial"/>
          <w:sz w:val="18"/>
          <w:szCs w:val="18"/>
        </w:rPr>
        <w:t>Z upoważnienia</w:t>
      </w:r>
    </w:p>
    <w:p w14:paraId="65A53E14" w14:textId="77777777" w:rsidR="00E02F30" w:rsidRPr="00E02F30" w:rsidRDefault="00E02F30" w:rsidP="00E02F30">
      <w:pPr>
        <w:suppressAutoHyphens/>
        <w:autoSpaceDE w:val="0"/>
        <w:autoSpaceDN w:val="0"/>
        <w:adjustRightInd w:val="0"/>
        <w:spacing w:after="1400" w:line="276" w:lineRule="auto"/>
        <w:ind w:left="3540"/>
        <w:contextualSpacing/>
        <w:jc w:val="center"/>
        <w:rPr>
          <w:rFonts w:eastAsia="Calibri" w:cs="Arial"/>
          <w:sz w:val="18"/>
          <w:szCs w:val="18"/>
        </w:rPr>
      </w:pPr>
      <w:r w:rsidRPr="00E02F30">
        <w:rPr>
          <w:rFonts w:eastAsia="Calibri" w:cs="Arial"/>
          <w:sz w:val="18"/>
          <w:szCs w:val="18"/>
        </w:rPr>
        <w:t>MARSZAŁKA WOJEWÓDZTWA PODKARPACKIEGO</w:t>
      </w:r>
    </w:p>
    <w:p w14:paraId="739C7D31" w14:textId="0B39ED2F" w:rsidR="00E02F30" w:rsidRPr="00E02F30" w:rsidRDefault="00E02F30" w:rsidP="00E02F30">
      <w:pPr>
        <w:suppressAutoHyphens/>
        <w:autoSpaceDE w:val="0"/>
        <w:autoSpaceDN w:val="0"/>
        <w:adjustRightInd w:val="0"/>
        <w:spacing w:before="1400" w:after="0" w:line="240" w:lineRule="auto"/>
        <w:ind w:left="3538"/>
        <w:contextualSpacing/>
        <w:jc w:val="center"/>
        <w:rPr>
          <w:rFonts w:eastAsia="Calibri" w:cs="Arial"/>
          <w:sz w:val="18"/>
          <w:szCs w:val="18"/>
        </w:rPr>
      </w:pPr>
      <w:r>
        <w:rPr>
          <w:rFonts w:eastAsia="Calibri" w:cs="Arial"/>
          <w:sz w:val="18"/>
          <w:szCs w:val="18"/>
        </w:rPr>
        <w:t>Andrzej Kulig</w:t>
      </w:r>
    </w:p>
    <w:p w14:paraId="557BB22B" w14:textId="77777777" w:rsidR="00E02F30" w:rsidRPr="00E02F30" w:rsidRDefault="00E02F30" w:rsidP="00E02F30">
      <w:pPr>
        <w:suppressAutoHyphens/>
        <w:autoSpaceDE w:val="0"/>
        <w:autoSpaceDN w:val="0"/>
        <w:adjustRightInd w:val="0"/>
        <w:spacing w:before="1400" w:after="0" w:line="240" w:lineRule="auto"/>
        <w:ind w:left="3538"/>
        <w:contextualSpacing/>
        <w:jc w:val="center"/>
        <w:rPr>
          <w:rFonts w:eastAsia="Calibri" w:cs="Arial"/>
          <w:sz w:val="18"/>
          <w:szCs w:val="18"/>
        </w:rPr>
      </w:pPr>
      <w:r w:rsidRPr="00E02F30">
        <w:rPr>
          <w:rFonts w:eastAsia="Calibri" w:cs="Arial"/>
          <w:sz w:val="18"/>
          <w:szCs w:val="18"/>
        </w:rPr>
        <w:t>DYREKTOR</w:t>
      </w:r>
    </w:p>
    <w:p w14:paraId="056EEEB8" w14:textId="77777777" w:rsidR="00E02F30" w:rsidRPr="00E02F30" w:rsidRDefault="00E02F30" w:rsidP="00E02F30">
      <w:pPr>
        <w:suppressAutoHyphens/>
        <w:autoSpaceDE w:val="0"/>
        <w:autoSpaceDN w:val="0"/>
        <w:adjustRightInd w:val="0"/>
        <w:spacing w:after="0" w:line="276" w:lineRule="auto"/>
        <w:ind w:left="3540"/>
        <w:contextualSpacing/>
        <w:jc w:val="center"/>
        <w:rPr>
          <w:rFonts w:eastAsia="Calibri" w:cs="Arial"/>
          <w:sz w:val="18"/>
          <w:szCs w:val="18"/>
        </w:rPr>
      </w:pPr>
      <w:r w:rsidRPr="00E02F30">
        <w:rPr>
          <w:rFonts w:eastAsia="Calibri" w:cs="Arial"/>
          <w:sz w:val="18"/>
          <w:szCs w:val="18"/>
        </w:rPr>
        <w:t>DEPARTAMENTU OCHRONY ŚRODOWISKA</w:t>
      </w:r>
    </w:p>
    <w:p w14:paraId="0BC8CD2F" w14:textId="77777777" w:rsidR="00E02F30" w:rsidRPr="00E02F30" w:rsidRDefault="00E02F30" w:rsidP="00E02F30">
      <w:pPr>
        <w:autoSpaceDE w:val="0"/>
        <w:autoSpaceDN w:val="0"/>
        <w:adjustRightInd w:val="0"/>
        <w:spacing w:before="120" w:after="0" w:line="276" w:lineRule="auto"/>
        <w:jc w:val="both"/>
        <w:rPr>
          <w:rFonts w:eastAsia="Times New Roman" w:cs="Arial"/>
          <w:sz w:val="20"/>
          <w:szCs w:val="20"/>
          <w:lang w:eastAsia="pl-PL"/>
        </w:rPr>
      </w:pPr>
      <w:r w:rsidRPr="00E02F30">
        <w:rPr>
          <w:rFonts w:eastAsia="Times New Roman" w:cs="Arial"/>
          <w:sz w:val="20"/>
          <w:szCs w:val="20"/>
          <w:lang w:eastAsia="pl-PL"/>
        </w:rPr>
        <w:t>Opłata skarbowa w wys. 2 011 zł.</w:t>
      </w:r>
    </w:p>
    <w:p w14:paraId="31742A5D" w14:textId="77777777" w:rsidR="00E02F30" w:rsidRPr="00E02F30" w:rsidRDefault="00E02F30" w:rsidP="00E02F30">
      <w:pPr>
        <w:autoSpaceDE w:val="0"/>
        <w:autoSpaceDN w:val="0"/>
        <w:adjustRightInd w:val="0"/>
        <w:spacing w:after="0" w:line="276" w:lineRule="auto"/>
        <w:jc w:val="both"/>
        <w:rPr>
          <w:rFonts w:eastAsia="Calibri" w:cs="Arial"/>
          <w:szCs w:val="24"/>
        </w:rPr>
      </w:pPr>
      <w:r w:rsidRPr="00E02F30">
        <w:rPr>
          <w:rFonts w:eastAsia="Times New Roman" w:cs="Arial"/>
          <w:sz w:val="20"/>
          <w:szCs w:val="20"/>
          <w:lang w:eastAsia="pl-PL"/>
        </w:rPr>
        <w:t>uiszczona w dniu 29.09.2023 r.</w:t>
      </w:r>
    </w:p>
    <w:p w14:paraId="508A04A8" w14:textId="77777777" w:rsidR="00E02F30" w:rsidRPr="00E02F30" w:rsidRDefault="00E02F30" w:rsidP="00E02F30">
      <w:pPr>
        <w:autoSpaceDE w:val="0"/>
        <w:autoSpaceDN w:val="0"/>
        <w:adjustRightInd w:val="0"/>
        <w:spacing w:after="0" w:line="276" w:lineRule="auto"/>
        <w:jc w:val="both"/>
        <w:rPr>
          <w:rFonts w:eastAsia="Calibri" w:cs="Arial"/>
          <w:szCs w:val="24"/>
        </w:rPr>
      </w:pPr>
      <w:r w:rsidRPr="00E02F30">
        <w:rPr>
          <w:rFonts w:eastAsia="Times New Roman" w:cs="Arial"/>
          <w:sz w:val="20"/>
          <w:szCs w:val="20"/>
          <w:lang w:eastAsia="pl-PL"/>
        </w:rPr>
        <w:t xml:space="preserve">na rachunek bankowy: </w:t>
      </w:r>
    </w:p>
    <w:p w14:paraId="59E176D3" w14:textId="77777777" w:rsidR="00E02F30" w:rsidRPr="00E02F30" w:rsidRDefault="00E02F30" w:rsidP="00E02F30">
      <w:pPr>
        <w:autoSpaceDE w:val="0"/>
        <w:autoSpaceDN w:val="0"/>
        <w:adjustRightInd w:val="0"/>
        <w:spacing w:after="0" w:line="276" w:lineRule="auto"/>
        <w:jc w:val="both"/>
        <w:rPr>
          <w:rFonts w:eastAsia="Calibri" w:cs="Arial"/>
          <w:szCs w:val="24"/>
        </w:rPr>
      </w:pPr>
      <w:r w:rsidRPr="00E02F30">
        <w:rPr>
          <w:rFonts w:eastAsia="Times New Roman" w:cs="Arial"/>
          <w:sz w:val="20"/>
          <w:szCs w:val="20"/>
          <w:lang w:eastAsia="pl-PL"/>
        </w:rPr>
        <w:t>Nr 17 1020 4391 2018 0062 0000 0423</w:t>
      </w:r>
    </w:p>
    <w:p w14:paraId="074BE9D6" w14:textId="484CCAD0" w:rsidR="00E02F30" w:rsidRPr="00E02F30" w:rsidRDefault="00E02F30" w:rsidP="00E02F30">
      <w:pPr>
        <w:autoSpaceDE w:val="0"/>
        <w:autoSpaceDN w:val="0"/>
        <w:adjustRightInd w:val="0"/>
        <w:spacing w:after="360" w:line="276" w:lineRule="auto"/>
        <w:jc w:val="both"/>
        <w:rPr>
          <w:rFonts w:eastAsia="Calibri" w:cs="Arial"/>
          <w:szCs w:val="24"/>
        </w:rPr>
      </w:pPr>
      <w:r w:rsidRPr="00E02F30">
        <w:rPr>
          <w:rFonts w:eastAsia="Times New Roman" w:cs="Arial"/>
          <w:sz w:val="20"/>
          <w:szCs w:val="20"/>
          <w:lang w:eastAsia="pl-PL"/>
        </w:rPr>
        <w:t>Urzędu Miasta Rzeszowa</w:t>
      </w:r>
    </w:p>
    <w:p w14:paraId="06565C83" w14:textId="77777777" w:rsidR="00E02F30" w:rsidRPr="00E02F30" w:rsidRDefault="00E02F30" w:rsidP="00E02F30">
      <w:pPr>
        <w:suppressAutoHyphens/>
        <w:autoSpaceDE w:val="0"/>
        <w:autoSpaceDN w:val="0"/>
        <w:adjustRightInd w:val="0"/>
        <w:spacing w:before="1080" w:after="480" w:line="240" w:lineRule="auto"/>
        <w:contextualSpacing/>
        <w:jc w:val="both"/>
        <w:rPr>
          <w:rFonts w:eastAsia="Calibri" w:cs="Arial"/>
          <w:sz w:val="20"/>
          <w:szCs w:val="20"/>
          <w:u w:val="single"/>
        </w:rPr>
      </w:pPr>
      <w:r w:rsidRPr="00E02F30">
        <w:rPr>
          <w:rFonts w:eastAsia="Calibri" w:cs="Arial"/>
          <w:sz w:val="20"/>
          <w:szCs w:val="20"/>
          <w:u w:val="single"/>
        </w:rPr>
        <w:t>Otrzymują:</w:t>
      </w:r>
    </w:p>
    <w:p w14:paraId="3A27AFAF" w14:textId="77777777" w:rsidR="00E02F30" w:rsidRPr="00E02F30" w:rsidRDefault="00E02F30">
      <w:pPr>
        <w:numPr>
          <w:ilvl w:val="0"/>
          <w:numId w:val="93"/>
        </w:numPr>
        <w:spacing w:before="840" w:after="0" w:line="240" w:lineRule="auto"/>
        <w:ind w:left="714" w:hanging="357"/>
        <w:jc w:val="both"/>
        <w:rPr>
          <w:rFonts w:eastAsia="Times New Roman" w:cs="Arial"/>
          <w:sz w:val="20"/>
          <w:szCs w:val="20"/>
          <w:lang w:eastAsia="pl-PL"/>
        </w:rPr>
      </w:pPr>
      <w:r w:rsidRPr="00E02F30">
        <w:rPr>
          <w:rFonts w:eastAsia="Times New Roman" w:cs="Arial"/>
          <w:sz w:val="20"/>
          <w:szCs w:val="20"/>
          <w:lang w:eastAsia="pl-PL"/>
        </w:rPr>
        <w:t xml:space="preserve">Sarzyna </w:t>
      </w:r>
      <w:proofErr w:type="spellStart"/>
      <w:r w:rsidRPr="00E02F30">
        <w:rPr>
          <w:rFonts w:eastAsia="Times New Roman" w:cs="Arial"/>
          <w:sz w:val="20"/>
          <w:szCs w:val="20"/>
          <w:lang w:eastAsia="pl-PL"/>
        </w:rPr>
        <w:t>Chemical</w:t>
      </w:r>
      <w:proofErr w:type="spellEnd"/>
      <w:r w:rsidRPr="00E02F30">
        <w:rPr>
          <w:rFonts w:eastAsia="Times New Roman" w:cs="Arial"/>
          <w:sz w:val="20"/>
          <w:szCs w:val="20"/>
          <w:lang w:eastAsia="pl-PL"/>
        </w:rPr>
        <w:t xml:space="preserve"> Sp. z o.o.</w:t>
      </w:r>
    </w:p>
    <w:p w14:paraId="1F8B98DB" w14:textId="77777777" w:rsidR="00E02F30" w:rsidRPr="00E02F30" w:rsidRDefault="00E02F30" w:rsidP="00E02F30">
      <w:pPr>
        <w:spacing w:after="0" w:line="240" w:lineRule="auto"/>
        <w:ind w:left="720"/>
        <w:jc w:val="both"/>
        <w:rPr>
          <w:rFonts w:eastAsia="Times New Roman" w:cs="Arial"/>
          <w:sz w:val="20"/>
          <w:szCs w:val="20"/>
          <w:lang w:eastAsia="pl-PL"/>
        </w:rPr>
      </w:pPr>
      <w:r w:rsidRPr="00E02F30">
        <w:rPr>
          <w:rFonts w:eastAsia="Times New Roman" w:cs="Arial"/>
          <w:sz w:val="20"/>
          <w:szCs w:val="20"/>
          <w:lang w:eastAsia="pl-PL"/>
        </w:rPr>
        <w:t>ul. Chemików 1, 37-310 Nowa Sarzyna</w:t>
      </w:r>
    </w:p>
    <w:p w14:paraId="0C3A2346" w14:textId="727A7A63" w:rsidR="00E02F30" w:rsidRPr="00E02F30" w:rsidRDefault="00E02F30">
      <w:pPr>
        <w:numPr>
          <w:ilvl w:val="0"/>
          <w:numId w:val="93"/>
        </w:numPr>
        <w:spacing w:after="0" w:line="240" w:lineRule="auto"/>
        <w:jc w:val="both"/>
        <w:rPr>
          <w:rFonts w:eastAsia="Times New Roman" w:cs="Arial"/>
          <w:sz w:val="20"/>
          <w:szCs w:val="20"/>
          <w:lang w:eastAsia="pl-PL"/>
        </w:rPr>
      </w:pPr>
      <w:r w:rsidRPr="00E02F30">
        <w:rPr>
          <w:rFonts w:eastAsia="Times New Roman" w:cs="Arial"/>
          <w:sz w:val="20"/>
          <w:szCs w:val="20"/>
          <w:lang w:eastAsia="pl-PL"/>
        </w:rPr>
        <w:t>OS.I -a/a</w:t>
      </w:r>
    </w:p>
    <w:sectPr w:rsidR="00E02F30" w:rsidRPr="00E02F30" w:rsidSect="00A60486">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BD863" w14:textId="77777777" w:rsidR="005D0C6E" w:rsidRDefault="005D0C6E" w:rsidP="000D66EB">
      <w:pPr>
        <w:spacing w:after="0" w:line="240" w:lineRule="auto"/>
      </w:pPr>
      <w:r>
        <w:separator/>
      </w:r>
    </w:p>
  </w:endnote>
  <w:endnote w:type="continuationSeparator" w:id="0">
    <w:p w14:paraId="6855D020" w14:textId="77777777" w:rsidR="005D0C6E" w:rsidRDefault="005D0C6E" w:rsidP="000D6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ndara">
    <w:panose1 w:val="020E0502030303020204"/>
    <w:charset w:val="EE"/>
    <w:family w:val="swiss"/>
    <w:pitch w:val="variable"/>
    <w:sig w:usb0="A00002EF" w:usb1="4000A44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Frutiger LT Pro 55 Roman">
    <w:altName w:val="Lucida Sans Unicode"/>
    <w:panose1 w:val="00000000000000000000"/>
    <w:charset w:val="00"/>
    <w:family w:val="swiss"/>
    <w:notTrueType/>
    <w:pitch w:val="variable"/>
    <w:sig w:usb0="00000001" w:usb1="0000004A" w:usb2="00000000" w:usb3="00000000" w:csb0="0000009B" w:csb1="00000000"/>
  </w:font>
  <w:font w:name="Luxi Sans">
    <w:altName w:val="Times New Roman"/>
    <w:charset w:val="EE"/>
    <w:family w:val="auto"/>
    <w:pitch w:val="default"/>
  </w:font>
  <w:font w:name="Mincho">
    <w:altName w:val="明朝"/>
    <w:panose1 w:val="02020609040305080305"/>
    <w:charset w:val="80"/>
    <w:family w:val="roman"/>
    <w:pitch w:val="fixed"/>
    <w:sig w:usb0="00000001"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EUAlbertina">
    <w:altName w:val="Cambria"/>
    <w:panose1 w:val="00000000000000000000"/>
    <w:charset w:val="00"/>
    <w:family w:val="roman"/>
    <w:notTrueType/>
    <w:pitch w:val="default"/>
    <w:sig w:usb0="00000007"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TrueHelveticaLight">
    <w:altName w:val="Times New Roman"/>
    <w:panose1 w:val="00000000000000000000"/>
    <w:charset w:val="EE"/>
    <w:family w:val="auto"/>
    <w:notTrueType/>
    <w:pitch w:val="variable"/>
    <w:sig w:usb0="00000005" w:usb1="00000000" w:usb2="00000000" w:usb3="00000000" w:csb0="00000002"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Serif">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oudy Old Style CE ATT">
    <w:charset w:val="EE"/>
    <w:family w:val="roman"/>
    <w:pitch w:val="variable"/>
  </w:font>
  <w:font w:name="Franklin Gothic Book">
    <w:charset w:val="00"/>
    <w:family w:val="swiss"/>
    <w:pitch w:val="variable"/>
    <w:sig w:usb0="00000287" w:usb1="00000000" w:usb2="00000000" w:usb3="00000000" w:csb0="0000009F" w:csb1="00000000"/>
  </w:font>
  <w:font w:name="CG Times">
    <w:altName w:val="Times New Roman"/>
    <w:charset w:val="00"/>
    <w:family w:val="roman"/>
    <w:pitch w:val="variable"/>
  </w:font>
  <w:font w:name="Lucida Grande">
    <w:altName w:val="Times New Roman"/>
    <w:charset w:val="00"/>
    <w:family w:val="roman"/>
    <w:pitch w:val="default"/>
  </w:font>
  <w:font w:name="ヒラギノ角ゴ Pro W3">
    <w:charset w:val="00"/>
    <w:family w:val="roman"/>
    <w:pitch w:val="default"/>
  </w:font>
  <w:font w:name="Franklin Gothic Medium">
    <w:panose1 w:val="020B0603020102020204"/>
    <w:charset w:val="EE"/>
    <w:family w:val="swiss"/>
    <w:pitch w:val="variable"/>
    <w:sig w:usb0="00000287" w:usb1="00000000" w:usb2="00000000" w:usb3="00000000" w:csb0="0000009F" w:csb1="00000000"/>
  </w:font>
  <w:font w:name="MS Reference Sans Serif">
    <w:panose1 w:val="020B0604030504040204"/>
    <w:charset w:val="EE"/>
    <w:family w:val="swiss"/>
    <w:pitch w:val="variable"/>
    <w:sig w:usb0="20000287" w:usb1="00000000"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Palatino Linotype">
    <w:panose1 w:val="02040502050505030304"/>
    <w:charset w:val="EE"/>
    <w:family w:val="roman"/>
    <w:pitch w:val="variable"/>
    <w:sig w:usb0="E0000287" w:usb1="40000013" w:usb2="00000000" w:usb3="00000000" w:csb0="0000019F" w:csb1="00000000"/>
  </w:font>
  <w:font w:name="SimSun, 宋体">
    <w:charset w:val="00"/>
    <w:family w:val="auto"/>
    <w:pitch w:val="variable"/>
  </w:font>
  <w:font w:name="Mangal, Cambria">
    <w:charset w:val="00"/>
    <w:family w:val="roman"/>
    <w:pitch w:val="variable"/>
  </w:font>
  <w:font w:name="Impact">
    <w:panose1 w:val="020B0806030902050204"/>
    <w:charset w:val="EE"/>
    <w:family w:val="swiss"/>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EUAlbertina-Regu">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D41F2" w14:textId="55F18FCE" w:rsidR="00A60486" w:rsidRPr="00A60486" w:rsidRDefault="00A60486" w:rsidP="00A60486">
    <w:pPr>
      <w:tabs>
        <w:tab w:val="center" w:pos="4550"/>
        <w:tab w:val="left" w:pos="5818"/>
      </w:tabs>
      <w:ind w:right="260"/>
      <w:jc w:val="both"/>
      <w:rPr>
        <w:sz w:val="20"/>
        <w:szCs w:val="20"/>
      </w:rPr>
    </w:pPr>
    <w:r w:rsidRPr="00A60486">
      <w:rPr>
        <w:rFonts w:cs="Arial"/>
        <w:sz w:val="20"/>
        <w:szCs w:val="20"/>
      </w:rPr>
      <w:t>OS-I.7222.</w:t>
    </w:r>
    <w:r w:rsidR="00F1362D">
      <w:rPr>
        <w:rFonts w:cs="Arial"/>
        <w:sz w:val="20"/>
        <w:szCs w:val="20"/>
      </w:rPr>
      <w:t>29.</w:t>
    </w:r>
    <w:r w:rsidR="00E02F30">
      <w:rPr>
        <w:rFonts w:cs="Arial"/>
        <w:sz w:val="20"/>
        <w:szCs w:val="20"/>
      </w:rPr>
      <w:t>2</w:t>
    </w:r>
    <w:r w:rsidR="0075127F">
      <w:rPr>
        <w:rFonts w:cs="Arial"/>
        <w:sz w:val="20"/>
        <w:szCs w:val="20"/>
      </w:rPr>
      <w:t>9</w:t>
    </w:r>
    <w:r w:rsidRPr="00A60486">
      <w:rPr>
        <w:rFonts w:cs="Arial"/>
        <w:sz w:val="20"/>
        <w:szCs w:val="20"/>
      </w:rPr>
      <w:t>.202</w:t>
    </w:r>
    <w:r w:rsidR="00F1362D">
      <w:rPr>
        <w:rFonts w:cs="Arial"/>
        <w:sz w:val="20"/>
        <w:szCs w:val="20"/>
      </w:rPr>
      <w:t>3</w:t>
    </w:r>
    <w:r w:rsidRPr="00A60486">
      <w:rPr>
        <w:rFonts w:cs="Arial"/>
        <w:sz w:val="20"/>
        <w:szCs w:val="20"/>
      </w:rPr>
      <w:t>.BK</w:t>
    </w:r>
    <w:r w:rsidRPr="00A60486">
      <w:rPr>
        <w:sz w:val="20"/>
        <w:szCs w:val="20"/>
      </w:rPr>
      <w:t xml:space="preserve"> </w:t>
    </w:r>
    <w:r>
      <w:rPr>
        <w:sz w:val="20"/>
        <w:szCs w:val="20"/>
      </w:rPr>
      <w:tab/>
    </w:r>
    <w:r>
      <w:rPr>
        <w:sz w:val="20"/>
        <w:szCs w:val="20"/>
      </w:rPr>
      <w:tab/>
    </w:r>
    <w:r>
      <w:rPr>
        <w:sz w:val="20"/>
        <w:szCs w:val="20"/>
      </w:rPr>
      <w:tab/>
    </w:r>
    <w:r>
      <w:rPr>
        <w:sz w:val="20"/>
        <w:szCs w:val="20"/>
      </w:rPr>
      <w:tab/>
    </w:r>
    <w:r w:rsidRPr="00A60486">
      <w:rPr>
        <w:sz w:val="20"/>
        <w:szCs w:val="20"/>
      </w:rPr>
      <w:t xml:space="preserve">Strona </w:t>
    </w:r>
    <w:r w:rsidRPr="00A60486">
      <w:rPr>
        <w:sz w:val="20"/>
        <w:szCs w:val="20"/>
      </w:rPr>
      <w:fldChar w:fldCharType="begin"/>
    </w:r>
    <w:r w:rsidRPr="00A60486">
      <w:rPr>
        <w:sz w:val="20"/>
        <w:szCs w:val="20"/>
      </w:rPr>
      <w:instrText>PAGE   \* MERGEFORMAT</w:instrText>
    </w:r>
    <w:r w:rsidRPr="00A60486">
      <w:rPr>
        <w:sz w:val="20"/>
        <w:szCs w:val="20"/>
      </w:rPr>
      <w:fldChar w:fldCharType="separate"/>
    </w:r>
    <w:r w:rsidRPr="00A60486">
      <w:rPr>
        <w:sz w:val="20"/>
        <w:szCs w:val="20"/>
      </w:rPr>
      <w:t>1</w:t>
    </w:r>
    <w:r w:rsidRPr="00A60486">
      <w:rPr>
        <w:sz w:val="20"/>
        <w:szCs w:val="20"/>
      </w:rPr>
      <w:fldChar w:fldCharType="end"/>
    </w:r>
    <w:r w:rsidRPr="00A60486">
      <w:rPr>
        <w:sz w:val="20"/>
        <w:szCs w:val="20"/>
      </w:rPr>
      <w:t>/</w:t>
    </w:r>
    <w:r w:rsidRPr="00A60486">
      <w:rPr>
        <w:sz w:val="20"/>
        <w:szCs w:val="20"/>
      </w:rPr>
      <w:fldChar w:fldCharType="begin"/>
    </w:r>
    <w:r w:rsidRPr="00A60486">
      <w:rPr>
        <w:sz w:val="20"/>
        <w:szCs w:val="20"/>
      </w:rPr>
      <w:instrText>NUMPAGES  \* Arabic  \* MERGEFORMAT</w:instrText>
    </w:r>
    <w:r w:rsidRPr="00A60486">
      <w:rPr>
        <w:sz w:val="20"/>
        <w:szCs w:val="20"/>
      </w:rPr>
      <w:fldChar w:fldCharType="separate"/>
    </w:r>
    <w:r w:rsidRPr="00A60486">
      <w:rPr>
        <w:sz w:val="20"/>
        <w:szCs w:val="20"/>
      </w:rPr>
      <w:t>1</w:t>
    </w:r>
    <w:r w:rsidRPr="00A60486">
      <w:rPr>
        <w:sz w:val="20"/>
        <w:szCs w:val="20"/>
      </w:rPr>
      <w:fldChar w:fldCharType="end"/>
    </w:r>
  </w:p>
  <w:p w14:paraId="3E757638" w14:textId="77777777" w:rsidR="00A60486" w:rsidRDefault="00A6048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B4C2A" w14:textId="77777777" w:rsidR="005D0C6E" w:rsidRDefault="005D0C6E" w:rsidP="000D66EB">
      <w:pPr>
        <w:spacing w:after="0" w:line="240" w:lineRule="auto"/>
      </w:pPr>
      <w:r>
        <w:separator/>
      </w:r>
    </w:p>
  </w:footnote>
  <w:footnote w:type="continuationSeparator" w:id="0">
    <w:p w14:paraId="0D25A13B" w14:textId="77777777" w:rsidR="005D0C6E" w:rsidRDefault="005D0C6E" w:rsidP="000D66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FD64A4F0"/>
    <w:lvl w:ilvl="0">
      <w:start w:val="1"/>
      <w:numFmt w:val="bullet"/>
      <w:pStyle w:val="Listapunktowana4"/>
      <w:lvlText w:val=""/>
      <w:lvlJc w:val="left"/>
      <w:pPr>
        <w:tabs>
          <w:tab w:val="num" w:pos="1700"/>
        </w:tabs>
        <w:ind w:left="1700" w:hanging="360"/>
      </w:pPr>
      <w:rPr>
        <w:rFonts w:ascii="Symbol" w:hAnsi="Symbol" w:hint="default"/>
      </w:rPr>
    </w:lvl>
  </w:abstractNum>
  <w:abstractNum w:abstractNumId="1" w15:restartNumberingAfterBreak="0">
    <w:nsid w:val="015E1129"/>
    <w:multiLevelType w:val="hybridMultilevel"/>
    <w:tmpl w:val="CD2231DA"/>
    <w:lvl w:ilvl="0" w:tplc="BDC00018">
      <w:start w:val="1"/>
      <w:numFmt w:val="decimal"/>
      <w:pStyle w:val="BATNumbering"/>
      <w:lvlText w:val="BAT %1."/>
      <w:lvlJc w:val="left"/>
      <w:rPr>
        <w:rFonts w:ascii="Times New Roman Bold" w:hAnsi="Times New Roman Bold"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1F37381"/>
    <w:multiLevelType w:val="multilevel"/>
    <w:tmpl w:val="2EF6F56A"/>
    <w:lvl w:ilvl="0">
      <w:start w:val="1"/>
      <w:numFmt w:val="bullet"/>
      <w:pStyle w:val="kropa1"/>
      <w:lvlText w:val=""/>
      <w:lvlJc w:val="left"/>
      <w:pPr>
        <w:tabs>
          <w:tab w:val="num" w:pos="720"/>
        </w:tabs>
        <w:ind w:left="72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Times New Roman" w:hint="default"/>
        <w:sz w:val="20"/>
        <w:szCs w:val="20"/>
      </w:rPr>
    </w:lvl>
    <w:lvl w:ilvl="3">
      <w:start w:val="1"/>
      <w:numFmt w:val="bullet"/>
      <w:lvlText w:val=""/>
      <w:lvlJc w:val="left"/>
      <w:pPr>
        <w:tabs>
          <w:tab w:val="num" w:pos="2880"/>
        </w:tabs>
        <w:ind w:left="2880" w:hanging="360"/>
      </w:pPr>
      <w:rPr>
        <w:rFonts w:ascii="Wingdings" w:hAnsi="Wingdings" w:cs="Times New Roman" w:hint="default"/>
        <w:sz w:val="20"/>
        <w:szCs w:val="20"/>
      </w:rPr>
    </w:lvl>
    <w:lvl w:ilvl="4">
      <w:start w:val="1"/>
      <w:numFmt w:val="bullet"/>
      <w:lvlText w:val=""/>
      <w:lvlJc w:val="left"/>
      <w:pPr>
        <w:tabs>
          <w:tab w:val="num" w:pos="3600"/>
        </w:tabs>
        <w:ind w:left="3600" w:hanging="360"/>
      </w:pPr>
      <w:rPr>
        <w:rFonts w:ascii="Wingdings" w:hAnsi="Wingdings" w:cs="Times New Roman" w:hint="default"/>
        <w:sz w:val="20"/>
        <w:szCs w:val="20"/>
      </w:rPr>
    </w:lvl>
    <w:lvl w:ilvl="5">
      <w:start w:val="1"/>
      <w:numFmt w:val="bullet"/>
      <w:lvlText w:val=""/>
      <w:lvlJc w:val="left"/>
      <w:pPr>
        <w:tabs>
          <w:tab w:val="num" w:pos="4320"/>
        </w:tabs>
        <w:ind w:left="4320" w:hanging="360"/>
      </w:pPr>
      <w:rPr>
        <w:rFonts w:ascii="Wingdings" w:hAnsi="Wingdings" w:cs="Times New Roman" w:hint="default"/>
        <w:sz w:val="20"/>
        <w:szCs w:val="20"/>
      </w:rPr>
    </w:lvl>
    <w:lvl w:ilvl="6">
      <w:start w:val="1"/>
      <w:numFmt w:val="bullet"/>
      <w:lvlText w:val=""/>
      <w:lvlJc w:val="left"/>
      <w:pPr>
        <w:tabs>
          <w:tab w:val="num" w:pos="5040"/>
        </w:tabs>
        <w:ind w:left="5040" w:hanging="360"/>
      </w:pPr>
      <w:rPr>
        <w:rFonts w:ascii="Wingdings" w:hAnsi="Wingdings" w:cs="Times New Roman" w:hint="default"/>
        <w:sz w:val="20"/>
        <w:szCs w:val="20"/>
      </w:rPr>
    </w:lvl>
    <w:lvl w:ilvl="7">
      <w:start w:val="1"/>
      <w:numFmt w:val="bullet"/>
      <w:lvlText w:val=""/>
      <w:lvlJc w:val="left"/>
      <w:pPr>
        <w:tabs>
          <w:tab w:val="num" w:pos="5760"/>
        </w:tabs>
        <w:ind w:left="5760" w:hanging="360"/>
      </w:pPr>
      <w:rPr>
        <w:rFonts w:ascii="Wingdings" w:hAnsi="Wingdings" w:cs="Times New Roman" w:hint="default"/>
        <w:sz w:val="20"/>
        <w:szCs w:val="20"/>
      </w:rPr>
    </w:lvl>
    <w:lvl w:ilvl="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3" w15:restartNumberingAfterBreak="0">
    <w:nsid w:val="02B51ADA"/>
    <w:multiLevelType w:val="singleLevel"/>
    <w:tmpl w:val="5846DD36"/>
    <w:lvl w:ilvl="0">
      <w:start w:val="1"/>
      <w:numFmt w:val="bullet"/>
      <w:pStyle w:val="Listapunktowana2"/>
      <w:lvlText w:val=""/>
      <w:lvlJc w:val="left"/>
      <w:pPr>
        <w:tabs>
          <w:tab w:val="num" w:pos="360"/>
        </w:tabs>
        <w:ind w:left="360" w:hanging="360"/>
      </w:pPr>
      <w:rPr>
        <w:rFonts w:ascii="Wingdings" w:hAnsi="Wingdings" w:hint="default"/>
      </w:rPr>
    </w:lvl>
  </w:abstractNum>
  <w:abstractNum w:abstractNumId="4" w15:restartNumberingAfterBreak="0">
    <w:nsid w:val="02DD7968"/>
    <w:multiLevelType w:val="hybridMultilevel"/>
    <w:tmpl w:val="9CC4892E"/>
    <w:lvl w:ilvl="0" w:tplc="04150005">
      <w:start w:val="1"/>
      <w:numFmt w:val="bullet"/>
      <w:lvlText w:val=""/>
      <w:lvlJc w:val="left"/>
      <w:pPr>
        <w:ind w:left="720" w:hanging="360"/>
      </w:pPr>
      <w:rPr>
        <w:rFonts w:ascii="Wingdings" w:hAnsi="Wingdings" w:hint="default"/>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0C157B"/>
    <w:multiLevelType w:val="multilevel"/>
    <w:tmpl w:val="F61C2BBA"/>
    <w:styleLink w:val="ArcadisBullet"/>
    <w:lvl w:ilvl="0">
      <w:start w:val="1"/>
      <w:numFmt w:val="bullet"/>
      <w:pStyle w:val="ArcadisListBullet"/>
      <w:lvlText w:val="•"/>
      <w:lvlJc w:val="left"/>
      <w:pPr>
        <w:ind w:left="284" w:hanging="284"/>
      </w:pPr>
      <w:rPr>
        <w:rFonts w:ascii="Arial" w:hAnsi="Arial" w:hint="default"/>
        <w:color w:val="1D1D1D"/>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Arial" w:hAnsi="Arial" w:hint="default"/>
      </w:rPr>
    </w:lvl>
    <w:lvl w:ilvl="5">
      <w:start w:val="1"/>
      <w:numFmt w:val="bullet"/>
      <w:lvlText w:val="•"/>
      <w:lvlJc w:val="left"/>
      <w:pPr>
        <w:ind w:left="1704" w:hanging="284"/>
      </w:pPr>
      <w:rPr>
        <w:rFonts w:ascii="Arial" w:hAnsi="Arial" w:hint="default"/>
      </w:rPr>
    </w:lvl>
    <w:lvl w:ilvl="6">
      <w:start w:val="1"/>
      <w:numFmt w:val="bullet"/>
      <w:lvlText w:val="•"/>
      <w:lvlJc w:val="left"/>
      <w:pPr>
        <w:ind w:left="1988" w:hanging="284"/>
      </w:pPr>
      <w:rPr>
        <w:rFonts w:ascii="Arial" w:hAnsi="Arial" w:hint="default"/>
      </w:rPr>
    </w:lvl>
    <w:lvl w:ilvl="7">
      <w:start w:val="1"/>
      <w:numFmt w:val="bullet"/>
      <w:lvlText w:val="•"/>
      <w:lvlJc w:val="left"/>
      <w:pPr>
        <w:ind w:left="2272" w:hanging="284"/>
      </w:pPr>
      <w:rPr>
        <w:rFonts w:ascii="Arial" w:hAnsi="Arial" w:hint="default"/>
      </w:rPr>
    </w:lvl>
    <w:lvl w:ilvl="8">
      <w:start w:val="1"/>
      <w:numFmt w:val="bullet"/>
      <w:lvlText w:val="•"/>
      <w:lvlJc w:val="left"/>
      <w:pPr>
        <w:ind w:left="2556" w:hanging="284"/>
      </w:pPr>
      <w:rPr>
        <w:rFonts w:ascii="Arial" w:hAnsi="Arial" w:hint="default"/>
      </w:rPr>
    </w:lvl>
  </w:abstractNum>
  <w:abstractNum w:abstractNumId="6" w15:restartNumberingAfterBreak="0">
    <w:nsid w:val="04DD30E6"/>
    <w:multiLevelType w:val="hybridMultilevel"/>
    <w:tmpl w:val="29C4CB72"/>
    <w:lvl w:ilvl="0" w:tplc="C256E6DC">
      <w:start w:val="1"/>
      <w:numFmt w:val="bullet"/>
      <w:pStyle w:val="PuceNiveau2"/>
      <w:lvlText w:val=""/>
      <w:lvlJc w:val="left"/>
      <w:pPr>
        <w:tabs>
          <w:tab w:val="num" w:pos="3342"/>
        </w:tabs>
        <w:ind w:left="3342" w:hanging="360"/>
      </w:pPr>
      <w:rPr>
        <w:rFonts w:ascii="Symbol" w:hAnsi="Symbol" w:hint="default"/>
      </w:rPr>
    </w:lvl>
    <w:lvl w:ilvl="1" w:tplc="3B024776" w:tentative="1">
      <w:start w:val="1"/>
      <w:numFmt w:val="bullet"/>
      <w:lvlText w:val="o"/>
      <w:lvlJc w:val="left"/>
      <w:pPr>
        <w:tabs>
          <w:tab w:val="num" w:pos="3288"/>
        </w:tabs>
        <w:ind w:left="3288" w:hanging="360"/>
      </w:pPr>
      <w:rPr>
        <w:rFonts w:ascii="Courier New" w:hAnsi="Courier New" w:cs="Courier New" w:hint="default"/>
      </w:rPr>
    </w:lvl>
    <w:lvl w:ilvl="2" w:tplc="0E9AA134" w:tentative="1">
      <w:start w:val="1"/>
      <w:numFmt w:val="bullet"/>
      <w:lvlText w:val=""/>
      <w:lvlJc w:val="left"/>
      <w:pPr>
        <w:tabs>
          <w:tab w:val="num" w:pos="4008"/>
        </w:tabs>
        <w:ind w:left="4008" w:hanging="360"/>
      </w:pPr>
      <w:rPr>
        <w:rFonts w:ascii="Wingdings" w:hAnsi="Wingdings" w:hint="default"/>
      </w:rPr>
    </w:lvl>
    <w:lvl w:ilvl="3" w:tplc="BAA850FA" w:tentative="1">
      <w:start w:val="1"/>
      <w:numFmt w:val="bullet"/>
      <w:lvlText w:val=""/>
      <w:lvlJc w:val="left"/>
      <w:pPr>
        <w:tabs>
          <w:tab w:val="num" w:pos="4728"/>
        </w:tabs>
        <w:ind w:left="4728" w:hanging="360"/>
      </w:pPr>
      <w:rPr>
        <w:rFonts w:ascii="Symbol" w:hAnsi="Symbol" w:hint="default"/>
      </w:rPr>
    </w:lvl>
    <w:lvl w:ilvl="4" w:tplc="E88012C0" w:tentative="1">
      <w:start w:val="1"/>
      <w:numFmt w:val="bullet"/>
      <w:lvlText w:val="o"/>
      <w:lvlJc w:val="left"/>
      <w:pPr>
        <w:tabs>
          <w:tab w:val="num" w:pos="5448"/>
        </w:tabs>
        <w:ind w:left="5448" w:hanging="360"/>
      </w:pPr>
      <w:rPr>
        <w:rFonts w:ascii="Courier New" w:hAnsi="Courier New" w:cs="Courier New" w:hint="default"/>
      </w:rPr>
    </w:lvl>
    <w:lvl w:ilvl="5" w:tplc="C624D80C" w:tentative="1">
      <w:start w:val="1"/>
      <w:numFmt w:val="bullet"/>
      <w:lvlText w:val=""/>
      <w:lvlJc w:val="left"/>
      <w:pPr>
        <w:tabs>
          <w:tab w:val="num" w:pos="6168"/>
        </w:tabs>
        <w:ind w:left="6168" w:hanging="360"/>
      </w:pPr>
      <w:rPr>
        <w:rFonts w:ascii="Wingdings" w:hAnsi="Wingdings" w:hint="default"/>
      </w:rPr>
    </w:lvl>
    <w:lvl w:ilvl="6" w:tplc="E3CCC146" w:tentative="1">
      <w:start w:val="1"/>
      <w:numFmt w:val="bullet"/>
      <w:lvlText w:val=""/>
      <w:lvlJc w:val="left"/>
      <w:pPr>
        <w:tabs>
          <w:tab w:val="num" w:pos="6888"/>
        </w:tabs>
        <w:ind w:left="6888" w:hanging="360"/>
      </w:pPr>
      <w:rPr>
        <w:rFonts w:ascii="Symbol" w:hAnsi="Symbol" w:hint="default"/>
      </w:rPr>
    </w:lvl>
    <w:lvl w:ilvl="7" w:tplc="4AB2EABA" w:tentative="1">
      <w:start w:val="1"/>
      <w:numFmt w:val="bullet"/>
      <w:lvlText w:val="o"/>
      <w:lvlJc w:val="left"/>
      <w:pPr>
        <w:tabs>
          <w:tab w:val="num" w:pos="7608"/>
        </w:tabs>
        <w:ind w:left="7608" w:hanging="360"/>
      </w:pPr>
      <w:rPr>
        <w:rFonts w:ascii="Courier New" w:hAnsi="Courier New" w:cs="Courier New" w:hint="default"/>
      </w:rPr>
    </w:lvl>
    <w:lvl w:ilvl="8" w:tplc="A7223E72" w:tentative="1">
      <w:start w:val="1"/>
      <w:numFmt w:val="bullet"/>
      <w:lvlText w:val=""/>
      <w:lvlJc w:val="left"/>
      <w:pPr>
        <w:tabs>
          <w:tab w:val="num" w:pos="8328"/>
        </w:tabs>
        <w:ind w:left="8328" w:hanging="360"/>
      </w:pPr>
      <w:rPr>
        <w:rFonts w:ascii="Wingdings" w:hAnsi="Wingdings" w:hint="default"/>
      </w:rPr>
    </w:lvl>
  </w:abstractNum>
  <w:abstractNum w:abstractNumId="7" w15:restartNumberingAfterBreak="0">
    <w:nsid w:val="052053AB"/>
    <w:multiLevelType w:val="singleLevel"/>
    <w:tmpl w:val="B498D328"/>
    <w:lvl w:ilvl="0">
      <w:start w:val="1"/>
      <w:numFmt w:val="bullet"/>
      <w:pStyle w:val="e11-Auflistung"/>
      <w:lvlText w:val=""/>
      <w:lvlJc w:val="left"/>
      <w:pPr>
        <w:tabs>
          <w:tab w:val="num" w:pos="568"/>
        </w:tabs>
        <w:ind w:left="568" w:hanging="284"/>
      </w:pPr>
      <w:rPr>
        <w:rFonts w:ascii="Symbol" w:hAnsi="Symbol" w:hint="default"/>
        <w:sz w:val="18"/>
      </w:rPr>
    </w:lvl>
  </w:abstractNum>
  <w:abstractNum w:abstractNumId="8" w15:restartNumberingAfterBreak="0">
    <w:nsid w:val="071858F9"/>
    <w:multiLevelType w:val="hybridMultilevel"/>
    <w:tmpl w:val="7152F9D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1946B4"/>
    <w:multiLevelType w:val="multilevel"/>
    <w:tmpl w:val="E098DA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StylNagwek412pt"/>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227152"/>
    <w:multiLevelType w:val="hybridMultilevel"/>
    <w:tmpl w:val="42703850"/>
    <w:lvl w:ilvl="0" w:tplc="DE8A0A4C">
      <w:start w:val="1"/>
      <w:numFmt w:val="lowerLetter"/>
      <w:lvlText w:val="%1)"/>
      <w:lvlJc w:val="left"/>
      <w:pPr>
        <w:ind w:left="1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4C096CA">
      <w:start w:val="1"/>
      <w:numFmt w:val="lowerLetter"/>
      <w:lvlText w:val="%2"/>
      <w:lvlJc w:val="left"/>
      <w:pPr>
        <w:ind w:left="14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2890706E">
      <w:start w:val="1"/>
      <w:numFmt w:val="lowerRoman"/>
      <w:lvlText w:val="%3"/>
      <w:lvlJc w:val="left"/>
      <w:pPr>
        <w:ind w:left="21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B5AAC3F2">
      <w:start w:val="1"/>
      <w:numFmt w:val="decimal"/>
      <w:lvlText w:val="%4"/>
      <w:lvlJc w:val="left"/>
      <w:pPr>
        <w:ind w:left="28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D20D984">
      <w:start w:val="1"/>
      <w:numFmt w:val="lowerLetter"/>
      <w:lvlText w:val="%5"/>
      <w:lvlJc w:val="left"/>
      <w:pPr>
        <w:ind w:left="35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5E962AD0">
      <w:start w:val="1"/>
      <w:numFmt w:val="lowerRoman"/>
      <w:lvlText w:val="%6"/>
      <w:lvlJc w:val="left"/>
      <w:pPr>
        <w:ind w:left="43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8C45552">
      <w:start w:val="1"/>
      <w:numFmt w:val="decimal"/>
      <w:lvlText w:val="%7"/>
      <w:lvlJc w:val="left"/>
      <w:pPr>
        <w:ind w:left="50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C8A06DE">
      <w:start w:val="1"/>
      <w:numFmt w:val="lowerLetter"/>
      <w:lvlText w:val="%8"/>
      <w:lvlJc w:val="left"/>
      <w:pPr>
        <w:ind w:left="57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3269492">
      <w:start w:val="1"/>
      <w:numFmt w:val="lowerRoman"/>
      <w:lvlText w:val="%9"/>
      <w:lvlJc w:val="left"/>
      <w:pPr>
        <w:ind w:left="64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12BF5A92"/>
    <w:multiLevelType w:val="hybridMultilevel"/>
    <w:tmpl w:val="CAEEA2FC"/>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F55C08"/>
    <w:multiLevelType w:val="hybridMultilevel"/>
    <w:tmpl w:val="46105F8E"/>
    <w:lvl w:ilvl="0" w:tplc="6AAEF1E6">
      <w:start w:val="1"/>
      <w:numFmt w:val="bullet"/>
      <w:pStyle w:val="pktwtabeli"/>
      <w:lvlText w:val="-"/>
      <w:lvlJc w:val="left"/>
      <w:pPr>
        <w:ind w:left="2486" w:hanging="360"/>
      </w:pPr>
      <w:rPr>
        <w:rFonts w:ascii="Arial" w:hAnsi="Arial" w:hint="default"/>
        <w:color w:val="auto"/>
        <w:sz w:val="18"/>
        <w:vertAlign w:val="baseline"/>
      </w:rPr>
    </w:lvl>
    <w:lvl w:ilvl="1" w:tplc="B77A3D6C"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431D06"/>
    <w:multiLevelType w:val="hybridMultilevel"/>
    <w:tmpl w:val="586A39EC"/>
    <w:lvl w:ilvl="0" w:tplc="76F40592">
      <w:start w:val="1"/>
      <w:numFmt w:val="lowerRoman"/>
      <w:lvlText w:val="(%1)"/>
      <w:lvlJc w:val="left"/>
      <w:pPr>
        <w:ind w:left="140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FC062922">
      <w:start w:val="1"/>
      <w:numFmt w:val="lowerLetter"/>
      <w:lvlText w:val="%2"/>
      <w:lvlJc w:val="left"/>
      <w:pPr>
        <w:ind w:left="21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15A8D1C">
      <w:start w:val="1"/>
      <w:numFmt w:val="lowerRoman"/>
      <w:lvlText w:val="%3"/>
      <w:lvlJc w:val="left"/>
      <w:pPr>
        <w:ind w:left="28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FC665DC0">
      <w:start w:val="1"/>
      <w:numFmt w:val="decimal"/>
      <w:lvlText w:val="%4"/>
      <w:lvlJc w:val="left"/>
      <w:pPr>
        <w:ind w:left="35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138F170">
      <w:start w:val="1"/>
      <w:numFmt w:val="lowerLetter"/>
      <w:lvlText w:val="%5"/>
      <w:lvlJc w:val="left"/>
      <w:pPr>
        <w:ind w:left="42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D686F2C">
      <w:start w:val="1"/>
      <w:numFmt w:val="lowerRoman"/>
      <w:lvlText w:val="%6"/>
      <w:lvlJc w:val="left"/>
      <w:pPr>
        <w:ind w:left="49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62FA97B2">
      <w:start w:val="1"/>
      <w:numFmt w:val="decimal"/>
      <w:lvlText w:val="%7"/>
      <w:lvlJc w:val="left"/>
      <w:pPr>
        <w:ind w:left="57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0F0B6B6">
      <w:start w:val="1"/>
      <w:numFmt w:val="lowerLetter"/>
      <w:lvlText w:val="%8"/>
      <w:lvlJc w:val="left"/>
      <w:pPr>
        <w:ind w:left="64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0A2645C">
      <w:start w:val="1"/>
      <w:numFmt w:val="lowerRoman"/>
      <w:lvlText w:val="%9"/>
      <w:lvlJc w:val="left"/>
      <w:pPr>
        <w:ind w:left="71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197F43DF"/>
    <w:multiLevelType w:val="hybridMultilevel"/>
    <w:tmpl w:val="245E7508"/>
    <w:lvl w:ilvl="0" w:tplc="45927D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AD91EE5"/>
    <w:multiLevelType w:val="hybridMultilevel"/>
    <w:tmpl w:val="B4825A60"/>
    <w:lvl w:ilvl="0" w:tplc="04150003">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4810D6"/>
    <w:multiLevelType w:val="hybridMultilevel"/>
    <w:tmpl w:val="C444E45C"/>
    <w:lvl w:ilvl="0" w:tplc="BE5C4F38">
      <w:start w:val="1"/>
      <w:numFmt w:val="bullet"/>
      <w:pStyle w:val="S1i2pz"/>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334945"/>
    <w:multiLevelType w:val="hybridMultilevel"/>
    <w:tmpl w:val="3580B63A"/>
    <w:lvl w:ilvl="0" w:tplc="802A488E">
      <w:start w:val="1"/>
      <w:numFmt w:val="bullet"/>
      <w:pStyle w:val="PZI-PKT3"/>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8" w15:restartNumberingAfterBreak="0">
    <w:nsid w:val="1ECB0F20"/>
    <w:multiLevelType w:val="hybridMultilevel"/>
    <w:tmpl w:val="DB7819F4"/>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F7329EC"/>
    <w:multiLevelType w:val="hybridMultilevel"/>
    <w:tmpl w:val="5A9EB43A"/>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13A758D"/>
    <w:multiLevelType w:val="hybridMultilevel"/>
    <w:tmpl w:val="C99E3452"/>
    <w:lvl w:ilvl="0" w:tplc="A5C64D7C">
      <w:start w:val="1"/>
      <w:numFmt w:val="lowerRoman"/>
      <w:lvlText w:val="(%1)"/>
      <w:lvlJc w:val="left"/>
      <w:pPr>
        <w:ind w:left="12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E3F4BC12">
      <w:start w:val="1"/>
      <w:numFmt w:val="lowerLetter"/>
      <w:lvlText w:val="%2)"/>
      <w:lvlJc w:val="left"/>
      <w:pPr>
        <w:ind w:left="139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75095FA">
      <w:start w:val="1"/>
      <w:numFmt w:val="decimal"/>
      <w:lvlText w:val="%3)"/>
      <w:lvlJc w:val="left"/>
      <w:pPr>
        <w:ind w:left="162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336E61E4">
      <w:start w:val="1"/>
      <w:numFmt w:val="decimal"/>
      <w:lvlText w:val="%4"/>
      <w:lvlJc w:val="left"/>
      <w:pPr>
        <w:ind w:left="159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E261384">
      <w:start w:val="1"/>
      <w:numFmt w:val="lowerLetter"/>
      <w:lvlText w:val="%5"/>
      <w:lvlJc w:val="left"/>
      <w:pPr>
        <w:ind w:left="23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8E45A20">
      <w:start w:val="1"/>
      <w:numFmt w:val="lowerRoman"/>
      <w:lvlText w:val="%6"/>
      <w:lvlJc w:val="left"/>
      <w:pPr>
        <w:ind w:left="303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6EA2DBE">
      <w:start w:val="1"/>
      <w:numFmt w:val="decimal"/>
      <w:lvlText w:val="%7"/>
      <w:lvlJc w:val="left"/>
      <w:pPr>
        <w:ind w:left="37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02AB502">
      <w:start w:val="1"/>
      <w:numFmt w:val="lowerLetter"/>
      <w:lvlText w:val="%8"/>
      <w:lvlJc w:val="left"/>
      <w:pPr>
        <w:ind w:left="447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61E4116">
      <w:start w:val="1"/>
      <w:numFmt w:val="lowerRoman"/>
      <w:lvlText w:val="%9"/>
      <w:lvlJc w:val="left"/>
      <w:pPr>
        <w:ind w:left="519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2348289F"/>
    <w:multiLevelType w:val="hybridMultilevel"/>
    <w:tmpl w:val="C3067304"/>
    <w:lvl w:ilvl="0" w:tplc="C9C41BC0">
      <w:start w:val="1"/>
      <w:numFmt w:val="bullet"/>
      <w:pStyle w:val="PZI-PKT4"/>
      <w:lvlText w:val="o"/>
      <w:lvlJc w:val="left"/>
      <w:pPr>
        <w:ind w:left="2211" w:hanging="360"/>
      </w:pPr>
      <w:rPr>
        <w:rFonts w:ascii="Courier New" w:hAnsi="Courier New" w:cs="Courier New" w:hint="default"/>
      </w:rPr>
    </w:lvl>
    <w:lvl w:ilvl="1" w:tplc="04150003">
      <w:start w:val="1"/>
      <w:numFmt w:val="bullet"/>
      <w:lvlText w:val="o"/>
      <w:lvlJc w:val="left"/>
      <w:pPr>
        <w:ind w:left="2931" w:hanging="360"/>
      </w:pPr>
      <w:rPr>
        <w:rFonts w:ascii="Courier New" w:hAnsi="Courier New" w:cs="Courier New" w:hint="default"/>
      </w:rPr>
    </w:lvl>
    <w:lvl w:ilvl="2" w:tplc="04150005" w:tentative="1">
      <w:start w:val="1"/>
      <w:numFmt w:val="bullet"/>
      <w:lvlText w:val=""/>
      <w:lvlJc w:val="left"/>
      <w:pPr>
        <w:ind w:left="3651" w:hanging="360"/>
      </w:pPr>
      <w:rPr>
        <w:rFonts w:ascii="Wingdings" w:hAnsi="Wingdings" w:hint="default"/>
      </w:rPr>
    </w:lvl>
    <w:lvl w:ilvl="3" w:tplc="04150001" w:tentative="1">
      <w:start w:val="1"/>
      <w:numFmt w:val="bullet"/>
      <w:lvlText w:val=""/>
      <w:lvlJc w:val="left"/>
      <w:pPr>
        <w:ind w:left="4371" w:hanging="360"/>
      </w:pPr>
      <w:rPr>
        <w:rFonts w:ascii="Symbol" w:hAnsi="Symbol" w:hint="default"/>
      </w:rPr>
    </w:lvl>
    <w:lvl w:ilvl="4" w:tplc="04150003" w:tentative="1">
      <w:start w:val="1"/>
      <w:numFmt w:val="bullet"/>
      <w:lvlText w:val="o"/>
      <w:lvlJc w:val="left"/>
      <w:pPr>
        <w:ind w:left="5091" w:hanging="360"/>
      </w:pPr>
      <w:rPr>
        <w:rFonts w:ascii="Courier New" w:hAnsi="Courier New" w:cs="Courier New" w:hint="default"/>
      </w:rPr>
    </w:lvl>
    <w:lvl w:ilvl="5" w:tplc="04150005" w:tentative="1">
      <w:start w:val="1"/>
      <w:numFmt w:val="bullet"/>
      <w:lvlText w:val=""/>
      <w:lvlJc w:val="left"/>
      <w:pPr>
        <w:ind w:left="5811" w:hanging="360"/>
      </w:pPr>
      <w:rPr>
        <w:rFonts w:ascii="Wingdings" w:hAnsi="Wingdings" w:hint="default"/>
      </w:rPr>
    </w:lvl>
    <w:lvl w:ilvl="6" w:tplc="04150001" w:tentative="1">
      <w:start w:val="1"/>
      <w:numFmt w:val="bullet"/>
      <w:lvlText w:val=""/>
      <w:lvlJc w:val="left"/>
      <w:pPr>
        <w:ind w:left="6531" w:hanging="360"/>
      </w:pPr>
      <w:rPr>
        <w:rFonts w:ascii="Symbol" w:hAnsi="Symbol" w:hint="default"/>
      </w:rPr>
    </w:lvl>
    <w:lvl w:ilvl="7" w:tplc="04150003" w:tentative="1">
      <w:start w:val="1"/>
      <w:numFmt w:val="bullet"/>
      <w:lvlText w:val="o"/>
      <w:lvlJc w:val="left"/>
      <w:pPr>
        <w:ind w:left="7251" w:hanging="360"/>
      </w:pPr>
      <w:rPr>
        <w:rFonts w:ascii="Courier New" w:hAnsi="Courier New" w:cs="Courier New" w:hint="default"/>
      </w:rPr>
    </w:lvl>
    <w:lvl w:ilvl="8" w:tplc="04150005" w:tentative="1">
      <w:start w:val="1"/>
      <w:numFmt w:val="bullet"/>
      <w:lvlText w:val=""/>
      <w:lvlJc w:val="left"/>
      <w:pPr>
        <w:ind w:left="7971" w:hanging="360"/>
      </w:pPr>
      <w:rPr>
        <w:rFonts w:ascii="Wingdings" w:hAnsi="Wingdings" w:hint="default"/>
      </w:rPr>
    </w:lvl>
  </w:abstractNum>
  <w:abstractNum w:abstractNumId="22" w15:restartNumberingAfterBreak="0">
    <w:nsid w:val="2375712E"/>
    <w:multiLevelType w:val="hybridMultilevel"/>
    <w:tmpl w:val="85A221A6"/>
    <w:lvl w:ilvl="0" w:tplc="45927D2A">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23" w15:restartNumberingAfterBreak="0">
    <w:nsid w:val="23EB264C"/>
    <w:multiLevelType w:val="hybridMultilevel"/>
    <w:tmpl w:val="060C4596"/>
    <w:lvl w:ilvl="0" w:tplc="1414BFA2">
      <w:start w:val="1"/>
      <w:numFmt w:val="decimal"/>
      <w:lvlText w:val="(%1)"/>
      <w:lvlJc w:val="left"/>
      <w:pPr>
        <w:ind w:left="1232"/>
      </w:pPr>
      <w:rPr>
        <w:rFonts w:ascii="Calibri" w:eastAsia="Calibri" w:hAnsi="Calibri" w:cs="Calibri"/>
        <w:b w:val="0"/>
        <w:i w:val="0"/>
        <w:strike w:val="0"/>
        <w:dstrike w:val="0"/>
        <w:color w:val="000000"/>
        <w:sz w:val="17"/>
        <w:szCs w:val="17"/>
        <w:u w:val="none" w:color="000000"/>
        <w:bdr w:val="none" w:sz="0" w:space="0" w:color="auto"/>
        <w:shd w:val="clear" w:color="auto" w:fill="auto"/>
        <w:vertAlign w:val="superscript"/>
      </w:rPr>
    </w:lvl>
    <w:lvl w:ilvl="1" w:tplc="6A4A053C">
      <w:start w:val="1"/>
      <w:numFmt w:val="lowerLetter"/>
      <w:lvlText w:val="%2"/>
      <w:lvlJc w:val="left"/>
      <w:pPr>
        <w:ind w:left="21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86AED80">
      <w:start w:val="1"/>
      <w:numFmt w:val="lowerRoman"/>
      <w:lvlText w:val="%3"/>
      <w:lvlJc w:val="left"/>
      <w:pPr>
        <w:ind w:left="28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FAE61082">
      <w:start w:val="1"/>
      <w:numFmt w:val="decimal"/>
      <w:lvlText w:val="%4"/>
      <w:lvlJc w:val="left"/>
      <w:pPr>
        <w:ind w:left="35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9B8A9A5C">
      <w:start w:val="1"/>
      <w:numFmt w:val="lowerLetter"/>
      <w:lvlText w:val="%5"/>
      <w:lvlJc w:val="left"/>
      <w:pPr>
        <w:ind w:left="42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446A028">
      <w:start w:val="1"/>
      <w:numFmt w:val="lowerRoman"/>
      <w:lvlText w:val="%6"/>
      <w:lvlJc w:val="left"/>
      <w:pPr>
        <w:ind w:left="49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9594D28E">
      <w:start w:val="1"/>
      <w:numFmt w:val="decimal"/>
      <w:lvlText w:val="%7"/>
      <w:lvlJc w:val="left"/>
      <w:pPr>
        <w:ind w:left="57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7808150">
      <w:start w:val="1"/>
      <w:numFmt w:val="lowerLetter"/>
      <w:lvlText w:val="%8"/>
      <w:lvlJc w:val="left"/>
      <w:pPr>
        <w:ind w:left="64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6F64B81C">
      <w:start w:val="1"/>
      <w:numFmt w:val="lowerRoman"/>
      <w:lvlText w:val="%9"/>
      <w:lvlJc w:val="left"/>
      <w:pPr>
        <w:ind w:left="71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24" w15:restartNumberingAfterBreak="0">
    <w:nsid w:val="2508653D"/>
    <w:multiLevelType w:val="hybridMultilevel"/>
    <w:tmpl w:val="5720017C"/>
    <w:lvl w:ilvl="0" w:tplc="3AEE4EB4">
      <w:start w:val="1"/>
      <w:numFmt w:val="lowerLetter"/>
      <w:lvlText w:val="%1)"/>
      <w:lvlJc w:val="left"/>
      <w:pPr>
        <w:ind w:left="1397" w:firstLine="0"/>
      </w:pPr>
      <w:rPr>
        <w:rFonts w:ascii="Calibri" w:eastAsia="Calibri" w:hAnsi="Calibri" w:cs="Calibri" w:hint="default"/>
        <w:b w:val="0"/>
        <w:i w:val="0"/>
        <w:strike w:val="0"/>
        <w:dstrike w:val="0"/>
        <w:color w:val="000000"/>
        <w:sz w:val="19"/>
        <w:szCs w:val="19"/>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6E56A1F"/>
    <w:multiLevelType w:val="multilevel"/>
    <w:tmpl w:val="B5BC8F34"/>
    <w:lvl w:ilvl="0">
      <w:start w:val="1"/>
      <w:numFmt w:val="bullet"/>
      <w:pStyle w:val="5"/>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965C5C"/>
    <w:multiLevelType w:val="hybridMultilevel"/>
    <w:tmpl w:val="4EA6CF34"/>
    <w:lvl w:ilvl="0" w:tplc="0415000F">
      <w:start w:val="1"/>
      <w:numFmt w:val="decimal"/>
      <w:pStyle w:val="Listanumerowana"/>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 w15:restartNumberingAfterBreak="0">
    <w:nsid w:val="28F9117E"/>
    <w:multiLevelType w:val="hybridMultilevel"/>
    <w:tmpl w:val="56AA506A"/>
    <w:lvl w:ilvl="0" w:tplc="FFFFFFFF">
      <w:start w:val="1"/>
      <w:numFmt w:val="bullet"/>
      <w:pStyle w:val="e1-Auflistung"/>
      <w:lvlText w:val=""/>
      <w:lvlJc w:val="left"/>
      <w:pPr>
        <w:tabs>
          <w:tab w:val="num" w:pos="284"/>
        </w:tabs>
        <w:ind w:left="284" w:hanging="284"/>
      </w:pPr>
      <w:rPr>
        <w:rFonts w:ascii="Symbol" w:hAnsi="Symbol" w:hint="default"/>
        <w:lang w:val="pl-PL"/>
      </w:rPr>
    </w:lvl>
    <w:lvl w:ilvl="1" w:tplc="0415000D">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334B4C"/>
    <w:multiLevelType w:val="hybridMultilevel"/>
    <w:tmpl w:val="4634D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B9F3E26"/>
    <w:multiLevelType w:val="hybridMultilevel"/>
    <w:tmpl w:val="865AD3D0"/>
    <w:lvl w:ilvl="0" w:tplc="5630E048">
      <w:start w:val="1"/>
      <w:numFmt w:val="bullet"/>
      <w:pStyle w:val="P1"/>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E790104"/>
    <w:multiLevelType w:val="hybridMultilevel"/>
    <w:tmpl w:val="EBB87688"/>
    <w:lvl w:ilvl="0" w:tplc="D200F6B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15:restartNumberingAfterBreak="0">
    <w:nsid w:val="2E7D1F0A"/>
    <w:multiLevelType w:val="hybridMultilevel"/>
    <w:tmpl w:val="F754D890"/>
    <w:lvl w:ilvl="0" w:tplc="B79EC348">
      <w:start w:val="1"/>
      <w:numFmt w:val="decimal"/>
      <w:lvlText w:val="(%1)"/>
      <w:lvlJc w:val="left"/>
      <w:pPr>
        <w:ind w:left="1232"/>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4796B4D8">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27EAA42">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37DE92C2">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BB646546">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B1E413E8">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BFA8EEC">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57327D8A">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BBEE503E">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32" w15:restartNumberingAfterBreak="0">
    <w:nsid w:val="2EAB0957"/>
    <w:multiLevelType w:val="hybridMultilevel"/>
    <w:tmpl w:val="250E100C"/>
    <w:lvl w:ilvl="0" w:tplc="1CD80DA2">
      <w:start w:val="1"/>
      <w:numFmt w:val="bullet"/>
      <w:lvlText w:val=""/>
      <w:lvlJc w:val="left"/>
      <w:pPr>
        <w:ind w:left="1080" w:hanging="360"/>
      </w:pPr>
      <w:rPr>
        <w:rFonts w:ascii="Symbol" w:hAnsi="Symbol" w:hint="default"/>
      </w:rPr>
    </w:lvl>
    <w:lvl w:ilvl="1" w:tplc="04150003">
      <w:start w:val="1"/>
      <w:numFmt w:val="bullet"/>
      <w:lvlText w:val=""/>
      <w:lvlJc w:val="left"/>
      <w:pPr>
        <w:ind w:left="1800" w:hanging="360"/>
      </w:pPr>
      <w:rPr>
        <w:rFonts w:ascii="Symbol" w:hAnsi="Symbol"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2F75564E"/>
    <w:multiLevelType w:val="hybridMultilevel"/>
    <w:tmpl w:val="6E6477FA"/>
    <w:lvl w:ilvl="0" w:tplc="04150001">
      <w:start w:val="1"/>
      <w:numFmt w:val="bullet"/>
      <w:pStyle w:val="listapunktowana20"/>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30CE0E2B"/>
    <w:multiLevelType w:val="hybridMultilevel"/>
    <w:tmpl w:val="6582B64E"/>
    <w:lvl w:ilvl="0" w:tplc="1CD80DA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316D6B14"/>
    <w:multiLevelType w:val="hybridMultilevel"/>
    <w:tmpl w:val="703E70CE"/>
    <w:lvl w:ilvl="0" w:tplc="45927D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3050F68"/>
    <w:multiLevelType w:val="hybridMultilevel"/>
    <w:tmpl w:val="763441C2"/>
    <w:lvl w:ilvl="0" w:tplc="9910A3B8">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3090B69"/>
    <w:multiLevelType w:val="hybridMultilevel"/>
    <w:tmpl w:val="D410F2B0"/>
    <w:lvl w:ilvl="0" w:tplc="E3C6DC38">
      <w:start w:val="1"/>
      <w:numFmt w:val="decimal"/>
      <w:pStyle w:val="punkty"/>
      <w:lvlText w:val="%1."/>
      <w:lvlJc w:val="left"/>
      <w:pPr>
        <w:ind w:left="928" w:hanging="360"/>
      </w:pPr>
      <w:rPr>
        <w:rFonts w:ascii="Calibri" w:hAnsi="Calibri" w:hint="default"/>
        <w:b w:val="0"/>
        <w:i w:val="0"/>
        <w:color w:val="000000"/>
        <w:sz w:val="22"/>
        <w:szCs w:val="22"/>
      </w:rPr>
    </w:lvl>
    <w:lvl w:ilvl="1" w:tplc="04150003">
      <w:start w:val="1"/>
      <w:numFmt w:val="lowerLetter"/>
      <w:lvlText w:val="%2."/>
      <w:lvlJc w:val="left"/>
      <w:pPr>
        <w:tabs>
          <w:tab w:val="num" w:pos="2008"/>
        </w:tabs>
        <w:ind w:left="2008" w:hanging="360"/>
      </w:pPr>
    </w:lvl>
    <w:lvl w:ilvl="2" w:tplc="04150005" w:tentative="1">
      <w:start w:val="1"/>
      <w:numFmt w:val="lowerRoman"/>
      <w:lvlText w:val="%3."/>
      <w:lvlJc w:val="right"/>
      <w:pPr>
        <w:tabs>
          <w:tab w:val="num" w:pos="2728"/>
        </w:tabs>
        <w:ind w:left="2728" w:hanging="180"/>
      </w:pPr>
    </w:lvl>
    <w:lvl w:ilvl="3" w:tplc="04150001" w:tentative="1">
      <w:start w:val="1"/>
      <w:numFmt w:val="decimal"/>
      <w:lvlText w:val="%4."/>
      <w:lvlJc w:val="left"/>
      <w:pPr>
        <w:tabs>
          <w:tab w:val="num" w:pos="3448"/>
        </w:tabs>
        <w:ind w:left="3448" w:hanging="360"/>
      </w:pPr>
    </w:lvl>
    <w:lvl w:ilvl="4" w:tplc="04150003" w:tentative="1">
      <w:start w:val="1"/>
      <w:numFmt w:val="lowerLetter"/>
      <w:lvlText w:val="%5."/>
      <w:lvlJc w:val="left"/>
      <w:pPr>
        <w:tabs>
          <w:tab w:val="num" w:pos="4168"/>
        </w:tabs>
        <w:ind w:left="4168" w:hanging="360"/>
      </w:pPr>
    </w:lvl>
    <w:lvl w:ilvl="5" w:tplc="04150005" w:tentative="1">
      <w:start w:val="1"/>
      <w:numFmt w:val="lowerRoman"/>
      <w:lvlText w:val="%6."/>
      <w:lvlJc w:val="right"/>
      <w:pPr>
        <w:tabs>
          <w:tab w:val="num" w:pos="4888"/>
        </w:tabs>
        <w:ind w:left="4888" w:hanging="180"/>
      </w:pPr>
    </w:lvl>
    <w:lvl w:ilvl="6" w:tplc="04150001" w:tentative="1">
      <w:start w:val="1"/>
      <w:numFmt w:val="decimal"/>
      <w:lvlText w:val="%7."/>
      <w:lvlJc w:val="left"/>
      <w:pPr>
        <w:tabs>
          <w:tab w:val="num" w:pos="5608"/>
        </w:tabs>
        <w:ind w:left="5608" w:hanging="360"/>
      </w:pPr>
    </w:lvl>
    <w:lvl w:ilvl="7" w:tplc="04150003" w:tentative="1">
      <w:start w:val="1"/>
      <w:numFmt w:val="lowerLetter"/>
      <w:lvlText w:val="%8."/>
      <w:lvlJc w:val="left"/>
      <w:pPr>
        <w:tabs>
          <w:tab w:val="num" w:pos="6328"/>
        </w:tabs>
        <w:ind w:left="6328" w:hanging="360"/>
      </w:pPr>
    </w:lvl>
    <w:lvl w:ilvl="8" w:tplc="04150005" w:tentative="1">
      <w:start w:val="1"/>
      <w:numFmt w:val="lowerRoman"/>
      <w:lvlText w:val="%9."/>
      <w:lvlJc w:val="right"/>
      <w:pPr>
        <w:tabs>
          <w:tab w:val="num" w:pos="7048"/>
        </w:tabs>
        <w:ind w:left="7048" w:hanging="180"/>
      </w:pPr>
    </w:lvl>
  </w:abstractNum>
  <w:abstractNum w:abstractNumId="38" w15:restartNumberingAfterBreak="0">
    <w:nsid w:val="331560DA"/>
    <w:multiLevelType w:val="hybridMultilevel"/>
    <w:tmpl w:val="168A085C"/>
    <w:lvl w:ilvl="0" w:tplc="08A4EC08">
      <w:start w:val="1"/>
      <w:numFmt w:val="decimal"/>
      <w:lvlText w:val="(%1)"/>
      <w:lvlJc w:val="left"/>
      <w:pPr>
        <w:ind w:left="1232"/>
      </w:pPr>
      <w:rPr>
        <w:rFonts w:ascii="Calibri" w:eastAsia="Calibri" w:hAnsi="Calibri" w:cs="Calibri"/>
        <w:b w:val="0"/>
        <w:i w:val="0"/>
        <w:strike w:val="0"/>
        <w:dstrike w:val="0"/>
        <w:color w:val="000000"/>
        <w:sz w:val="17"/>
        <w:szCs w:val="17"/>
        <w:u w:val="none" w:color="000000"/>
        <w:bdr w:val="none" w:sz="0" w:space="0" w:color="auto"/>
        <w:shd w:val="clear" w:color="auto" w:fill="auto"/>
        <w:vertAlign w:val="superscript"/>
      </w:rPr>
    </w:lvl>
    <w:lvl w:ilvl="1" w:tplc="BC1033AC">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AFDE4872">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19EB0E4">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8716024C">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5D70E57E">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C21E6DFE">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EF6E606">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01100440">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39" w15:restartNumberingAfterBreak="0">
    <w:nsid w:val="33F1620B"/>
    <w:multiLevelType w:val="hybridMultilevel"/>
    <w:tmpl w:val="096A889C"/>
    <w:lvl w:ilvl="0" w:tplc="F1480BEC">
      <w:start w:val="1"/>
      <w:numFmt w:val="decimal"/>
      <w:lvlText w:val="%1)"/>
      <w:lvlJc w:val="left"/>
      <w:pPr>
        <w:tabs>
          <w:tab w:val="num" w:pos="360"/>
        </w:tabs>
        <w:ind w:left="360" w:hanging="360"/>
      </w:pPr>
      <w:rPr>
        <w:rFonts w:hint="default"/>
        <w:color w:val="auto"/>
        <w:sz w:val="24"/>
        <w:szCs w:val="24"/>
      </w:rPr>
    </w:lvl>
    <w:lvl w:ilvl="1" w:tplc="AF1088B0">
      <w:start w:val="1"/>
      <w:numFmt w:val="bullet"/>
      <w:lvlText w:val=""/>
      <w:lvlJc w:val="left"/>
      <w:pPr>
        <w:tabs>
          <w:tab w:val="num" w:pos="1080"/>
        </w:tabs>
        <w:ind w:left="1080" w:hanging="360"/>
      </w:pPr>
      <w:rPr>
        <w:rFonts w:ascii="Symbol" w:hAnsi="Symbol" w:hint="default"/>
      </w:rPr>
    </w:lvl>
    <w:lvl w:ilvl="2" w:tplc="49F0F8C4">
      <w:start w:val="1"/>
      <w:numFmt w:val="decimal"/>
      <w:lvlText w:val="%3."/>
      <w:lvlJc w:val="left"/>
      <w:pPr>
        <w:ind w:left="1980" w:hanging="360"/>
      </w:pPr>
      <w:rPr>
        <w:rFonts w:hint="default"/>
        <w:color w:val="70AD47"/>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0" w15:restartNumberingAfterBreak="0">
    <w:nsid w:val="345C6A47"/>
    <w:multiLevelType w:val="multilevel"/>
    <w:tmpl w:val="EBAE0F1C"/>
    <w:lvl w:ilvl="0">
      <w:start w:val="1"/>
      <w:numFmt w:val="lowerLetter"/>
      <w:lvlRestart w:val="0"/>
      <w:pStyle w:val="Punktowanie"/>
      <w:lvlText w:val="%1."/>
      <w:lvlJc w:val="left"/>
      <w:pPr>
        <w:tabs>
          <w:tab w:val="num" w:pos="700"/>
        </w:tabs>
        <w:ind w:left="680" w:hanging="340"/>
      </w:pPr>
      <w:rPr>
        <w:rFonts w:hint="default"/>
      </w:rPr>
    </w:lvl>
    <w:lvl w:ilvl="1">
      <w:start w:val="1"/>
      <w:numFmt w:val="lowerLetter"/>
      <w:lvlText w:val="%2."/>
      <w:lvlJc w:val="left"/>
      <w:pPr>
        <w:tabs>
          <w:tab w:val="num" w:pos="1420"/>
        </w:tabs>
        <w:ind w:left="1420" w:hanging="360"/>
      </w:pPr>
    </w:lvl>
    <w:lvl w:ilvl="2">
      <w:start w:val="1"/>
      <w:numFmt w:val="lowerRoman"/>
      <w:lvlText w:val="%3."/>
      <w:lvlJc w:val="right"/>
      <w:pPr>
        <w:tabs>
          <w:tab w:val="num" w:pos="2140"/>
        </w:tabs>
        <w:ind w:left="2140" w:hanging="180"/>
      </w:pPr>
    </w:lvl>
    <w:lvl w:ilvl="3">
      <w:start w:val="1"/>
      <w:numFmt w:val="decimal"/>
      <w:lvlText w:val="%4."/>
      <w:lvlJc w:val="left"/>
      <w:pPr>
        <w:tabs>
          <w:tab w:val="num" w:pos="2860"/>
        </w:tabs>
        <w:ind w:left="2860" w:hanging="360"/>
      </w:pPr>
    </w:lvl>
    <w:lvl w:ilvl="4">
      <w:start w:val="1"/>
      <w:numFmt w:val="lowerLetter"/>
      <w:lvlText w:val="%5."/>
      <w:lvlJc w:val="left"/>
      <w:pPr>
        <w:tabs>
          <w:tab w:val="num" w:pos="3580"/>
        </w:tabs>
        <w:ind w:left="3580" w:hanging="360"/>
      </w:pPr>
    </w:lvl>
    <w:lvl w:ilvl="5">
      <w:start w:val="1"/>
      <w:numFmt w:val="lowerRoman"/>
      <w:lvlText w:val="%6."/>
      <w:lvlJc w:val="right"/>
      <w:pPr>
        <w:tabs>
          <w:tab w:val="num" w:pos="4300"/>
        </w:tabs>
        <w:ind w:left="4300" w:hanging="180"/>
      </w:pPr>
    </w:lvl>
    <w:lvl w:ilvl="6">
      <w:start w:val="1"/>
      <w:numFmt w:val="decimal"/>
      <w:lvlText w:val="%7."/>
      <w:lvlJc w:val="left"/>
      <w:pPr>
        <w:tabs>
          <w:tab w:val="num" w:pos="5020"/>
        </w:tabs>
        <w:ind w:left="5020" w:hanging="360"/>
      </w:pPr>
    </w:lvl>
    <w:lvl w:ilvl="7">
      <w:start w:val="1"/>
      <w:numFmt w:val="lowerLetter"/>
      <w:lvlText w:val="%8."/>
      <w:lvlJc w:val="left"/>
      <w:pPr>
        <w:tabs>
          <w:tab w:val="num" w:pos="5740"/>
        </w:tabs>
        <w:ind w:left="5740" w:hanging="360"/>
      </w:pPr>
    </w:lvl>
    <w:lvl w:ilvl="8">
      <w:start w:val="1"/>
      <w:numFmt w:val="lowerRoman"/>
      <w:lvlText w:val="%9."/>
      <w:lvlJc w:val="right"/>
      <w:pPr>
        <w:tabs>
          <w:tab w:val="num" w:pos="6460"/>
        </w:tabs>
        <w:ind w:left="6460" w:hanging="180"/>
      </w:pPr>
    </w:lvl>
  </w:abstractNum>
  <w:abstractNum w:abstractNumId="41" w15:restartNumberingAfterBreak="0">
    <w:nsid w:val="363B3A3F"/>
    <w:multiLevelType w:val="hybridMultilevel"/>
    <w:tmpl w:val="75F84614"/>
    <w:lvl w:ilvl="0" w:tplc="AF1088B0">
      <w:start w:val="1"/>
      <w:numFmt w:val="bullet"/>
      <w:lvlText w:val=""/>
      <w:lvlJc w:val="left"/>
      <w:pPr>
        <w:tabs>
          <w:tab w:val="num" w:pos="1063"/>
        </w:tabs>
        <w:ind w:left="1063" w:hanging="360"/>
      </w:pPr>
      <w:rPr>
        <w:rFonts w:ascii="Symbol" w:hAnsi="Symbol" w:hint="default"/>
      </w:rPr>
    </w:lvl>
    <w:lvl w:ilvl="1" w:tplc="04150003" w:tentative="1">
      <w:start w:val="1"/>
      <w:numFmt w:val="bullet"/>
      <w:lvlText w:val="o"/>
      <w:lvlJc w:val="left"/>
      <w:pPr>
        <w:tabs>
          <w:tab w:val="num" w:pos="2143"/>
        </w:tabs>
        <w:ind w:left="2143" w:hanging="360"/>
      </w:pPr>
      <w:rPr>
        <w:rFonts w:ascii="Courier New" w:hAnsi="Courier New" w:cs="Courier New" w:hint="default"/>
      </w:rPr>
    </w:lvl>
    <w:lvl w:ilvl="2" w:tplc="04150005" w:tentative="1">
      <w:start w:val="1"/>
      <w:numFmt w:val="bullet"/>
      <w:lvlText w:val=""/>
      <w:lvlJc w:val="left"/>
      <w:pPr>
        <w:tabs>
          <w:tab w:val="num" w:pos="2863"/>
        </w:tabs>
        <w:ind w:left="2863" w:hanging="360"/>
      </w:pPr>
      <w:rPr>
        <w:rFonts w:ascii="Wingdings" w:hAnsi="Wingdings" w:hint="default"/>
      </w:rPr>
    </w:lvl>
    <w:lvl w:ilvl="3" w:tplc="04150001" w:tentative="1">
      <w:start w:val="1"/>
      <w:numFmt w:val="bullet"/>
      <w:lvlText w:val=""/>
      <w:lvlJc w:val="left"/>
      <w:pPr>
        <w:tabs>
          <w:tab w:val="num" w:pos="3583"/>
        </w:tabs>
        <w:ind w:left="3583" w:hanging="360"/>
      </w:pPr>
      <w:rPr>
        <w:rFonts w:ascii="Symbol" w:hAnsi="Symbol" w:hint="default"/>
      </w:rPr>
    </w:lvl>
    <w:lvl w:ilvl="4" w:tplc="04150003" w:tentative="1">
      <w:start w:val="1"/>
      <w:numFmt w:val="bullet"/>
      <w:lvlText w:val="o"/>
      <w:lvlJc w:val="left"/>
      <w:pPr>
        <w:tabs>
          <w:tab w:val="num" w:pos="4303"/>
        </w:tabs>
        <w:ind w:left="4303" w:hanging="360"/>
      </w:pPr>
      <w:rPr>
        <w:rFonts w:ascii="Courier New" w:hAnsi="Courier New" w:cs="Courier New" w:hint="default"/>
      </w:rPr>
    </w:lvl>
    <w:lvl w:ilvl="5" w:tplc="04150005" w:tentative="1">
      <w:start w:val="1"/>
      <w:numFmt w:val="bullet"/>
      <w:lvlText w:val=""/>
      <w:lvlJc w:val="left"/>
      <w:pPr>
        <w:tabs>
          <w:tab w:val="num" w:pos="5023"/>
        </w:tabs>
        <w:ind w:left="5023" w:hanging="360"/>
      </w:pPr>
      <w:rPr>
        <w:rFonts w:ascii="Wingdings" w:hAnsi="Wingdings" w:hint="default"/>
      </w:rPr>
    </w:lvl>
    <w:lvl w:ilvl="6" w:tplc="04150001" w:tentative="1">
      <w:start w:val="1"/>
      <w:numFmt w:val="bullet"/>
      <w:lvlText w:val=""/>
      <w:lvlJc w:val="left"/>
      <w:pPr>
        <w:tabs>
          <w:tab w:val="num" w:pos="5743"/>
        </w:tabs>
        <w:ind w:left="5743" w:hanging="360"/>
      </w:pPr>
      <w:rPr>
        <w:rFonts w:ascii="Symbol" w:hAnsi="Symbol" w:hint="default"/>
      </w:rPr>
    </w:lvl>
    <w:lvl w:ilvl="7" w:tplc="04150003" w:tentative="1">
      <w:start w:val="1"/>
      <w:numFmt w:val="bullet"/>
      <w:lvlText w:val="o"/>
      <w:lvlJc w:val="left"/>
      <w:pPr>
        <w:tabs>
          <w:tab w:val="num" w:pos="6463"/>
        </w:tabs>
        <w:ind w:left="6463" w:hanging="360"/>
      </w:pPr>
      <w:rPr>
        <w:rFonts w:ascii="Courier New" w:hAnsi="Courier New" w:cs="Courier New" w:hint="default"/>
      </w:rPr>
    </w:lvl>
    <w:lvl w:ilvl="8" w:tplc="04150005" w:tentative="1">
      <w:start w:val="1"/>
      <w:numFmt w:val="bullet"/>
      <w:lvlText w:val=""/>
      <w:lvlJc w:val="left"/>
      <w:pPr>
        <w:tabs>
          <w:tab w:val="num" w:pos="7183"/>
        </w:tabs>
        <w:ind w:left="7183" w:hanging="360"/>
      </w:pPr>
      <w:rPr>
        <w:rFonts w:ascii="Wingdings" w:hAnsi="Wingdings" w:hint="default"/>
      </w:rPr>
    </w:lvl>
  </w:abstractNum>
  <w:abstractNum w:abstractNumId="42" w15:restartNumberingAfterBreak="0">
    <w:nsid w:val="37101CDE"/>
    <w:multiLevelType w:val="hybridMultilevel"/>
    <w:tmpl w:val="675827C2"/>
    <w:lvl w:ilvl="0" w:tplc="45927D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9024BC4"/>
    <w:multiLevelType w:val="hybridMultilevel"/>
    <w:tmpl w:val="D57EE3C6"/>
    <w:styleLink w:val="Biecalista13"/>
    <w:lvl w:ilvl="0" w:tplc="0415000F">
      <w:start w:val="8"/>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pStyle w:val="Styl1"/>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398274FC"/>
    <w:multiLevelType w:val="hybridMultilevel"/>
    <w:tmpl w:val="86F264D2"/>
    <w:lvl w:ilvl="0" w:tplc="561017FA">
      <w:start w:val="1"/>
      <w:numFmt w:val="bullet"/>
      <w:pStyle w:val="PZI-PKT5"/>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5" w15:restartNumberingAfterBreak="0">
    <w:nsid w:val="3A7F6452"/>
    <w:multiLevelType w:val="hybridMultilevel"/>
    <w:tmpl w:val="B38813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3B4A369A"/>
    <w:multiLevelType w:val="hybridMultilevel"/>
    <w:tmpl w:val="D598CBB6"/>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7" w15:restartNumberingAfterBreak="0">
    <w:nsid w:val="3BE33E36"/>
    <w:multiLevelType w:val="hybridMultilevel"/>
    <w:tmpl w:val="E1C6298E"/>
    <w:lvl w:ilvl="0" w:tplc="73BA019E">
      <w:start w:val="1"/>
      <w:numFmt w:val="lowerRoman"/>
      <w:lvlText w:val="(%1)"/>
      <w:lvlJc w:val="left"/>
      <w:pPr>
        <w:ind w:left="124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E1AA858">
      <w:start w:val="1"/>
      <w:numFmt w:val="lowerLetter"/>
      <w:lvlText w:val="%2"/>
      <w:lvlJc w:val="left"/>
      <w:pPr>
        <w:ind w:left="193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E46E74A">
      <w:start w:val="1"/>
      <w:numFmt w:val="lowerRoman"/>
      <w:lvlText w:val="%3"/>
      <w:lvlJc w:val="left"/>
      <w:pPr>
        <w:ind w:left="26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426D2F6">
      <w:start w:val="1"/>
      <w:numFmt w:val="decimal"/>
      <w:lvlText w:val="%4"/>
      <w:lvlJc w:val="left"/>
      <w:pPr>
        <w:ind w:left="337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A26132A">
      <w:start w:val="1"/>
      <w:numFmt w:val="lowerLetter"/>
      <w:lvlText w:val="%5"/>
      <w:lvlJc w:val="left"/>
      <w:pPr>
        <w:ind w:left="409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CDEC67E">
      <w:start w:val="1"/>
      <w:numFmt w:val="lowerRoman"/>
      <w:lvlText w:val="%6"/>
      <w:lvlJc w:val="left"/>
      <w:pPr>
        <w:ind w:left="48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DF2671E">
      <w:start w:val="1"/>
      <w:numFmt w:val="decimal"/>
      <w:lvlText w:val="%7"/>
      <w:lvlJc w:val="left"/>
      <w:pPr>
        <w:ind w:left="553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F0EC950">
      <w:start w:val="1"/>
      <w:numFmt w:val="lowerLetter"/>
      <w:lvlText w:val="%8"/>
      <w:lvlJc w:val="left"/>
      <w:pPr>
        <w:ind w:left="62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C142232">
      <w:start w:val="1"/>
      <w:numFmt w:val="lowerRoman"/>
      <w:lvlText w:val="%9"/>
      <w:lvlJc w:val="left"/>
      <w:pPr>
        <w:ind w:left="697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8" w15:restartNumberingAfterBreak="0">
    <w:nsid w:val="3C0C5BA7"/>
    <w:multiLevelType w:val="hybridMultilevel"/>
    <w:tmpl w:val="B714FBBC"/>
    <w:lvl w:ilvl="0" w:tplc="AF1088B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C50783A"/>
    <w:multiLevelType w:val="multilevel"/>
    <w:tmpl w:val="64E0593C"/>
    <w:lvl w:ilvl="0">
      <w:start w:val="1"/>
      <w:numFmt w:val="bullet"/>
      <w:pStyle w:val="Level7"/>
      <w:lvlText w:val=""/>
      <w:lvlJc w:val="left"/>
      <w:pPr>
        <w:tabs>
          <w:tab w:val="num" w:pos="1800"/>
        </w:tabs>
        <w:ind w:left="1800" w:hanging="360"/>
      </w:pPr>
      <w:rPr>
        <w:rFonts w:ascii="Symbol" w:hAnsi="Symbol" w:hint="default"/>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0" w15:restartNumberingAfterBreak="0">
    <w:nsid w:val="3C6F35F0"/>
    <w:multiLevelType w:val="hybridMultilevel"/>
    <w:tmpl w:val="53DA4D14"/>
    <w:lvl w:ilvl="0" w:tplc="E3C6DC38">
      <w:start w:val="1"/>
      <w:numFmt w:val="bullet"/>
      <w:pStyle w:val="Punktory1"/>
      <w:lvlText w:val=""/>
      <w:lvlJc w:val="left"/>
      <w:pPr>
        <w:ind w:left="960" w:hanging="360"/>
      </w:pPr>
      <w:rPr>
        <w:rFonts w:ascii="Symbol" w:hAnsi="Symbol" w:hint="default"/>
      </w:rPr>
    </w:lvl>
    <w:lvl w:ilvl="1" w:tplc="04150003">
      <w:start w:val="1"/>
      <w:numFmt w:val="bullet"/>
      <w:pStyle w:val="punktor2"/>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CD0457F"/>
    <w:multiLevelType w:val="hybridMultilevel"/>
    <w:tmpl w:val="1772CDDA"/>
    <w:lvl w:ilvl="0" w:tplc="CBEA8642">
      <w:start w:val="1"/>
      <w:numFmt w:val="decimal"/>
      <w:lvlText w:val="(%1)"/>
      <w:lvlJc w:val="left"/>
      <w:pPr>
        <w:ind w:left="12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5260BF5A">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B9A1926">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1BCA6096">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D430B85E">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CFA389E">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6DB8A386">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E6A271B4">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8D42B36A">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52" w15:restartNumberingAfterBreak="0">
    <w:nsid w:val="3DA65C0E"/>
    <w:multiLevelType w:val="multilevel"/>
    <w:tmpl w:val="9C5E6C98"/>
    <w:lvl w:ilvl="0">
      <w:start w:val="1"/>
      <w:numFmt w:val="decimal"/>
      <w:pStyle w:val="j1konspnum"/>
      <w:lvlText w:val="%1."/>
      <w:lvlJc w:val="left"/>
      <w:pPr>
        <w:ind w:left="360" w:hanging="360"/>
      </w:pPr>
    </w:lvl>
    <w:lvl w:ilvl="1">
      <w:start w:val="1"/>
      <w:numFmt w:val="decimal"/>
      <w:pStyle w:val="j2konspnum"/>
      <w:lvlText w:val="%1.%2."/>
      <w:lvlJc w:val="left"/>
      <w:pPr>
        <w:ind w:left="792" w:hanging="432"/>
      </w:pPr>
    </w:lvl>
    <w:lvl w:ilvl="2">
      <w:start w:val="1"/>
      <w:numFmt w:val="decimal"/>
      <w:pStyle w:val="j3konspnum"/>
      <w:lvlText w:val="%1.%2.%3."/>
      <w:lvlJc w:val="left"/>
      <w:pPr>
        <w:ind w:left="1224" w:hanging="504"/>
      </w:pPr>
    </w:lvl>
    <w:lvl w:ilvl="3">
      <w:start w:val="1"/>
      <w:numFmt w:val="decimal"/>
      <w:pStyle w:val="j4konspnu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EB02A53"/>
    <w:multiLevelType w:val="hybridMultilevel"/>
    <w:tmpl w:val="9C18C356"/>
    <w:lvl w:ilvl="0" w:tplc="680AB5DC">
      <w:start w:val="1"/>
      <w:numFmt w:val="lowerLetter"/>
      <w:pStyle w:val="PZI-PKTLITERA"/>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FAD1C34"/>
    <w:multiLevelType w:val="hybridMultilevel"/>
    <w:tmpl w:val="39C6D8CE"/>
    <w:lvl w:ilvl="0" w:tplc="0638080E">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0F545BA"/>
    <w:multiLevelType w:val="hybridMultilevel"/>
    <w:tmpl w:val="70B66674"/>
    <w:lvl w:ilvl="0" w:tplc="B428E950">
      <w:start w:val="1"/>
      <w:numFmt w:val="bullet"/>
      <w:lvlText w:val="-"/>
      <w:lvlJc w:val="left"/>
      <w:pPr>
        <w:ind w:left="720" w:hanging="360"/>
      </w:pPr>
      <w:rPr>
        <w:rFonts w:ascii="Arial" w:hAnsi="Arial"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3D15CF9"/>
    <w:multiLevelType w:val="hybridMultilevel"/>
    <w:tmpl w:val="08AC2E88"/>
    <w:lvl w:ilvl="0" w:tplc="04150001">
      <w:start w:val="1"/>
      <w:numFmt w:val="bullet"/>
      <w:pStyle w:val="ECwylIrzpocztek"/>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53546DD"/>
    <w:multiLevelType w:val="hybridMultilevel"/>
    <w:tmpl w:val="C2BC2A18"/>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8" w15:restartNumberingAfterBreak="0">
    <w:nsid w:val="458E17C2"/>
    <w:multiLevelType w:val="hybridMultilevel"/>
    <w:tmpl w:val="E626D6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81E733E"/>
    <w:multiLevelType w:val="hybridMultilevel"/>
    <w:tmpl w:val="C3AC33FC"/>
    <w:lvl w:ilvl="0" w:tplc="1B6C69B2">
      <w:start w:val="1"/>
      <w:numFmt w:val="bullet"/>
      <w:lvlText w:val=""/>
      <w:lvlJc w:val="left"/>
      <w:pPr>
        <w:ind w:left="720" w:hanging="360"/>
      </w:pPr>
      <w:rPr>
        <w:rFonts w:ascii="Symbol" w:hAnsi="Symbol" w:hint="default"/>
        <w:strike w:val="0"/>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8C905EC"/>
    <w:multiLevelType w:val="hybridMultilevel"/>
    <w:tmpl w:val="869CB1A2"/>
    <w:lvl w:ilvl="0" w:tplc="04150017">
      <w:start w:val="1"/>
      <w:numFmt w:val="bullet"/>
      <w:pStyle w:val="pkt"/>
      <w:lvlText w:val="-"/>
      <w:lvlJc w:val="left"/>
      <w:pPr>
        <w:ind w:left="720" w:hanging="360"/>
      </w:pPr>
      <w:rPr>
        <w:rFonts w:ascii="Arial" w:hAnsi="Arial"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C9D58D4"/>
    <w:multiLevelType w:val="hybridMultilevel"/>
    <w:tmpl w:val="99E09A5C"/>
    <w:lvl w:ilvl="0" w:tplc="2AD6B712">
      <w:start w:val="1"/>
      <w:numFmt w:val="decimal"/>
      <w:pStyle w:val="PZI-PKTLICZBA"/>
      <w:lvlText w:val="%1."/>
      <w:lvlJc w:val="left"/>
      <w:pPr>
        <w:ind w:left="1800" w:hanging="360"/>
      </w:p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2" w15:restartNumberingAfterBreak="0">
    <w:nsid w:val="4D0876A8"/>
    <w:multiLevelType w:val="hybridMultilevel"/>
    <w:tmpl w:val="C8863124"/>
    <w:lvl w:ilvl="0" w:tplc="B5481652">
      <w:start w:val="1"/>
      <w:numFmt w:val="bullet"/>
      <w:pStyle w:val="PKT-tabela"/>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DF86D6B"/>
    <w:multiLevelType w:val="hybridMultilevel"/>
    <w:tmpl w:val="E4D20F3E"/>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4" w15:restartNumberingAfterBreak="0">
    <w:nsid w:val="4EAF5195"/>
    <w:multiLevelType w:val="multilevel"/>
    <w:tmpl w:val="90A45CAC"/>
    <w:styleLink w:val="Biecalista1"/>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4FAB2877"/>
    <w:multiLevelType w:val="hybridMultilevel"/>
    <w:tmpl w:val="5048614E"/>
    <w:lvl w:ilvl="0" w:tplc="54EC3676">
      <w:start w:val="1"/>
      <w:numFmt w:val="decimal"/>
      <w:lvlText w:val="%1"/>
      <w:lvlJc w:val="left"/>
      <w:pPr>
        <w:ind w:left="3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D58384C">
      <w:start w:val="1"/>
      <w:numFmt w:val="lowerLetter"/>
      <w:lvlText w:val="%2"/>
      <w:lvlJc w:val="left"/>
      <w:pPr>
        <w:ind w:left="83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EE23C8C">
      <w:start w:val="1"/>
      <w:numFmt w:val="lowerLetter"/>
      <w:lvlRestart w:val="0"/>
      <w:lvlText w:val="%3)"/>
      <w:lvlJc w:val="left"/>
      <w:pPr>
        <w:ind w:left="1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168ECA52">
      <w:start w:val="1"/>
      <w:numFmt w:val="decimal"/>
      <w:lvlText w:val="%4"/>
      <w:lvlJc w:val="left"/>
      <w:pPr>
        <w:ind w:left="203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080DB94">
      <w:start w:val="1"/>
      <w:numFmt w:val="lowerLetter"/>
      <w:lvlText w:val="%5"/>
      <w:lvlJc w:val="left"/>
      <w:pPr>
        <w:ind w:left="275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452AE37A">
      <w:start w:val="1"/>
      <w:numFmt w:val="lowerRoman"/>
      <w:lvlText w:val="%6"/>
      <w:lvlJc w:val="left"/>
      <w:pPr>
        <w:ind w:left="347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611A9FFA">
      <w:start w:val="1"/>
      <w:numFmt w:val="decimal"/>
      <w:lvlText w:val="%7"/>
      <w:lvlJc w:val="left"/>
      <w:pPr>
        <w:ind w:left="419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BBAC68E8">
      <w:start w:val="1"/>
      <w:numFmt w:val="lowerLetter"/>
      <w:lvlText w:val="%8"/>
      <w:lvlJc w:val="left"/>
      <w:pPr>
        <w:ind w:left="491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5A2CC20">
      <w:start w:val="1"/>
      <w:numFmt w:val="lowerRoman"/>
      <w:lvlText w:val="%9"/>
      <w:lvlJc w:val="left"/>
      <w:pPr>
        <w:ind w:left="563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66" w15:restartNumberingAfterBreak="0">
    <w:nsid w:val="520E3ADF"/>
    <w:multiLevelType w:val="singleLevel"/>
    <w:tmpl w:val="FE0A7C58"/>
    <w:lvl w:ilvl="0">
      <w:start w:val="1"/>
      <w:numFmt w:val="lowerLetter"/>
      <w:pStyle w:val="pauzatab"/>
      <w:lvlText w:val="%1)"/>
      <w:lvlJc w:val="left"/>
      <w:pPr>
        <w:tabs>
          <w:tab w:val="num" w:pos="360"/>
        </w:tabs>
        <w:ind w:left="360" w:hanging="360"/>
      </w:pPr>
    </w:lvl>
  </w:abstractNum>
  <w:abstractNum w:abstractNumId="67" w15:restartNumberingAfterBreak="0">
    <w:nsid w:val="52525A0A"/>
    <w:multiLevelType w:val="hybridMultilevel"/>
    <w:tmpl w:val="F40C0640"/>
    <w:lvl w:ilvl="0" w:tplc="1C880B7A">
      <w:start w:val="1"/>
      <w:numFmt w:val="upperRoman"/>
      <w:lvlText w:val="%1."/>
      <w:lvlJc w:val="left"/>
      <w:pPr>
        <w:ind w:left="1080" w:hanging="720"/>
      </w:pPr>
      <w:rPr>
        <w:rFonts w:hint="default"/>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2E01424"/>
    <w:multiLevelType w:val="hybridMultilevel"/>
    <w:tmpl w:val="F5A2F398"/>
    <w:lvl w:ilvl="0" w:tplc="AF1088B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556E1675"/>
    <w:multiLevelType w:val="multilevel"/>
    <w:tmpl w:val="42C4E262"/>
    <w:lvl w:ilvl="0">
      <w:start w:val="1"/>
      <w:numFmt w:val="bullet"/>
      <w:pStyle w:val="punkt"/>
      <w:lvlText w:val=""/>
      <w:lvlJc w:val="left"/>
      <w:pPr>
        <w:tabs>
          <w:tab w:val="num" w:pos="360"/>
        </w:tabs>
        <w:ind w:left="360" w:hanging="360"/>
      </w:pPr>
      <w:rPr>
        <w:rFonts w:ascii="Wingdings" w:hAnsi="Wingdings" w:cs="Times New Roman" w:hint="default"/>
      </w:rPr>
    </w:lvl>
    <w:lvl w:ilvl="1">
      <w:start w:val="1"/>
      <w:numFmt w:val="bullet"/>
      <w:lvlText w:val=""/>
      <w:lvlJc w:val="left"/>
      <w:pPr>
        <w:tabs>
          <w:tab w:val="num" w:pos="720"/>
        </w:tabs>
        <w:ind w:left="720" w:hanging="360"/>
      </w:pPr>
      <w:rPr>
        <w:rFonts w:ascii="Wingdings" w:hAnsi="Wingdings" w:cs="Times New Roman"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cs="Times New Roman" w:hint="default"/>
      </w:rPr>
    </w:lvl>
    <w:lvl w:ilvl="5">
      <w:start w:val="1"/>
      <w:numFmt w:val="bullet"/>
      <w:lvlText w:val=""/>
      <w:lvlJc w:val="left"/>
      <w:pPr>
        <w:tabs>
          <w:tab w:val="num" w:pos="2160"/>
        </w:tabs>
        <w:ind w:left="2160" w:hanging="360"/>
      </w:pPr>
      <w:rPr>
        <w:rFonts w:ascii="Wingdings" w:hAnsi="Wingdings" w:cs="Times New Roman" w:hint="default"/>
      </w:rPr>
    </w:lvl>
    <w:lvl w:ilvl="6">
      <w:start w:val="1"/>
      <w:numFmt w:val="bullet"/>
      <w:lvlText w:val=""/>
      <w:lvlJc w:val="left"/>
      <w:pPr>
        <w:tabs>
          <w:tab w:val="num" w:pos="2520"/>
        </w:tabs>
        <w:ind w:left="2520" w:hanging="360"/>
      </w:pPr>
      <w:rPr>
        <w:rFonts w:ascii="Wingdings" w:hAnsi="Wingdings" w:cs="Times New Roman" w:hint="default"/>
      </w:rPr>
    </w:lvl>
    <w:lvl w:ilvl="7">
      <w:start w:val="1"/>
      <w:numFmt w:val="bullet"/>
      <w:lvlText w:val=""/>
      <w:lvlJc w:val="left"/>
      <w:pPr>
        <w:tabs>
          <w:tab w:val="num" w:pos="2880"/>
        </w:tabs>
        <w:ind w:left="2880" w:hanging="360"/>
      </w:pPr>
      <w:rPr>
        <w:rFonts w:ascii="Symbol" w:hAnsi="Symbol" w:cs="Times New Roman" w:hint="default"/>
      </w:rPr>
    </w:lvl>
    <w:lvl w:ilvl="8">
      <w:start w:val="1"/>
      <w:numFmt w:val="bullet"/>
      <w:lvlText w:val=""/>
      <w:lvlJc w:val="left"/>
      <w:pPr>
        <w:tabs>
          <w:tab w:val="num" w:pos="3240"/>
        </w:tabs>
        <w:ind w:left="3240" w:hanging="360"/>
      </w:pPr>
      <w:rPr>
        <w:rFonts w:ascii="Symbol" w:hAnsi="Symbol" w:cs="Times New Roman" w:hint="default"/>
      </w:rPr>
    </w:lvl>
  </w:abstractNum>
  <w:abstractNum w:abstractNumId="70" w15:restartNumberingAfterBreak="0">
    <w:nsid w:val="581C67B3"/>
    <w:multiLevelType w:val="hybridMultilevel"/>
    <w:tmpl w:val="D03AFE10"/>
    <w:lvl w:ilvl="0" w:tplc="37E6DA02">
      <w:start w:val="1"/>
      <w:numFmt w:val="decimal"/>
      <w:lvlText w:val="(%1)"/>
      <w:lvlJc w:val="left"/>
      <w:pPr>
        <w:ind w:left="1928"/>
      </w:pPr>
      <w:rPr>
        <w:rFonts w:ascii="Calibri" w:eastAsia="Calibri" w:hAnsi="Calibri" w:cs="Calibri"/>
        <w:b w:val="0"/>
        <w:i w:val="0"/>
        <w:strike w:val="0"/>
        <w:dstrike w:val="0"/>
        <w:color w:val="000000"/>
        <w:sz w:val="17"/>
        <w:szCs w:val="17"/>
        <w:u w:val="none" w:color="000000"/>
        <w:bdr w:val="none" w:sz="0" w:space="0" w:color="auto"/>
        <w:shd w:val="clear" w:color="auto" w:fill="auto"/>
        <w:vertAlign w:val="superscript"/>
      </w:rPr>
    </w:lvl>
    <w:lvl w:ilvl="1" w:tplc="00EE2B6A">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0BCAB0CC">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1526996A">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F970E728">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80106C22">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F1E228B2">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35EDBB4">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0E0A16DE">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1" w15:restartNumberingAfterBreak="0">
    <w:nsid w:val="5CB25FA1"/>
    <w:multiLevelType w:val="hybridMultilevel"/>
    <w:tmpl w:val="FD94BCB2"/>
    <w:lvl w:ilvl="0" w:tplc="04150011">
      <w:start w:val="1"/>
      <w:numFmt w:val="lowerLetter"/>
      <w:pStyle w:val="1apodpunkty"/>
      <w:lvlText w:val="%1."/>
      <w:lvlJc w:val="left"/>
      <w:pPr>
        <w:ind w:left="720" w:hanging="360"/>
      </w:pPr>
      <w:rPr>
        <w:rFonts w:cs="Times New Roman" w:hint="default"/>
        <w:b w:val="0"/>
        <w:i w:val="0"/>
        <w:strike w:val="0"/>
        <w:dstrike w:val="0"/>
        <w:sz w:val="24"/>
        <w:u w:val="none"/>
        <w:effect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607F4203"/>
    <w:multiLevelType w:val="multilevel"/>
    <w:tmpl w:val="82602112"/>
    <w:lvl w:ilvl="0">
      <w:start w:val="1"/>
      <w:numFmt w:val="lowerLetter"/>
      <w:pStyle w:val="maalistaalfab"/>
      <w:lvlText w:val="%1)"/>
      <w:lvlJc w:val="left"/>
      <w:pPr>
        <w:tabs>
          <w:tab w:val="num" w:pos="1296"/>
        </w:tabs>
        <w:ind w:left="1293" w:hanging="357"/>
      </w:pPr>
      <w:rPr>
        <w:rFonts w:ascii="Times New Roman" w:hAnsi="Times New Roman" w:cs="Times New Roman" w:hint="default"/>
        <w:sz w:val="22"/>
        <w:szCs w:val="22"/>
      </w:rPr>
    </w:lvl>
    <w:lvl w:ilvl="1">
      <w:start w:val="1"/>
      <w:numFmt w:val="lowerLetter"/>
      <w:lvlRestart w:val="0"/>
      <w:lvlText w:val="%2)"/>
      <w:lvlJc w:val="left"/>
      <w:pPr>
        <w:tabs>
          <w:tab w:val="num" w:pos="1648"/>
        </w:tabs>
        <w:ind w:left="1645" w:hanging="357"/>
      </w:pPr>
      <w:rPr>
        <w:rFonts w:hint="default"/>
      </w:rPr>
    </w:lvl>
    <w:lvl w:ilvl="2">
      <w:start w:val="1"/>
      <w:numFmt w:val="lowerRoman"/>
      <w:pStyle w:val="Heading3A"/>
      <w:lvlText w:val="%3."/>
      <w:lvlJc w:val="right"/>
      <w:pPr>
        <w:tabs>
          <w:tab w:val="num" w:pos="2670"/>
        </w:tabs>
        <w:ind w:left="2670" w:hanging="180"/>
      </w:pPr>
      <w:rPr>
        <w:rFonts w:hint="default"/>
      </w:rPr>
    </w:lvl>
    <w:lvl w:ilvl="3">
      <w:start w:val="1"/>
      <w:numFmt w:val="decimal"/>
      <w:pStyle w:val="numerek"/>
      <w:lvlText w:val="%4."/>
      <w:lvlJc w:val="left"/>
      <w:pPr>
        <w:tabs>
          <w:tab w:val="num" w:pos="3390"/>
        </w:tabs>
        <w:ind w:left="3390" w:hanging="360"/>
      </w:pPr>
      <w:rPr>
        <w:rFonts w:hint="default"/>
      </w:rPr>
    </w:lvl>
    <w:lvl w:ilvl="4">
      <w:start w:val="1"/>
      <w:numFmt w:val="lowerLetter"/>
      <w:lvlText w:val="%5."/>
      <w:lvlJc w:val="left"/>
      <w:pPr>
        <w:tabs>
          <w:tab w:val="num" w:pos="4110"/>
        </w:tabs>
        <w:ind w:left="4110" w:hanging="360"/>
      </w:pPr>
      <w:rPr>
        <w:rFonts w:hint="default"/>
      </w:rPr>
    </w:lvl>
    <w:lvl w:ilvl="5">
      <w:start w:val="1"/>
      <w:numFmt w:val="lowerRoman"/>
      <w:lvlText w:val="%6."/>
      <w:lvlJc w:val="right"/>
      <w:pPr>
        <w:tabs>
          <w:tab w:val="num" w:pos="4830"/>
        </w:tabs>
        <w:ind w:left="4830" w:hanging="180"/>
      </w:pPr>
      <w:rPr>
        <w:rFonts w:hint="default"/>
      </w:rPr>
    </w:lvl>
    <w:lvl w:ilvl="6">
      <w:start w:val="1"/>
      <w:numFmt w:val="decimal"/>
      <w:lvlText w:val="%7."/>
      <w:lvlJc w:val="left"/>
      <w:pPr>
        <w:tabs>
          <w:tab w:val="num" w:pos="5550"/>
        </w:tabs>
        <w:ind w:left="5550" w:hanging="360"/>
      </w:pPr>
      <w:rPr>
        <w:rFonts w:hint="default"/>
      </w:rPr>
    </w:lvl>
    <w:lvl w:ilvl="7">
      <w:start w:val="1"/>
      <w:numFmt w:val="lowerLetter"/>
      <w:lvlText w:val="%8."/>
      <w:lvlJc w:val="left"/>
      <w:pPr>
        <w:tabs>
          <w:tab w:val="num" w:pos="6270"/>
        </w:tabs>
        <w:ind w:left="6270" w:hanging="360"/>
      </w:pPr>
      <w:rPr>
        <w:rFonts w:hint="default"/>
      </w:rPr>
    </w:lvl>
    <w:lvl w:ilvl="8">
      <w:start w:val="1"/>
      <w:numFmt w:val="lowerRoman"/>
      <w:lvlText w:val="%9."/>
      <w:lvlJc w:val="right"/>
      <w:pPr>
        <w:tabs>
          <w:tab w:val="num" w:pos="6990"/>
        </w:tabs>
        <w:ind w:left="6990" w:hanging="180"/>
      </w:pPr>
      <w:rPr>
        <w:rFonts w:hint="default"/>
      </w:rPr>
    </w:lvl>
  </w:abstractNum>
  <w:abstractNum w:abstractNumId="73" w15:restartNumberingAfterBreak="0">
    <w:nsid w:val="64BF4C58"/>
    <w:multiLevelType w:val="hybridMultilevel"/>
    <w:tmpl w:val="3FAC2AFC"/>
    <w:lvl w:ilvl="0" w:tplc="45927D2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15:restartNumberingAfterBreak="0">
    <w:nsid w:val="64E279DE"/>
    <w:multiLevelType w:val="hybridMultilevel"/>
    <w:tmpl w:val="FA88FEA8"/>
    <w:lvl w:ilvl="0" w:tplc="1FC88270">
      <w:start w:val="2"/>
      <w:numFmt w:val="decimal"/>
      <w:lvlText w:val="(%1)"/>
      <w:lvlJc w:val="left"/>
      <w:pPr>
        <w:ind w:left="1232"/>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9C4A28E4">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3FE81ED2">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8541F9C">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04CC5472">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26B2F30E">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18F82980">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87E86F5E">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024A2FD4">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5" w15:restartNumberingAfterBreak="0">
    <w:nsid w:val="66801261"/>
    <w:multiLevelType w:val="hybridMultilevel"/>
    <w:tmpl w:val="9920DAB8"/>
    <w:lvl w:ilvl="0" w:tplc="3DA8BDFC">
      <w:start w:val="1"/>
      <w:numFmt w:val="decimal"/>
      <w:lvlText w:val="%1"/>
      <w:lvlJc w:val="left"/>
      <w:pPr>
        <w:ind w:left="3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010BD4E">
      <w:start w:val="1"/>
      <w:numFmt w:val="lowerLetter"/>
      <w:lvlText w:val="%2"/>
      <w:lvlJc w:val="left"/>
      <w:pPr>
        <w:ind w:left="81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02453FE">
      <w:start w:val="1"/>
      <w:numFmt w:val="lowerRoman"/>
      <w:lvlText w:val="%3"/>
      <w:lvlJc w:val="left"/>
      <w:pPr>
        <w:ind w:left="1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14051A2">
      <w:start w:val="1"/>
      <w:numFmt w:val="lowerLetter"/>
      <w:lvlRestart w:val="0"/>
      <w:lvlText w:val="%4)"/>
      <w:lvlJc w:val="left"/>
      <w:pPr>
        <w:ind w:left="1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23C6E7F8">
      <w:start w:val="1"/>
      <w:numFmt w:val="lowerLetter"/>
      <w:lvlText w:val="%5"/>
      <w:lvlJc w:val="left"/>
      <w:pPr>
        <w:ind w:left="244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AC26160">
      <w:start w:val="1"/>
      <w:numFmt w:val="lowerRoman"/>
      <w:lvlText w:val="%6"/>
      <w:lvlJc w:val="left"/>
      <w:pPr>
        <w:ind w:left="316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F14556E">
      <w:start w:val="1"/>
      <w:numFmt w:val="decimal"/>
      <w:lvlText w:val="%7"/>
      <w:lvlJc w:val="left"/>
      <w:pPr>
        <w:ind w:left="388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9C4F27C">
      <w:start w:val="1"/>
      <w:numFmt w:val="lowerLetter"/>
      <w:lvlText w:val="%8"/>
      <w:lvlJc w:val="left"/>
      <w:pPr>
        <w:ind w:left="460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1F8CDAE">
      <w:start w:val="1"/>
      <w:numFmt w:val="lowerRoman"/>
      <w:lvlText w:val="%9"/>
      <w:lvlJc w:val="left"/>
      <w:pPr>
        <w:ind w:left="532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6" w15:restartNumberingAfterBreak="0">
    <w:nsid w:val="66DB1CD3"/>
    <w:multiLevelType w:val="hybridMultilevel"/>
    <w:tmpl w:val="8D7AEA20"/>
    <w:lvl w:ilvl="0" w:tplc="8200DE62">
      <w:start w:val="1"/>
      <w:numFmt w:val="bullet"/>
      <w:pStyle w:val="P3"/>
      <w:lvlText w:val=""/>
      <w:lvlJc w:val="left"/>
      <w:pPr>
        <w:ind w:left="140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77" w15:restartNumberingAfterBreak="0">
    <w:nsid w:val="67AF6703"/>
    <w:multiLevelType w:val="hybridMultilevel"/>
    <w:tmpl w:val="ABAA1622"/>
    <w:lvl w:ilvl="0" w:tplc="92A40F6A">
      <w:start w:val="1"/>
      <w:numFmt w:val="decimal"/>
      <w:lvlText w:val="(%1)"/>
      <w:lvlJc w:val="left"/>
      <w:pPr>
        <w:ind w:left="1232"/>
      </w:pPr>
      <w:rPr>
        <w:rFonts w:ascii="Calibri" w:eastAsia="Calibri" w:hAnsi="Calibri" w:cs="Calibri"/>
        <w:b w:val="0"/>
        <w:i w:val="0"/>
        <w:strike w:val="0"/>
        <w:dstrike w:val="0"/>
        <w:color w:val="000000"/>
        <w:sz w:val="17"/>
        <w:szCs w:val="17"/>
        <w:u w:val="none" w:color="000000"/>
        <w:bdr w:val="none" w:sz="0" w:space="0" w:color="auto"/>
        <w:shd w:val="clear" w:color="auto" w:fill="auto"/>
        <w:vertAlign w:val="superscript"/>
      </w:rPr>
    </w:lvl>
    <w:lvl w:ilvl="1" w:tplc="A7BA3F2A">
      <w:start w:val="1"/>
      <w:numFmt w:val="lowerLetter"/>
      <w:lvlText w:val="%2"/>
      <w:lvlJc w:val="left"/>
      <w:pPr>
        <w:ind w:left="21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91DC27AC">
      <w:start w:val="1"/>
      <w:numFmt w:val="lowerRoman"/>
      <w:lvlText w:val="%3"/>
      <w:lvlJc w:val="left"/>
      <w:pPr>
        <w:ind w:left="28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3FE49678">
      <w:start w:val="1"/>
      <w:numFmt w:val="decimal"/>
      <w:lvlText w:val="%4"/>
      <w:lvlJc w:val="left"/>
      <w:pPr>
        <w:ind w:left="35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2758A69A">
      <w:start w:val="1"/>
      <w:numFmt w:val="lowerLetter"/>
      <w:lvlText w:val="%5"/>
      <w:lvlJc w:val="left"/>
      <w:pPr>
        <w:ind w:left="42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157EC80C">
      <w:start w:val="1"/>
      <w:numFmt w:val="lowerRoman"/>
      <w:lvlText w:val="%6"/>
      <w:lvlJc w:val="left"/>
      <w:pPr>
        <w:ind w:left="49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AE02BBE">
      <w:start w:val="1"/>
      <w:numFmt w:val="decimal"/>
      <w:lvlText w:val="%7"/>
      <w:lvlJc w:val="left"/>
      <w:pPr>
        <w:ind w:left="57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5D28209C">
      <w:start w:val="1"/>
      <w:numFmt w:val="lowerLetter"/>
      <w:lvlText w:val="%8"/>
      <w:lvlJc w:val="left"/>
      <w:pPr>
        <w:ind w:left="64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4ACCE43A">
      <w:start w:val="1"/>
      <w:numFmt w:val="lowerRoman"/>
      <w:lvlText w:val="%9"/>
      <w:lvlJc w:val="left"/>
      <w:pPr>
        <w:ind w:left="71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8" w15:restartNumberingAfterBreak="0">
    <w:nsid w:val="67D94F73"/>
    <w:multiLevelType w:val="hybridMultilevel"/>
    <w:tmpl w:val="E3F6E0A6"/>
    <w:lvl w:ilvl="0" w:tplc="81621CDA">
      <w:start w:val="20"/>
      <w:numFmt w:val="bullet"/>
      <w:lvlText w:val="-"/>
      <w:lvlJc w:val="left"/>
      <w:pPr>
        <w:ind w:left="360" w:hanging="360"/>
      </w:pPr>
      <w:rPr>
        <w:rFonts w:ascii="Times New Roman" w:hAnsi="Times New Roman" w:cs="Times New Roman" w:hint="default"/>
      </w:rPr>
    </w:lvl>
    <w:lvl w:ilvl="1" w:tplc="04150005">
      <w:start w:val="1"/>
      <w:numFmt w:val="bullet"/>
      <w:lvlText w:val=""/>
      <w:lvlJc w:val="left"/>
      <w:pPr>
        <w:ind w:left="1080" w:hanging="360"/>
      </w:pPr>
      <w:rPr>
        <w:rFonts w:ascii="Wingdings" w:hAnsi="Wingdings" w:hint="default"/>
      </w:rPr>
    </w:lvl>
    <w:lvl w:ilvl="2" w:tplc="BAB89DD8">
      <w:start w:val="1"/>
      <w:numFmt w:val="bullet"/>
      <w:pStyle w:val="punktorpoziom3"/>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67FE583B"/>
    <w:multiLevelType w:val="hybridMultilevel"/>
    <w:tmpl w:val="1CAAE5FC"/>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8AC6202"/>
    <w:multiLevelType w:val="hybridMultilevel"/>
    <w:tmpl w:val="425EA508"/>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81" w15:restartNumberingAfterBreak="0">
    <w:nsid w:val="6B1E3B65"/>
    <w:multiLevelType w:val="hybridMultilevel"/>
    <w:tmpl w:val="9D8A326C"/>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F6C4DFD"/>
    <w:multiLevelType w:val="hybridMultilevel"/>
    <w:tmpl w:val="40825018"/>
    <w:lvl w:ilvl="0" w:tplc="2918C686">
      <w:start w:val="4"/>
      <w:numFmt w:val="lowerRoman"/>
      <w:lvlText w:val="(%1)"/>
      <w:lvlJc w:val="left"/>
      <w:pPr>
        <w:ind w:left="140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7E2CFF06">
      <w:start w:val="1"/>
      <w:numFmt w:val="lowerLetter"/>
      <w:lvlText w:val="%2)"/>
      <w:lvlJc w:val="left"/>
      <w:pPr>
        <w:ind w:left="1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2BF841DC">
      <w:start w:val="1"/>
      <w:numFmt w:val="lowerRoman"/>
      <w:lvlText w:val="%3"/>
      <w:lvlJc w:val="left"/>
      <w:pPr>
        <w:ind w:left="14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350EF14">
      <w:start w:val="1"/>
      <w:numFmt w:val="decimal"/>
      <w:lvlText w:val="%4"/>
      <w:lvlJc w:val="left"/>
      <w:pPr>
        <w:ind w:left="21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D7CA41A">
      <w:start w:val="1"/>
      <w:numFmt w:val="lowerLetter"/>
      <w:lvlText w:val="%5"/>
      <w:lvlJc w:val="left"/>
      <w:pPr>
        <w:ind w:left="28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B9A01F2">
      <w:start w:val="1"/>
      <w:numFmt w:val="lowerRoman"/>
      <w:lvlText w:val="%6"/>
      <w:lvlJc w:val="left"/>
      <w:pPr>
        <w:ind w:left="35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E8AD2D6">
      <w:start w:val="1"/>
      <w:numFmt w:val="decimal"/>
      <w:lvlText w:val="%7"/>
      <w:lvlJc w:val="left"/>
      <w:pPr>
        <w:ind w:left="43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5E0B63C">
      <w:start w:val="1"/>
      <w:numFmt w:val="lowerLetter"/>
      <w:lvlText w:val="%8"/>
      <w:lvlJc w:val="left"/>
      <w:pPr>
        <w:ind w:left="50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EB6750E">
      <w:start w:val="1"/>
      <w:numFmt w:val="lowerRoman"/>
      <w:lvlText w:val="%9"/>
      <w:lvlJc w:val="left"/>
      <w:pPr>
        <w:ind w:left="57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3" w15:restartNumberingAfterBreak="0">
    <w:nsid w:val="713D6EB4"/>
    <w:multiLevelType w:val="hybridMultilevel"/>
    <w:tmpl w:val="59ACB38C"/>
    <w:lvl w:ilvl="0" w:tplc="9970D9F6">
      <w:start w:val="1"/>
      <w:numFmt w:val="decimal"/>
      <w:lvlText w:val="%1"/>
      <w:lvlJc w:val="left"/>
      <w:pPr>
        <w:ind w:left="3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1E45ADA">
      <w:start w:val="1"/>
      <w:numFmt w:val="lowerLetter"/>
      <w:lvlText w:val="%2"/>
      <w:lvlJc w:val="left"/>
      <w:pPr>
        <w:ind w:left="81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8C6AB78">
      <w:start w:val="1"/>
      <w:numFmt w:val="lowerRoman"/>
      <w:lvlText w:val="%3"/>
      <w:lvlJc w:val="left"/>
      <w:pPr>
        <w:ind w:left="1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7564212">
      <w:start w:val="1"/>
      <w:numFmt w:val="lowerLetter"/>
      <w:lvlRestart w:val="0"/>
      <w:lvlText w:val="%4)"/>
      <w:lvlJc w:val="left"/>
      <w:pPr>
        <w:ind w:left="1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BE80374">
      <w:start w:val="1"/>
      <w:numFmt w:val="lowerLetter"/>
      <w:lvlText w:val="%5"/>
      <w:lvlJc w:val="left"/>
      <w:pPr>
        <w:ind w:left="244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99A69EC">
      <w:start w:val="1"/>
      <w:numFmt w:val="lowerRoman"/>
      <w:lvlText w:val="%6"/>
      <w:lvlJc w:val="left"/>
      <w:pPr>
        <w:ind w:left="316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54ACC18">
      <w:start w:val="1"/>
      <w:numFmt w:val="decimal"/>
      <w:lvlText w:val="%7"/>
      <w:lvlJc w:val="left"/>
      <w:pPr>
        <w:ind w:left="388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9B89624">
      <w:start w:val="1"/>
      <w:numFmt w:val="lowerLetter"/>
      <w:lvlText w:val="%8"/>
      <w:lvlJc w:val="left"/>
      <w:pPr>
        <w:ind w:left="460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5445A72">
      <w:start w:val="1"/>
      <w:numFmt w:val="lowerRoman"/>
      <w:lvlText w:val="%9"/>
      <w:lvlJc w:val="left"/>
      <w:pPr>
        <w:ind w:left="532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84" w15:restartNumberingAfterBreak="0">
    <w:nsid w:val="73002877"/>
    <w:multiLevelType w:val="hybridMultilevel"/>
    <w:tmpl w:val="4C50FFAA"/>
    <w:lvl w:ilvl="0" w:tplc="1CD80DA2">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5" w15:restartNumberingAfterBreak="0">
    <w:nsid w:val="73AD125A"/>
    <w:multiLevelType w:val="hybridMultilevel"/>
    <w:tmpl w:val="8F9029F2"/>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5103B6A"/>
    <w:multiLevelType w:val="multilevel"/>
    <w:tmpl w:val="0AB290F2"/>
    <w:styleLink w:val="WW8Num5"/>
    <w:lvl w:ilvl="0">
      <w:start w:val="1"/>
      <w:numFmt w:val="decimal"/>
      <w:lvlText w:val="%1)"/>
      <w:lvlJc w:val="left"/>
      <w:rPr>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77734712"/>
    <w:multiLevelType w:val="hybridMultilevel"/>
    <w:tmpl w:val="6A5E2562"/>
    <w:lvl w:ilvl="0" w:tplc="0415000F">
      <w:start w:val="1"/>
      <w:numFmt w:val="decimal"/>
      <w:lvlText w:val="%1."/>
      <w:lvlJc w:val="left"/>
      <w:pPr>
        <w:ind w:left="320" w:hanging="360"/>
      </w:pPr>
    </w:lvl>
    <w:lvl w:ilvl="1" w:tplc="04150019" w:tentative="1">
      <w:start w:val="1"/>
      <w:numFmt w:val="lowerLetter"/>
      <w:lvlText w:val="%2."/>
      <w:lvlJc w:val="left"/>
      <w:pPr>
        <w:ind w:left="1040" w:hanging="360"/>
      </w:pPr>
    </w:lvl>
    <w:lvl w:ilvl="2" w:tplc="0415001B" w:tentative="1">
      <w:start w:val="1"/>
      <w:numFmt w:val="lowerRoman"/>
      <w:lvlText w:val="%3."/>
      <w:lvlJc w:val="right"/>
      <w:pPr>
        <w:ind w:left="1760" w:hanging="180"/>
      </w:pPr>
    </w:lvl>
    <w:lvl w:ilvl="3" w:tplc="0415000F" w:tentative="1">
      <w:start w:val="1"/>
      <w:numFmt w:val="decimal"/>
      <w:lvlText w:val="%4."/>
      <w:lvlJc w:val="left"/>
      <w:pPr>
        <w:ind w:left="2480" w:hanging="360"/>
      </w:pPr>
    </w:lvl>
    <w:lvl w:ilvl="4" w:tplc="04150019" w:tentative="1">
      <w:start w:val="1"/>
      <w:numFmt w:val="lowerLetter"/>
      <w:lvlText w:val="%5."/>
      <w:lvlJc w:val="left"/>
      <w:pPr>
        <w:ind w:left="3200" w:hanging="360"/>
      </w:pPr>
    </w:lvl>
    <w:lvl w:ilvl="5" w:tplc="0415001B" w:tentative="1">
      <w:start w:val="1"/>
      <w:numFmt w:val="lowerRoman"/>
      <w:lvlText w:val="%6."/>
      <w:lvlJc w:val="right"/>
      <w:pPr>
        <w:ind w:left="3920" w:hanging="180"/>
      </w:pPr>
    </w:lvl>
    <w:lvl w:ilvl="6" w:tplc="0415000F" w:tentative="1">
      <w:start w:val="1"/>
      <w:numFmt w:val="decimal"/>
      <w:lvlText w:val="%7."/>
      <w:lvlJc w:val="left"/>
      <w:pPr>
        <w:ind w:left="4640" w:hanging="360"/>
      </w:pPr>
    </w:lvl>
    <w:lvl w:ilvl="7" w:tplc="04150019" w:tentative="1">
      <w:start w:val="1"/>
      <w:numFmt w:val="lowerLetter"/>
      <w:lvlText w:val="%8."/>
      <w:lvlJc w:val="left"/>
      <w:pPr>
        <w:ind w:left="5360" w:hanging="360"/>
      </w:pPr>
    </w:lvl>
    <w:lvl w:ilvl="8" w:tplc="0415001B" w:tentative="1">
      <w:start w:val="1"/>
      <w:numFmt w:val="lowerRoman"/>
      <w:lvlText w:val="%9."/>
      <w:lvlJc w:val="right"/>
      <w:pPr>
        <w:ind w:left="6080" w:hanging="180"/>
      </w:pPr>
    </w:lvl>
  </w:abstractNum>
  <w:abstractNum w:abstractNumId="88" w15:restartNumberingAfterBreak="0">
    <w:nsid w:val="79E50A7D"/>
    <w:multiLevelType w:val="hybridMultilevel"/>
    <w:tmpl w:val="233C16BE"/>
    <w:lvl w:ilvl="0" w:tplc="D43A51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AE2759B"/>
    <w:multiLevelType w:val="hybridMultilevel"/>
    <w:tmpl w:val="FEB4C43A"/>
    <w:lvl w:ilvl="0" w:tplc="A1327F50">
      <w:start w:val="1"/>
      <w:numFmt w:val="lowerLetter"/>
      <w:lvlText w:val="%1)"/>
      <w:lvlJc w:val="left"/>
      <w:pPr>
        <w:ind w:left="124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9BC6A278">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40D6C850">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2376D184">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74F430D8">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50B6BF8A">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0102956">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B304E8C">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AF9A55DA">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90" w15:restartNumberingAfterBreak="0">
    <w:nsid w:val="7B4D0FB0"/>
    <w:multiLevelType w:val="hybridMultilevel"/>
    <w:tmpl w:val="FEF23FA8"/>
    <w:lvl w:ilvl="0" w:tplc="598E3334">
      <w:start w:val="1"/>
      <w:numFmt w:val="bullet"/>
      <w:pStyle w:val="pkt2"/>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BF118E3"/>
    <w:multiLevelType w:val="hybridMultilevel"/>
    <w:tmpl w:val="EAB01F48"/>
    <w:lvl w:ilvl="0" w:tplc="12C8E810">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DD2225E"/>
    <w:multiLevelType w:val="multilevel"/>
    <w:tmpl w:val="F61C2BBA"/>
    <w:numStyleLink w:val="ArcadisBullet"/>
  </w:abstractNum>
  <w:abstractNum w:abstractNumId="93" w15:restartNumberingAfterBreak="0">
    <w:nsid w:val="7E205873"/>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7EFB449E"/>
    <w:multiLevelType w:val="hybridMultilevel"/>
    <w:tmpl w:val="4434FCC0"/>
    <w:lvl w:ilvl="0" w:tplc="04E06DFC">
      <w:start w:val="1"/>
      <w:numFmt w:val="decimal"/>
      <w:lvlText w:val="%1"/>
      <w:lvlJc w:val="left"/>
      <w:pPr>
        <w:ind w:left="3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280630E">
      <w:start w:val="4"/>
      <w:numFmt w:val="lowerLetter"/>
      <w:lvlText w:val="%2)"/>
      <w:lvlJc w:val="left"/>
      <w:pPr>
        <w:ind w:left="139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FCEE82A">
      <w:start w:val="1"/>
      <w:numFmt w:val="lowerRoman"/>
      <w:lvlText w:val="%3"/>
      <w:lvlJc w:val="left"/>
      <w:pPr>
        <w:ind w:left="13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ACC03DC">
      <w:start w:val="1"/>
      <w:numFmt w:val="decimal"/>
      <w:lvlText w:val="%4"/>
      <w:lvlJc w:val="left"/>
      <w:pPr>
        <w:ind w:left="20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C800D16">
      <w:start w:val="1"/>
      <w:numFmt w:val="lowerLetter"/>
      <w:lvlText w:val="%5"/>
      <w:lvlJc w:val="left"/>
      <w:pPr>
        <w:ind w:left="28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757EE44C">
      <w:start w:val="1"/>
      <w:numFmt w:val="lowerRoman"/>
      <w:lvlText w:val="%6"/>
      <w:lvlJc w:val="left"/>
      <w:pPr>
        <w:ind w:left="35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88A8984">
      <w:start w:val="1"/>
      <w:numFmt w:val="decimal"/>
      <w:lvlText w:val="%7"/>
      <w:lvlJc w:val="left"/>
      <w:pPr>
        <w:ind w:left="42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62A6BB0">
      <w:start w:val="1"/>
      <w:numFmt w:val="lowerLetter"/>
      <w:lvlText w:val="%8"/>
      <w:lvlJc w:val="left"/>
      <w:pPr>
        <w:ind w:left="49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D4869C6A">
      <w:start w:val="1"/>
      <w:numFmt w:val="lowerRoman"/>
      <w:lvlText w:val="%9"/>
      <w:lvlJc w:val="left"/>
      <w:pPr>
        <w:ind w:left="56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5" w15:restartNumberingAfterBreak="0">
    <w:nsid w:val="7F2B6183"/>
    <w:multiLevelType w:val="multilevel"/>
    <w:tmpl w:val="42C4E262"/>
    <w:lvl w:ilvl="0">
      <w:start w:val="1"/>
      <w:numFmt w:val="bullet"/>
      <w:pStyle w:val="pauza2time"/>
      <w:lvlText w:val=""/>
      <w:lvlJc w:val="left"/>
      <w:pPr>
        <w:tabs>
          <w:tab w:val="num" w:pos="360"/>
        </w:tabs>
        <w:ind w:left="360" w:hanging="360"/>
      </w:pPr>
      <w:rPr>
        <w:rFonts w:ascii="Wingdings" w:hAnsi="Wingdings" w:cs="Times New Roman" w:hint="default"/>
      </w:rPr>
    </w:lvl>
    <w:lvl w:ilvl="1">
      <w:start w:val="1"/>
      <w:numFmt w:val="bullet"/>
      <w:lvlText w:val=""/>
      <w:lvlJc w:val="left"/>
      <w:pPr>
        <w:tabs>
          <w:tab w:val="num" w:pos="720"/>
        </w:tabs>
        <w:ind w:left="720" w:hanging="360"/>
      </w:pPr>
      <w:rPr>
        <w:rFonts w:ascii="Wingdings" w:hAnsi="Wingdings" w:cs="Times New Roman"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cs="Times New Roman" w:hint="default"/>
      </w:rPr>
    </w:lvl>
    <w:lvl w:ilvl="5">
      <w:start w:val="1"/>
      <w:numFmt w:val="bullet"/>
      <w:lvlText w:val=""/>
      <w:lvlJc w:val="left"/>
      <w:pPr>
        <w:tabs>
          <w:tab w:val="num" w:pos="2160"/>
        </w:tabs>
        <w:ind w:left="2160" w:hanging="360"/>
      </w:pPr>
      <w:rPr>
        <w:rFonts w:ascii="Wingdings" w:hAnsi="Wingdings" w:cs="Times New Roman" w:hint="default"/>
      </w:rPr>
    </w:lvl>
    <w:lvl w:ilvl="6">
      <w:start w:val="1"/>
      <w:numFmt w:val="bullet"/>
      <w:lvlText w:val=""/>
      <w:lvlJc w:val="left"/>
      <w:pPr>
        <w:tabs>
          <w:tab w:val="num" w:pos="2520"/>
        </w:tabs>
        <w:ind w:left="2520" w:hanging="360"/>
      </w:pPr>
      <w:rPr>
        <w:rFonts w:ascii="Wingdings" w:hAnsi="Wingdings" w:cs="Times New Roman" w:hint="default"/>
      </w:rPr>
    </w:lvl>
    <w:lvl w:ilvl="7">
      <w:start w:val="1"/>
      <w:numFmt w:val="bullet"/>
      <w:lvlText w:val=""/>
      <w:lvlJc w:val="left"/>
      <w:pPr>
        <w:tabs>
          <w:tab w:val="num" w:pos="2880"/>
        </w:tabs>
        <w:ind w:left="2880" w:hanging="360"/>
      </w:pPr>
      <w:rPr>
        <w:rFonts w:ascii="Symbol" w:hAnsi="Symbol" w:cs="Times New Roman" w:hint="default"/>
      </w:rPr>
    </w:lvl>
    <w:lvl w:ilvl="8">
      <w:start w:val="1"/>
      <w:numFmt w:val="bullet"/>
      <w:lvlText w:val=""/>
      <w:lvlJc w:val="left"/>
      <w:pPr>
        <w:tabs>
          <w:tab w:val="num" w:pos="3240"/>
        </w:tabs>
        <w:ind w:left="3240" w:hanging="360"/>
      </w:pPr>
      <w:rPr>
        <w:rFonts w:ascii="Symbol" w:hAnsi="Symbol" w:cs="Times New Roman" w:hint="default"/>
      </w:rPr>
    </w:lvl>
  </w:abstractNum>
  <w:abstractNum w:abstractNumId="96" w15:restartNumberingAfterBreak="0">
    <w:nsid w:val="7F3A32FA"/>
    <w:multiLevelType w:val="hybridMultilevel"/>
    <w:tmpl w:val="D45AF738"/>
    <w:lvl w:ilvl="0" w:tplc="8D58ECA8">
      <w:start w:val="1"/>
      <w:numFmt w:val="bullet"/>
      <w:pStyle w:val="PuceNiveau1"/>
      <w:lvlText w:val=""/>
      <w:lvlJc w:val="left"/>
      <w:pPr>
        <w:tabs>
          <w:tab w:val="num" w:pos="2211"/>
        </w:tabs>
        <w:ind w:left="2211" w:hanging="360"/>
      </w:pPr>
      <w:rPr>
        <w:rFonts w:ascii="Symbol" w:hAnsi="Symbol" w:hint="default"/>
        <w:sz w:val="20"/>
      </w:rPr>
    </w:lvl>
    <w:lvl w:ilvl="1" w:tplc="04150003">
      <w:numFmt w:val="bullet"/>
      <w:lvlText w:val="-"/>
      <w:lvlJc w:val="left"/>
      <w:pPr>
        <w:tabs>
          <w:tab w:val="num" w:pos="2931"/>
        </w:tabs>
        <w:ind w:left="2931" w:hanging="360"/>
      </w:pPr>
      <w:rPr>
        <w:rFonts w:ascii="Arial" w:eastAsia="Times New Roman" w:hAnsi="Arial" w:cs="Arial" w:hint="default"/>
      </w:rPr>
    </w:lvl>
    <w:lvl w:ilvl="2" w:tplc="04150005" w:tentative="1">
      <w:start w:val="1"/>
      <w:numFmt w:val="bullet"/>
      <w:lvlText w:val=""/>
      <w:lvlJc w:val="left"/>
      <w:pPr>
        <w:tabs>
          <w:tab w:val="num" w:pos="3651"/>
        </w:tabs>
        <w:ind w:left="3651" w:hanging="360"/>
      </w:pPr>
      <w:rPr>
        <w:rFonts w:ascii="Wingdings" w:hAnsi="Wingdings" w:hint="default"/>
      </w:rPr>
    </w:lvl>
    <w:lvl w:ilvl="3" w:tplc="04150001" w:tentative="1">
      <w:start w:val="1"/>
      <w:numFmt w:val="bullet"/>
      <w:lvlText w:val=""/>
      <w:lvlJc w:val="left"/>
      <w:pPr>
        <w:tabs>
          <w:tab w:val="num" w:pos="4371"/>
        </w:tabs>
        <w:ind w:left="4371" w:hanging="360"/>
      </w:pPr>
      <w:rPr>
        <w:rFonts w:ascii="Symbol" w:hAnsi="Symbol" w:hint="default"/>
      </w:rPr>
    </w:lvl>
    <w:lvl w:ilvl="4" w:tplc="04150003" w:tentative="1">
      <w:start w:val="1"/>
      <w:numFmt w:val="bullet"/>
      <w:lvlText w:val="o"/>
      <w:lvlJc w:val="left"/>
      <w:pPr>
        <w:tabs>
          <w:tab w:val="num" w:pos="5091"/>
        </w:tabs>
        <w:ind w:left="5091" w:hanging="360"/>
      </w:pPr>
      <w:rPr>
        <w:rFonts w:ascii="Courier New" w:hAnsi="Courier New" w:cs="Courier New" w:hint="default"/>
      </w:rPr>
    </w:lvl>
    <w:lvl w:ilvl="5" w:tplc="04150005" w:tentative="1">
      <w:start w:val="1"/>
      <w:numFmt w:val="bullet"/>
      <w:lvlText w:val=""/>
      <w:lvlJc w:val="left"/>
      <w:pPr>
        <w:tabs>
          <w:tab w:val="num" w:pos="5811"/>
        </w:tabs>
        <w:ind w:left="5811" w:hanging="360"/>
      </w:pPr>
      <w:rPr>
        <w:rFonts w:ascii="Wingdings" w:hAnsi="Wingdings" w:hint="default"/>
      </w:rPr>
    </w:lvl>
    <w:lvl w:ilvl="6" w:tplc="04150001" w:tentative="1">
      <w:start w:val="1"/>
      <w:numFmt w:val="bullet"/>
      <w:lvlText w:val=""/>
      <w:lvlJc w:val="left"/>
      <w:pPr>
        <w:tabs>
          <w:tab w:val="num" w:pos="6531"/>
        </w:tabs>
        <w:ind w:left="6531" w:hanging="360"/>
      </w:pPr>
      <w:rPr>
        <w:rFonts w:ascii="Symbol" w:hAnsi="Symbol" w:hint="default"/>
      </w:rPr>
    </w:lvl>
    <w:lvl w:ilvl="7" w:tplc="04150003" w:tentative="1">
      <w:start w:val="1"/>
      <w:numFmt w:val="bullet"/>
      <w:lvlText w:val="o"/>
      <w:lvlJc w:val="left"/>
      <w:pPr>
        <w:tabs>
          <w:tab w:val="num" w:pos="7251"/>
        </w:tabs>
        <w:ind w:left="7251" w:hanging="360"/>
      </w:pPr>
      <w:rPr>
        <w:rFonts w:ascii="Courier New" w:hAnsi="Courier New" w:cs="Courier New" w:hint="default"/>
      </w:rPr>
    </w:lvl>
    <w:lvl w:ilvl="8" w:tplc="04150005" w:tentative="1">
      <w:start w:val="1"/>
      <w:numFmt w:val="bullet"/>
      <w:lvlText w:val=""/>
      <w:lvlJc w:val="left"/>
      <w:pPr>
        <w:tabs>
          <w:tab w:val="num" w:pos="7971"/>
        </w:tabs>
        <w:ind w:left="7971" w:hanging="360"/>
      </w:pPr>
      <w:rPr>
        <w:rFonts w:ascii="Wingdings" w:hAnsi="Wingdings" w:hint="default"/>
      </w:rPr>
    </w:lvl>
  </w:abstractNum>
  <w:num w:numId="1" w16cid:durableId="1074936240">
    <w:abstractNumId w:val="26"/>
  </w:num>
  <w:num w:numId="2" w16cid:durableId="1536194193">
    <w:abstractNumId w:val="16"/>
  </w:num>
  <w:num w:numId="3" w16cid:durableId="101075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07693257">
    <w:abstractNumId w:val="4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1179529">
    <w:abstractNumId w:val="25"/>
  </w:num>
  <w:num w:numId="6" w16cid:durableId="1474516328">
    <w:abstractNumId w:val="64"/>
  </w:num>
  <w:num w:numId="7" w16cid:durableId="853232266">
    <w:abstractNumId w:val="3"/>
  </w:num>
  <w:num w:numId="8" w16cid:durableId="1142189556">
    <w:abstractNumId w:val="8"/>
  </w:num>
  <w:num w:numId="9" w16cid:durableId="1534919851">
    <w:abstractNumId w:val="2"/>
  </w:num>
  <w:num w:numId="10" w16cid:durableId="916137291">
    <w:abstractNumId w:val="72"/>
  </w:num>
  <w:num w:numId="11" w16cid:durableId="468910818">
    <w:abstractNumId w:val="66"/>
  </w:num>
  <w:num w:numId="12" w16cid:durableId="997882789">
    <w:abstractNumId w:val="95"/>
  </w:num>
  <w:num w:numId="13" w16cid:durableId="1054698722">
    <w:abstractNumId w:val="69"/>
  </w:num>
  <w:num w:numId="14" w16cid:durableId="1753114923">
    <w:abstractNumId w:val="40"/>
  </w:num>
  <w:num w:numId="15" w16cid:durableId="426465717">
    <w:abstractNumId w:val="52"/>
  </w:num>
  <w:num w:numId="16" w16cid:durableId="1131828747">
    <w:abstractNumId w:val="0"/>
  </w:num>
  <w:num w:numId="17" w16cid:durableId="1686129462">
    <w:abstractNumId w:val="27"/>
  </w:num>
  <w:num w:numId="18" w16cid:durableId="498932723">
    <w:abstractNumId w:val="7"/>
  </w:num>
  <w:num w:numId="19" w16cid:durableId="1587568086">
    <w:abstractNumId w:val="6"/>
  </w:num>
  <w:num w:numId="20" w16cid:durableId="705377077">
    <w:abstractNumId w:val="5"/>
  </w:num>
  <w:num w:numId="21" w16cid:durableId="908032789">
    <w:abstractNumId w:val="92"/>
  </w:num>
  <w:num w:numId="22" w16cid:durableId="786198992">
    <w:abstractNumId w:val="32"/>
  </w:num>
  <w:num w:numId="23" w16cid:durableId="157623738">
    <w:abstractNumId w:val="9"/>
  </w:num>
  <w:num w:numId="24" w16cid:durableId="1797210974">
    <w:abstractNumId w:val="91"/>
  </w:num>
  <w:num w:numId="25" w16cid:durableId="764768959">
    <w:abstractNumId w:val="96"/>
  </w:num>
  <w:num w:numId="26" w16cid:durableId="1287471971">
    <w:abstractNumId w:val="33"/>
  </w:num>
  <w:num w:numId="27" w16cid:durableId="755858488">
    <w:abstractNumId w:val="61"/>
  </w:num>
  <w:num w:numId="28" w16cid:durableId="630209967">
    <w:abstractNumId w:val="17"/>
  </w:num>
  <w:num w:numId="29" w16cid:durableId="504249295">
    <w:abstractNumId w:val="37"/>
  </w:num>
  <w:num w:numId="30" w16cid:durableId="784925400">
    <w:abstractNumId w:val="56"/>
  </w:num>
  <w:num w:numId="31" w16cid:durableId="1062560788">
    <w:abstractNumId w:val="53"/>
  </w:num>
  <w:num w:numId="32" w16cid:durableId="734014727">
    <w:abstractNumId w:val="21"/>
  </w:num>
  <w:num w:numId="33" w16cid:durableId="315425466">
    <w:abstractNumId w:val="76"/>
  </w:num>
  <w:num w:numId="34" w16cid:durableId="813060336">
    <w:abstractNumId w:val="29"/>
  </w:num>
  <w:num w:numId="35" w16cid:durableId="1621691728">
    <w:abstractNumId w:val="50"/>
  </w:num>
  <w:num w:numId="36" w16cid:durableId="1765761087">
    <w:abstractNumId w:val="60"/>
  </w:num>
  <w:num w:numId="37" w16cid:durableId="490560262">
    <w:abstractNumId w:val="44"/>
  </w:num>
  <w:num w:numId="38" w16cid:durableId="1016005051">
    <w:abstractNumId w:val="4"/>
  </w:num>
  <w:num w:numId="39" w16cid:durableId="1442190224">
    <w:abstractNumId w:val="79"/>
  </w:num>
  <w:num w:numId="40" w16cid:durableId="850338069">
    <w:abstractNumId w:val="11"/>
  </w:num>
  <w:num w:numId="41" w16cid:durableId="1820878953">
    <w:abstractNumId w:val="18"/>
  </w:num>
  <w:num w:numId="42" w16cid:durableId="1322998669">
    <w:abstractNumId w:val="19"/>
  </w:num>
  <w:num w:numId="43" w16cid:durableId="1497914445">
    <w:abstractNumId w:val="78"/>
  </w:num>
  <w:num w:numId="44" w16cid:durableId="837692227">
    <w:abstractNumId w:val="93"/>
  </w:num>
  <w:num w:numId="45" w16cid:durableId="1816992562">
    <w:abstractNumId w:val="67"/>
  </w:num>
  <w:num w:numId="46" w16cid:durableId="1484813666">
    <w:abstractNumId w:val="12"/>
  </w:num>
  <w:num w:numId="47" w16cid:durableId="1739091581">
    <w:abstractNumId w:val="49"/>
  </w:num>
  <w:num w:numId="48" w16cid:durableId="1081872944">
    <w:abstractNumId w:val="71"/>
  </w:num>
  <w:num w:numId="49" w16cid:durableId="306856550">
    <w:abstractNumId w:val="86"/>
  </w:num>
  <w:num w:numId="50" w16cid:durableId="492644868">
    <w:abstractNumId w:val="90"/>
  </w:num>
  <w:num w:numId="51" w16cid:durableId="84739264">
    <w:abstractNumId w:val="81"/>
  </w:num>
  <w:num w:numId="52" w16cid:durableId="1540124565">
    <w:abstractNumId w:val="85"/>
  </w:num>
  <w:num w:numId="53" w16cid:durableId="1350452349">
    <w:abstractNumId w:val="54"/>
  </w:num>
  <w:num w:numId="54" w16cid:durableId="1540818363">
    <w:abstractNumId w:val="70"/>
  </w:num>
  <w:num w:numId="55" w16cid:durableId="18895812">
    <w:abstractNumId w:val="38"/>
  </w:num>
  <w:num w:numId="56" w16cid:durableId="691612743">
    <w:abstractNumId w:val="23"/>
  </w:num>
  <w:num w:numId="57" w16cid:durableId="424302667">
    <w:abstractNumId w:val="51"/>
  </w:num>
  <w:num w:numId="58" w16cid:durableId="770471375">
    <w:abstractNumId w:val="77"/>
  </w:num>
  <w:num w:numId="59" w16cid:durableId="1196389322">
    <w:abstractNumId w:val="20"/>
  </w:num>
  <w:num w:numId="60" w16cid:durableId="551964191">
    <w:abstractNumId w:val="94"/>
  </w:num>
  <w:num w:numId="61" w16cid:durableId="1549686004">
    <w:abstractNumId w:val="47"/>
  </w:num>
  <w:num w:numId="62" w16cid:durableId="1359358378">
    <w:abstractNumId w:val="13"/>
  </w:num>
  <w:num w:numId="63" w16cid:durableId="409155119">
    <w:abstractNumId w:val="10"/>
  </w:num>
  <w:num w:numId="64" w16cid:durableId="1901668725">
    <w:abstractNumId w:val="82"/>
  </w:num>
  <w:num w:numId="65" w16cid:durableId="675772212">
    <w:abstractNumId w:val="75"/>
  </w:num>
  <w:num w:numId="66" w16cid:durableId="1279292263">
    <w:abstractNumId w:val="83"/>
  </w:num>
  <w:num w:numId="67" w16cid:durableId="2064281502">
    <w:abstractNumId w:val="65"/>
  </w:num>
  <w:num w:numId="68" w16cid:durableId="1473401061">
    <w:abstractNumId w:val="24"/>
  </w:num>
  <w:num w:numId="69" w16cid:durableId="969088403">
    <w:abstractNumId w:val="31"/>
  </w:num>
  <w:num w:numId="70" w16cid:durableId="333538423">
    <w:abstractNumId w:val="89"/>
  </w:num>
  <w:num w:numId="71" w16cid:durableId="668142969">
    <w:abstractNumId w:val="28"/>
  </w:num>
  <w:num w:numId="72" w16cid:durableId="1891840365">
    <w:abstractNumId w:val="62"/>
  </w:num>
  <w:num w:numId="73" w16cid:durableId="652418871">
    <w:abstractNumId w:val="36"/>
  </w:num>
  <w:num w:numId="74" w16cid:durableId="690300280">
    <w:abstractNumId w:val="43"/>
  </w:num>
  <w:num w:numId="75" w16cid:durableId="1383334585">
    <w:abstractNumId w:val="48"/>
  </w:num>
  <w:num w:numId="76" w16cid:durableId="1876768440">
    <w:abstractNumId w:val="15"/>
  </w:num>
  <w:num w:numId="77" w16cid:durableId="923150532">
    <w:abstractNumId w:val="34"/>
  </w:num>
  <w:num w:numId="78" w16cid:durableId="40515555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75162997">
    <w:abstractNumId w:val="41"/>
  </w:num>
  <w:num w:numId="80" w16cid:durableId="1541278281">
    <w:abstractNumId w:val="55"/>
  </w:num>
  <w:num w:numId="81" w16cid:durableId="222179265">
    <w:abstractNumId w:val="39"/>
  </w:num>
  <w:num w:numId="82" w16cid:durableId="1884249501">
    <w:abstractNumId w:val="68"/>
  </w:num>
  <w:num w:numId="83" w16cid:durableId="470292213">
    <w:abstractNumId w:val="88"/>
  </w:num>
  <w:num w:numId="84" w16cid:durableId="861554770">
    <w:abstractNumId w:val="87"/>
  </w:num>
  <w:num w:numId="85" w16cid:durableId="1478381010">
    <w:abstractNumId w:val="42"/>
  </w:num>
  <w:num w:numId="86" w16cid:durableId="1193300578">
    <w:abstractNumId w:val="35"/>
  </w:num>
  <w:num w:numId="87" w16cid:durableId="852844128">
    <w:abstractNumId w:val="57"/>
  </w:num>
  <w:num w:numId="88" w16cid:durableId="1392923364">
    <w:abstractNumId w:val="46"/>
  </w:num>
  <w:num w:numId="89" w16cid:durableId="596786888">
    <w:abstractNumId w:val="63"/>
  </w:num>
  <w:num w:numId="90" w16cid:durableId="216936530">
    <w:abstractNumId w:val="80"/>
  </w:num>
  <w:num w:numId="91" w16cid:durableId="516114208">
    <w:abstractNumId w:val="45"/>
  </w:num>
  <w:num w:numId="92" w16cid:durableId="262883530">
    <w:abstractNumId w:val="22"/>
  </w:num>
  <w:num w:numId="93" w16cid:durableId="329600101">
    <w:abstractNumId w:val="58"/>
  </w:num>
  <w:num w:numId="94" w16cid:durableId="499008315">
    <w:abstractNumId w:val="73"/>
  </w:num>
  <w:num w:numId="95" w16cid:durableId="160967894">
    <w:abstractNumId w:val="59"/>
  </w:num>
  <w:num w:numId="96" w16cid:durableId="237373557">
    <w:abstractNumId w:val="14"/>
  </w:num>
  <w:num w:numId="97" w16cid:durableId="2107727711">
    <w:abstractNumId w:val="74"/>
  </w:num>
  <w:num w:numId="98" w16cid:durableId="18665982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7E7"/>
    <w:rsid w:val="000102EF"/>
    <w:rsid w:val="00021E98"/>
    <w:rsid w:val="000263E7"/>
    <w:rsid w:val="00026D00"/>
    <w:rsid w:val="00034CC4"/>
    <w:rsid w:val="0004310D"/>
    <w:rsid w:val="000467DF"/>
    <w:rsid w:val="0005355B"/>
    <w:rsid w:val="00055E1A"/>
    <w:rsid w:val="000B72AB"/>
    <w:rsid w:val="000C43DA"/>
    <w:rsid w:val="000C6B32"/>
    <w:rsid w:val="000D66EB"/>
    <w:rsid w:val="000E113E"/>
    <w:rsid w:val="000E422D"/>
    <w:rsid w:val="000F38C6"/>
    <w:rsid w:val="001121AC"/>
    <w:rsid w:val="001139B6"/>
    <w:rsid w:val="001158CE"/>
    <w:rsid w:val="001174C9"/>
    <w:rsid w:val="001224A9"/>
    <w:rsid w:val="00145E39"/>
    <w:rsid w:val="0016079B"/>
    <w:rsid w:val="00167DCF"/>
    <w:rsid w:val="00170D89"/>
    <w:rsid w:val="00176341"/>
    <w:rsid w:val="00180185"/>
    <w:rsid w:val="00187177"/>
    <w:rsid w:val="001903E6"/>
    <w:rsid w:val="00195D7F"/>
    <w:rsid w:val="001A2BDF"/>
    <w:rsid w:val="001B1F58"/>
    <w:rsid w:val="001C1F99"/>
    <w:rsid w:val="00206D66"/>
    <w:rsid w:val="00240F1C"/>
    <w:rsid w:val="00241F4B"/>
    <w:rsid w:val="002507A5"/>
    <w:rsid w:val="00266333"/>
    <w:rsid w:val="00284E70"/>
    <w:rsid w:val="002B61C3"/>
    <w:rsid w:val="002D165B"/>
    <w:rsid w:val="002F0309"/>
    <w:rsid w:val="002F7098"/>
    <w:rsid w:val="00300B21"/>
    <w:rsid w:val="003152CF"/>
    <w:rsid w:val="003279C4"/>
    <w:rsid w:val="003606F9"/>
    <w:rsid w:val="003759D6"/>
    <w:rsid w:val="00376D34"/>
    <w:rsid w:val="003868AB"/>
    <w:rsid w:val="00392C46"/>
    <w:rsid w:val="0039322C"/>
    <w:rsid w:val="003A1171"/>
    <w:rsid w:val="003A2CD6"/>
    <w:rsid w:val="003E4526"/>
    <w:rsid w:val="003E55E3"/>
    <w:rsid w:val="0040381C"/>
    <w:rsid w:val="004054B7"/>
    <w:rsid w:val="00406DA9"/>
    <w:rsid w:val="0040799B"/>
    <w:rsid w:val="00424E0F"/>
    <w:rsid w:val="00475F73"/>
    <w:rsid w:val="00493921"/>
    <w:rsid w:val="00497A5E"/>
    <w:rsid w:val="004B11F4"/>
    <w:rsid w:val="004C792A"/>
    <w:rsid w:val="004D1279"/>
    <w:rsid w:val="005132AF"/>
    <w:rsid w:val="00516C37"/>
    <w:rsid w:val="00526316"/>
    <w:rsid w:val="0053512A"/>
    <w:rsid w:val="00541D48"/>
    <w:rsid w:val="0054292F"/>
    <w:rsid w:val="0054503A"/>
    <w:rsid w:val="00551751"/>
    <w:rsid w:val="00565AB8"/>
    <w:rsid w:val="00577FE7"/>
    <w:rsid w:val="00593BE7"/>
    <w:rsid w:val="005D0C6E"/>
    <w:rsid w:val="005D6BA3"/>
    <w:rsid w:val="005E7A84"/>
    <w:rsid w:val="00603F8F"/>
    <w:rsid w:val="00605C78"/>
    <w:rsid w:val="00611CEC"/>
    <w:rsid w:val="00621B23"/>
    <w:rsid w:val="00625CD4"/>
    <w:rsid w:val="006422D7"/>
    <w:rsid w:val="0064488B"/>
    <w:rsid w:val="00647CCC"/>
    <w:rsid w:val="00657543"/>
    <w:rsid w:val="006704FA"/>
    <w:rsid w:val="0068782A"/>
    <w:rsid w:val="006926DC"/>
    <w:rsid w:val="0069291B"/>
    <w:rsid w:val="006C5C87"/>
    <w:rsid w:val="006D1767"/>
    <w:rsid w:val="006E031E"/>
    <w:rsid w:val="006F054D"/>
    <w:rsid w:val="006F57DF"/>
    <w:rsid w:val="007025AA"/>
    <w:rsid w:val="00706A1E"/>
    <w:rsid w:val="00707884"/>
    <w:rsid w:val="00731DC9"/>
    <w:rsid w:val="007337E7"/>
    <w:rsid w:val="0075127F"/>
    <w:rsid w:val="00774924"/>
    <w:rsid w:val="007775AA"/>
    <w:rsid w:val="00795901"/>
    <w:rsid w:val="007A140C"/>
    <w:rsid w:val="007B4C7C"/>
    <w:rsid w:val="007C10B7"/>
    <w:rsid w:val="007C695E"/>
    <w:rsid w:val="007D0529"/>
    <w:rsid w:val="007F3538"/>
    <w:rsid w:val="008206DB"/>
    <w:rsid w:val="008347EB"/>
    <w:rsid w:val="00837C49"/>
    <w:rsid w:val="0086264A"/>
    <w:rsid w:val="00866B25"/>
    <w:rsid w:val="00870370"/>
    <w:rsid w:val="00884E01"/>
    <w:rsid w:val="00885F4A"/>
    <w:rsid w:val="008A38C4"/>
    <w:rsid w:val="008A3B56"/>
    <w:rsid w:val="008A47D0"/>
    <w:rsid w:val="008B1BFB"/>
    <w:rsid w:val="008B3686"/>
    <w:rsid w:val="008B757C"/>
    <w:rsid w:val="008C3F43"/>
    <w:rsid w:val="008D75F7"/>
    <w:rsid w:val="008E06E3"/>
    <w:rsid w:val="008F27D2"/>
    <w:rsid w:val="008F49D7"/>
    <w:rsid w:val="00906952"/>
    <w:rsid w:val="00907AB4"/>
    <w:rsid w:val="009214DD"/>
    <w:rsid w:val="00925D6D"/>
    <w:rsid w:val="0094132B"/>
    <w:rsid w:val="00947484"/>
    <w:rsid w:val="009657B1"/>
    <w:rsid w:val="00992E97"/>
    <w:rsid w:val="009A1F2D"/>
    <w:rsid w:val="009C781C"/>
    <w:rsid w:val="009E1A2F"/>
    <w:rsid w:val="009F26B0"/>
    <w:rsid w:val="00A021B4"/>
    <w:rsid w:val="00A06C15"/>
    <w:rsid w:val="00A27375"/>
    <w:rsid w:val="00A3476B"/>
    <w:rsid w:val="00A349B0"/>
    <w:rsid w:val="00A422FD"/>
    <w:rsid w:val="00A60486"/>
    <w:rsid w:val="00A66958"/>
    <w:rsid w:val="00A71C3D"/>
    <w:rsid w:val="00A77CDF"/>
    <w:rsid w:val="00A809E7"/>
    <w:rsid w:val="00A90925"/>
    <w:rsid w:val="00AB1085"/>
    <w:rsid w:val="00AB12BA"/>
    <w:rsid w:val="00AD5313"/>
    <w:rsid w:val="00AE3B9C"/>
    <w:rsid w:val="00AE6532"/>
    <w:rsid w:val="00AF6019"/>
    <w:rsid w:val="00AF60E5"/>
    <w:rsid w:val="00B078D7"/>
    <w:rsid w:val="00B1307B"/>
    <w:rsid w:val="00B33E81"/>
    <w:rsid w:val="00B4539C"/>
    <w:rsid w:val="00B635D2"/>
    <w:rsid w:val="00BA6E53"/>
    <w:rsid w:val="00BA7B12"/>
    <w:rsid w:val="00BB2DC8"/>
    <w:rsid w:val="00BC20F9"/>
    <w:rsid w:val="00BD3526"/>
    <w:rsid w:val="00BD3818"/>
    <w:rsid w:val="00BE0DF9"/>
    <w:rsid w:val="00BE736C"/>
    <w:rsid w:val="00BF58A6"/>
    <w:rsid w:val="00C00A3F"/>
    <w:rsid w:val="00C15C9E"/>
    <w:rsid w:val="00C15E87"/>
    <w:rsid w:val="00C230F8"/>
    <w:rsid w:val="00C316EA"/>
    <w:rsid w:val="00C4089D"/>
    <w:rsid w:val="00C4203D"/>
    <w:rsid w:val="00C67E55"/>
    <w:rsid w:val="00CC4BAD"/>
    <w:rsid w:val="00CC76B1"/>
    <w:rsid w:val="00CE2AF6"/>
    <w:rsid w:val="00CF3A0B"/>
    <w:rsid w:val="00D074C5"/>
    <w:rsid w:val="00D3342F"/>
    <w:rsid w:val="00D3713E"/>
    <w:rsid w:val="00D62836"/>
    <w:rsid w:val="00D74CC8"/>
    <w:rsid w:val="00D901CA"/>
    <w:rsid w:val="00D9543A"/>
    <w:rsid w:val="00DE7861"/>
    <w:rsid w:val="00DF756E"/>
    <w:rsid w:val="00E02F30"/>
    <w:rsid w:val="00E1241F"/>
    <w:rsid w:val="00E21416"/>
    <w:rsid w:val="00E27EA6"/>
    <w:rsid w:val="00E32C58"/>
    <w:rsid w:val="00E361FC"/>
    <w:rsid w:val="00E43CE9"/>
    <w:rsid w:val="00E43F5A"/>
    <w:rsid w:val="00E46BFD"/>
    <w:rsid w:val="00E53738"/>
    <w:rsid w:val="00E542D0"/>
    <w:rsid w:val="00E56FF8"/>
    <w:rsid w:val="00E615C0"/>
    <w:rsid w:val="00E62E4E"/>
    <w:rsid w:val="00E82015"/>
    <w:rsid w:val="00E9108D"/>
    <w:rsid w:val="00EA1286"/>
    <w:rsid w:val="00EB558B"/>
    <w:rsid w:val="00EB74D2"/>
    <w:rsid w:val="00EC2F39"/>
    <w:rsid w:val="00EC42E4"/>
    <w:rsid w:val="00EC4E9F"/>
    <w:rsid w:val="00ED1DF4"/>
    <w:rsid w:val="00F01776"/>
    <w:rsid w:val="00F0178F"/>
    <w:rsid w:val="00F03E9F"/>
    <w:rsid w:val="00F12103"/>
    <w:rsid w:val="00F1362D"/>
    <w:rsid w:val="00F14A16"/>
    <w:rsid w:val="00F36A01"/>
    <w:rsid w:val="00F42409"/>
    <w:rsid w:val="00F440E6"/>
    <w:rsid w:val="00F45D9C"/>
    <w:rsid w:val="00F5589E"/>
    <w:rsid w:val="00F64C0F"/>
    <w:rsid w:val="00F67834"/>
    <w:rsid w:val="00F70ECB"/>
    <w:rsid w:val="00F75B97"/>
    <w:rsid w:val="00F81A40"/>
    <w:rsid w:val="00F863C4"/>
    <w:rsid w:val="00F94819"/>
    <w:rsid w:val="00F95D3E"/>
    <w:rsid w:val="00FA36B6"/>
    <w:rsid w:val="00FA7BEA"/>
    <w:rsid w:val="00FB1B7D"/>
    <w:rsid w:val="00FC2B90"/>
    <w:rsid w:val="00FD68D8"/>
    <w:rsid w:val="00FE36AD"/>
    <w:rsid w:val="00FE41F2"/>
    <w:rsid w:val="00FF232A"/>
    <w:rsid w:val="00FF47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8B241"/>
  <w15:chartTrackingRefBased/>
  <w15:docId w15:val="{8851C12A-09F6-4FE1-98CF-A10E8EC9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nhideWhenUsed="1" w:qFormat="1"/>
    <w:lsdException w:name="header" w:semiHidden="1" w:uiPriority="0"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ny">
    <w:name w:val="Normal"/>
    <w:qFormat/>
    <w:rsid w:val="007337E7"/>
    <w:rPr>
      <w:rFonts w:ascii="Arial" w:hAnsi="Arial"/>
      <w:sz w:val="24"/>
    </w:rPr>
  </w:style>
  <w:style w:type="paragraph" w:styleId="Nagwek1">
    <w:name w:val="heading 1"/>
    <w:aliases w:val="PZI-NAG1,Nagłówek DRUGI,title1,title1norm,Paspastyle 1,Titolo 1 Carattere,T1,Hoofdstuk,tabulator,Heading 1 Char Znak,Nagłówek 11 Znak,Nagłówek 11,N: 1,RP-NAG1"/>
    <w:basedOn w:val="Normalny"/>
    <w:next w:val="Normalny"/>
    <w:link w:val="Nagwek1Znak"/>
    <w:qFormat/>
    <w:rsid w:val="007337E7"/>
    <w:pPr>
      <w:keepNext/>
      <w:keepLines/>
      <w:spacing w:before="240" w:after="0"/>
      <w:outlineLvl w:val="0"/>
    </w:pPr>
    <w:rPr>
      <w:rFonts w:eastAsiaTheme="majorEastAsia" w:cstheme="majorBidi"/>
      <w:szCs w:val="32"/>
    </w:rPr>
  </w:style>
  <w:style w:type="paragraph" w:styleId="Nagwek2">
    <w:name w:val="heading 2"/>
    <w:aliases w:val="Naglówek 2,PZI-NAG2,adpis 2,Nagłówek 2 Znak Znak,Titolo 21,Titolo 2 Carattere Carattere,Paragraaf,Nagłówek 2 Bart,Heading 2 Char Znak,Nagłówek 21 Znak,Nagłówek 21,N: 2,RP-NAG2"/>
    <w:basedOn w:val="Normalny"/>
    <w:next w:val="Normalny"/>
    <w:link w:val="Nagwek2Znak"/>
    <w:unhideWhenUsed/>
    <w:qFormat/>
    <w:rsid w:val="007337E7"/>
    <w:pPr>
      <w:keepNext/>
      <w:keepLines/>
      <w:spacing w:before="40" w:after="0"/>
      <w:outlineLvl w:val="1"/>
    </w:pPr>
    <w:rPr>
      <w:rFonts w:eastAsiaTheme="majorEastAsia" w:cstheme="majorBidi"/>
      <w:szCs w:val="26"/>
    </w:rPr>
  </w:style>
  <w:style w:type="paragraph" w:styleId="Nagwek3">
    <w:name w:val="heading 3"/>
    <w:aliases w:val="PZI-NAG3,Org Heading 1,zwyk3y tekst,zwykły tekst,zwyk³y tekst,Org Heading 11,h11,zwyk3y tekst1,zwykły tekst1,zwyk³y tekst Znak,Subparagraaf,Nagłówek 3 Bart,/   1.1,Heading 3 Char Znak,N: 3,RP-NAG3,Org Heading 12,Org Heading 13"/>
    <w:basedOn w:val="Normalny"/>
    <w:next w:val="Normalny"/>
    <w:link w:val="Nagwek3Znak"/>
    <w:uiPriority w:val="99"/>
    <w:unhideWhenUsed/>
    <w:qFormat/>
    <w:rsid w:val="00795901"/>
    <w:pPr>
      <w:keepNext/>
      <w:keepLines/>
      <w:spacing w:before="40" w:after="0"/>
      <w:outlineLvl w:val="2"/>
    </w:pPr>
    <w:rPr>
      <w:rFonts w:eastAsiaTheme="majorEastAsia" w:cstheme="majorBidi"/>
      <w:szCs w:val="24"/>
    </w:rPr>
  </w:style>
  <w:style w:type="paragraph" w:styleId="Nagwek4">
    <w:name w:val="heading 4"/>
    <w:aliases w:val="Org Heading 2,PZI - NAG4,N: 4,RP - NAG4"/>
    <w:basedOn w:val="Normalny"/>
    <w:next w:val="Normalny"/>
    <w:link w:val="Nagwek4Znak"/>
    <w:qFormat/>
    <w:rsid w:val="00731DC9"/>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Nagwek5">
    <w:name w:val="heading 5"/>
    <w:aliases w:val="PZI - NAG5,Org Heading 3,h3,N: 5,RP - NAG5,Org Heading 31,h31,Org Heading 32,h32,Org Heading 33,h33,Org Heading 34,h34,Org Heading 35,h35,Org Heading 36,h36,Org Heading 37,h37,Org Heading 38,h38,Org Heading 39,h39,Org Heading 310,h310,h311"/>
    <w:basedOn w:val="Normalny"/>
    <w:next w:val="Normalny"/>
    <w:link w:val="Nagwek5Znak"/>
    <w:qFormat/>
    <w:rsid w:val="00731DC9"/>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Nagwek6">
    <w:name w:val="heading 6"/>
    <w:aliases w:val="PZI - NAG6,Tabela,Nag3ówek 6 Tabela,Nag3ówek6 Tabela,Naglówek 6 Tabela,Naglówek6 Tabela,Nagłówek 6 Tabela,Nagłówek6 Tabela, Tabela,Nag³ówek 6 Tabela,Nag³ówek6 Tabela,Nag³ówek6,Nagłówek6,Nag3ówek6,N: 6,RP - NAG6"/>
    <w:basedOn w:val="Normalny"/>
    <w:next w:val="Normalny"/>
    <w:link w:val="Nagwek6Znak"/>
    <w:qFormat/>
    <w:rsid w:val="00731DC9"/>
    <w:pPr>
      <w:spacing w:before="240" w:after="60" w:line="240" w:lineRule="auto"/>
      <w:outlineLvl w:val="5"/>
    </w:pPr>
    <w:rPr>
      <w:rFonts w:ascii="Times New Roman" w:eastAsia="Times New Roman" w:hAnsi="Times New Roman" w:cs="Times New Roman"/>
      <w:b/>
      <w:bCs/>
      <w:sz w:val="22"/>
      <w:lang w:val="x-none" w:eastAsia="x-none"/>
    </w:rPr>
  </w:style>
  <w:style w:type="paragraph" w:styleId="Nagwek7">
    <w:name w:val="heading 7"/>
    <w:aliases w:val="PZI - NAG7,N: 7"/>
    <w:basedOn w:val="Head"/>
    <w:next w:val="Tekstpodstawowy"/>
    <w:link w:val="Nagwek7Znak"/>
    <w:qFormat/>
    <w:rsid w:val="00731DC9"/>
    <w:pPr>
      <w:spacing w:before="240" w:after="60"/>
      <w:outlineLvl w:val="6"/>
    </w:pPr>
    <w:rPr>
      <w:szCs w:val="24"/>
      <w:lang w:val="x-none" w:eastAsia="x-none"/>
    </w:rPr>
  </w:style>
  <w:style w:type="paragraph" w:styleId="Nagwek8">
    <w:name w:val="heading 8"/>
    <w:aliases w:val="PZI - NAG8,tyt.za3.,tyt.zał.,N: 8"/>
    <w:basedOn w:val="Head"/>
    <w:next w:val="Tekstpodstawowy"/>
    <w:link w:val="Nagwek8Znak"/>
    <w:qFormat/>
    <w:rsid w:val="00731DC9"/>
    <w:pPr>
      <w:spacing w:before="240" w:after="60"/>
      <w:outlineLvl w:val="7"/>
    </w:pPr>
    <w:rPr>
      <w:i/>
      <w:iCs/>
      <w:szCs w:val="24"/>
      <w:lang w:val="x-none" w:eastAsia="x-none"/>
    </w:rPr>
  </w:style>
  <w:style w:type="paragraph" w:styleId="Nagwek9">
    <w:name w:val="heading 9"/>
    <w:aliases w:val="PZI - NAG9,N: 9"/>
    <w:basedOn w:val="Normalny"/>
    <w:next w:val="Normalny"/>
    <w:link w:val="Nagwek9Znak"/>
    <w:unhideWhenUsed/>
    <w:qFormat/>
    <w:rsid w:val="00731DC9"/>
    <w:pPr>
      <w:keepNext/>
      <w:keepLines/>
      <w:spacing w:before="40" w:after="0" w:line="276" w:lineRule="auto"/>
      <w:outlineLvl w:val="8"/>
    </w:pPr>
    <w:rPr>
      <w:rFonts w:ascii="Cambria" w:eastAsia="Times New Roman" w:hAnsi="Cambria" w:cs="Times New Roman"/>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aliases w:val="tabele"/>
    <w:link w:val="BezodstpwZnak"/>
    <w:uiPriority w:val="1"/>
    <w:qFormat/>
    <w:rsid w:val="007337E7"/>
    <w:pPr>
      <w:spacing w:after="0" w:line="240" w:lineRule="auto"/>
    </w:pPr>
    <w:rPr>
      <w:rFonts w:ascii="Arial" w:hAnsi="Arial"/>
      <w:sz w:val="24"/>
    </w:rPr>
  </w:style>
  <w:style w:type="character" w:customStyle="1" w:styleId="Nagwek1Znak">
    <w:name w:val="Nagłówek 1 Znak"/>
    <w:aliases w:val="PZI-NAG1 Znak,Nagłówek DRUGI Znak,title1 Znak1,title1norm Znak1,Paspastyle 1 Znak1,Titolo 1 Carattere Znak1,T1 Znak1,Hoofdstuk Znak1,tabulator Znak1,Heading 1 Char Znak Znak1,Nagłówek 11 Znak Znak1,Nagłówek 11 Znak2,N: 1 Znak"/>
    <w:basedOn w:val="Domylnaczcionkaakapitu"/>
    <w:link w:val="Nagwek1"/>
    <w:qFormat/>
    <w:rsid w:val="007337E7"/>
    <w:rPr>
      <w:rFonts w:ascii="Arial" w:eastAsiaTheme="majorEastAsia" w:hAnsi="Arial" w:cstheme="majorBidi"/>
      <w:sz w:val="24"/>
      <w:szCs w:val="32"/>
    </w:rPr>
  </w:style>
  <w:style w:type="character" w:customStyle="1" w:styleId="Nagwek2Znak">
    <w:name w:val="Nagłówek 2 Znak"/>
    <w:aliases w:val="Naglówek 2 Znak,PZI-NAG2 Znak,adpis 2 Znak,Nagłówek 2 Znak Znak Znak,Titolo 21 Znak,Titolo 2 Carattere Carattere Znak,Paragraaf Znak,Nagłówek 2 Bart Znak,Heading 2 Char Znak Znak,Nagłówek 21 Znak Znak,Nagłówek 21 Znak1,N: 2 Znak"/>
    <w:basedOn w:val="Domylnaczcionkaakapitu"/>
    <w:link w:val="Nagwek2"/>
    <w:qFormat/>
    <w:rsid w:val="007337E7"/>
    <w:rPr>
      <w:rFonts w:ascii="Arial" w:eastAsiaTheme="majorEastAsia" w:hAnsi="Arial" w:cstheme="majorBidi"/>
      <w:sz w:val="24"/>
      <w:szCs w:val="26"/>
    </w:rPr>
  </w:style>
  <w:style w:type="paragraph" w:styleId="Akapitzlist">
    <w:name w:val="List Paragraph"/>
    <w:aliases w:val="Asia 2  Akapit z listą,tekst normalny,Normal,Akapit z listą3,Akapit z listą31,Wypunktowanie,Normal2,normalny tekst,List Paragraph,PZI-AK_LISTA,Przypis,Wyliczanie,Obiekt,List Paragraph1,Numerowanie,BulletC,List_Paragraph,Multilevel para_II"/>
    <w:basedOn w:val="Normalny"/>
    <w:link w:val="AkapitzlistZnak"/>
    <w:uiPriority w:val="34"/>
    <w:qFormat/>
    <w:rsid w:val="00497A5E"/>
    <w:pPr>
      <w:spacing w:after="200" w:line="276" w:lineRule="auto"/>
      <w:ind w:left="720"/>
      <w:contextualSpacing/>
    </w:pPr>
    <w:rPr>
      <w:rFonts w:eastAsia="Times New Roman" w:cs="Times New Roman"/>
      <w:lang w:eastAsia="pl-PL"/>
    </w:rPr>
  </w:style>
  <w:style w:type="character" w:customStyle="1" w:styleId="AkapitzlistZnak">
    <w:name w:val="Akapit z listą Znak"/>
    <w:aliases w:val="Asia 2  Akapit z listą Znak,tekst normalny Znak,Normal Znak,Akapit z listą3 Znak,Akapit z listą31 Znak,Wypunktowanie Znak,Normal2 Znak,normalny tekst Znak,List Paragraph Znak,PZI-AK_LISTA Znak,Przypis Znak,Wyliczanie Znak,Obiekt Znak"/>
    <w:link w:val="Akapitzlist"/>
    <w:uiPriority w:val="34"/>
    <w:qFormat/>
    <w:rsid w:val="00497A5E"/>
    <w:rPr>
      <w:rFonts w:ascii="Arial" w:eastAsia="Times New Roman" w:hAnsi="Arial" w:cs="Times New Roman"/>
      <w:sz w:val="24"/>
      <w:lang w:eastAsia="pl-PL"/>
    </w:rPr>
  </w:style>
  <w:style w:type="paragraph" w:customStyle="1" w:styleId="text-justify1">
    <w:name w:val="text-justify1"/>
    <w:basedOn w:val="Normalny"/>
    <w:rsid w:val="007337E7"/>
    <w:pPr>
      <w:spacing w:before="100" w:beforeAutospacing="1" w:after="100" w:afterAutospacing="1" w:line="240" w:lineRule="auto"/>
    </w:pPr>
    <w:rPr>
      <w:rFonts w:ascii="Times New Roman" w:eastAsia="Times New Roman" w:hAnsi="Times New Roman" w:cs="Times New Roman"/>
      <w:szCs w:val="24"/>
      <w:lang w:eastAsia="pl-PL"/>
    </w:rPr>
  </w:style>
  <w:style w:type="paragraph" w:styleId="Nagwek">
    <w:name w:val="header"/>
    <w:aliases w:val="Nagłówek strony,Nag³ówek strony,Nagłówek2 - 6,Nagłówek - myślniki,Nagłówek_strona_tyt,Nagłówek strony 1,Nag,Nagłówek strony1,Nag Znak,Nag Znak Znak Znak Znak Znak,Nagłówek strony Znak Znak Znak Znak Znak Znak,Naglówek 3"/>
    <w:basedOn w:val="Normalny"/>
    <w:link w:val="NagwekZnak"/>
    <w:unhideWhenUsed/>
    <w:qFormat/>
    <w:rsid w:val="000D66EB"/>
    <w:pPr>
      <w:tabs>
        <w:tab w:val="center" w:pos="4536"/>
        <w:tab w:val="right" w:pos="9072"/>
      </w:tabs>
      <w:spacing w:after="0" w:line="240" w:lineRule="auto"/>
    </w:pPr>
  </w:style>
  <w:style w:type="character" w:customStyle="1" w:styleId="NagwekZnak">
    <w:name w:val="Nagłówek Znak"/>
    <w:aliases w:val="Nagłówek strony Znak,Nag³ówek strony Znak,Nagłówek2 - 6 Znak,Nagłówek - myślniki Znak,Nagłówek_strona_tyt Znak,Nagłówek strony 1 Znak,Nag Znak2,Nagłówek strony1 Znak1,Nag Znak Znak,Nag Znak Znak Znak Znak Znak Znak,Naglówek 3 Znak1"/>
    <w:basedOn w:val="Domylnaczcionkaakapitu"/>
    <w:link w:val="Nagwek"/>
    <w:qFormat/>
    <w:rsid w:val="000D66EB"/>
    <w:rPr>
      <w:rFonts w:ascii="Arial" w:hAnsi="Arial"/>
      <w:sz w:val="24"/>
    </w:rPr>
  </w:style>
  <w:style w:type="paragraph" w:styleId="Stopka">
    <w:name w:val="footer"/>
    <w:basedOn w:val="Normalny"/>
    <w:link w:val="StopkaZnak"/>
    <w:uiPriority w:val="99"/>
    <w:unhideWhenUsed/>
    <w:rsid w:val="000D66EB"/>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0D66EB"/>
    <w:rPr>
      <w:rFonts w:ascii="Arial" w:hAnsi="Arial"/>
      <w:sz w:val="24"/>
    </w:rPr>
  </w:style>
  <w:style w:type="character" w:styleId="Hipercze">
    <w:name w:val="Hyperlink"/>
    <w:basedOn w:val="Domylnaczcionkaakapitu"/>
    <w:uiPriority w:val="99"/>
    <w:unhideWhenUsed/>
    <w:rsid w:val="00241F4B"/>
    <w:rPr>
      <w:color w:val="0563C1" w:themeColor="hyperlink"/>
      <w:u w:val="single"/>
    </w:rPr>
  </w:style>
  <w:style w:type="character" w:customStyle="1" w:styleId="Nierozpoznanawzmianka1">
    <w:name w:val="Nierozpoznana wzmianka1"/>
    <w:basedOn w:val="Domylnaczcionkaakapitu"/>
    <w:uiPriority w:val="99"/>
    <w:semiHidden/>
    <w:unhideWhenUsed/>
    <w:rsid w:val="00241F4B"/>
    <w:rPr>
      <w:color w:val="605E5C"/>
      <w:shd w:val="clear" w:color="auto" w:fill="E1DFDD"/>
    </w:rPr>
  </w:style>
  <w:style w:type="character" w:customStyle="1" w:styleId="Nagwek3Znak">
    <w:name w:val="Nagłówek 3 Znak"/>
    <w:aliases w:val="PZI-NAG3 Znak,Org Heading 1 Znak,zwyk3y tekst Znak,zwykły tekst Znak,zwyk³y tekst Znak1,Org Heading 11 Znak,h11 Znak,zwyk3y tekst1 Znak,zwykły tekst1 Znak,zwyk³y tekst Znak Znak,Subparagraaf Znak,Nagłówek 3 Bart Znak,/   1.1 Znak"/>
    <w:basedOn w:val="Domylnaczcionkaakapitu"/>
    <w:link w:val="Nagwek3"/>
    <w:uiPriority w:val="99"/>
    <w:qFormat/>
    <w:rsid w:val="00795901"/>
    <w:rPr>
      <w:rFonts w:ascii="Arial" w:eastAsiaTheme="majorEastAsia" w:hAnsi="Arial" w:cstheme="majorBidi"/>
      <w:sz w:val="24"/>
      <w:szCs w:val="24"/>
    </w:rPr>
  </w:style>
  <w:style w:type="paragraph" w:styleId="Tekstdymka">
    <w:name w:val="Balloon Text"/>
    <w:basedOn w:val="Normalny"/>
    <w:link w:val="TekstdymkaZnak"/>
    <w:uiPriority w:val="99"/>
    <w:unhideWhenUsed/>
    <w:qFormat/>
    <w:rsid w:val="007959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qFormat/>
    <w:rsid w:val="00795901"/>
    <w:rPr>
      <w:rFonts w:ascii="Segoe UI" w:hAnsi="Segoe UI" w:cs="Segoe UI"/>
      <w:sz w:val="18"/>
      <w:szCs w:val="18"/>
    </w:rPr>
  </w:style>
  <w:style w:type="paragraph" w:styleId="Tekstpodstawowy">
    <w:name w:val="Body Text"/>
    <w:aliases w:val="Odstęp,a2,numerowanie,Tekst podstawowy  Ja,anita1,block style,Tekst podstawowy Znak Znak Znak Znak Znak Znak Znak Znak, Znak"/>
    <w:basedOn w:val="Normalny"/>
    <w:link w:val="TekstpodstawowyZnak"/>
    <w:uiPriority w:val="99"/>
    <w:qFormat/>
    <w:rsid w:val="00F81A40"/>
    <w:pPr>
      <w:spacing w:after="0" w:line="240" w:lineRule="auto"/>
      <w:jc w:val="both"/>
    </w:pPr>
    <w:rPr>
      <w:rFonts w:ascii="Times New Roman" w:eastAsia="Times New Roman" w:hAnsi="Times New Roman" w:cs="Times New Roman"/>
      <w:szCs w:val="20"/>
      <w:lang w:eastAsia="pl-PL"/>
    </w:rPr>
  </w:style>
  <w:style w:type="character" w:customStyle="1" w:styleId="TekstpodstawowyZnak">
    <w:name w:val="Tekst podstawowy Znak"/>
    <w:aliases w:val="Odstęp Znak1,a2 Znak,numerowanie Znak1,Tekst podstawowy  Ja Znak1,anita1 Znak1,block style Znak1,Tekst podstawowy Znak Znak Znak Znak Znak Znak Znak Znak Znak, Znak Znak"/>
    <w:basedOn w:val="Domylnaczcionkaakapitu"/>
    <w:link w:val="Tekstpodstawowy"/>
    <w:uiPriority w:val="99"/>
    <w:qFormat/>
    <w:rsid w:val="00F81A40"/>
    <w:rPr>
      <w:rFonts w:ascii="Times New Roman" w:eastAsia="Times New Roman" w:hAnsi="Times New Roman" w:cs="Times New Roman"/>
      <w:sz w:val="24"/>
      <w:szCs w:val="20"/>
      <w:lang w:eastAsia="pl-PL"/>
    </w:rPr>
  </w:style>
  <w:style w:type="paragraph" w:styleId="HTML-wstpniesformatowany">
    <w:name w:val="HTML Preformatted"/>
    <w:basedOn w:val="Normalny"/>
    <w:link w:val="HTML-wstpniesformatowanyZnak"/>
    <w:qFormat/>
    <w:rsid w:val="00F81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pl-PL"/>
    </w:rPr>
  </w:style>
  <w:style w:type="character" w:customStyle="1" w:styleId="HTML-wstpniesformatowanyZnak">
    <w:name w:val="HTML - wstępnie sformatowany Znak"/>
    <w:basedOn w:val="Domylnaczcionkaakapitu"/>
    <w:link w:val="HTML-wstpniesformatowany"/>
    <w:qFormat/>
    <w:rsid w:val="00F81A40"/>
    <w:rPr>
      <w:rFonts w:ascii="Arial Unicode MS" w:eastAsia="Arial Unicode MS" w:hAnsi="Arial Unicode MS" w:cs="Arial Unicode MS"/>
      <w:sz w:val="20"/>
      <w:szCs w:val="20"/>
      <w:lang w:eastAsia="pl-PL"/>
    </w:rPr>
  </w:style>
  <w:style w:type="character" w:styleId="Pogrubienie">
    <w:name w:val="Strong"/>
    <w:aliases w:val="Tekst treści + Times New Roman5,6 pt,PZI-BOLD,Bold,R: POGRUBIENIE,PZI bold"/>
    <w:basedOn w:val="Domylnaczcionkaakapitu"/>
    <w:uiPriority w:val="22"/>
    <w:qFormat/>
    <w:rsid w:val="00F863C4"/>
    <w:rPr>
      <w:b/>
      <w:bCs/>
    </w:rPr>
  </w:style>
  <w:style w:type="table" w:styleId="Tabela-Siatka">
    <w:name w:val="Table Grid"/>
    <w:basedOn w:val="Standardowy"/>
    <w:uiPriority w:val="59"/>
    <w:rsid w:val="00F44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Legenda Znak,Map,..."/>
    <w:basedOn w:val="Normalny"/>
    <w:next w:val="Normalny"/>
    <w:link w:val="LegendaZnak1"/>
    <w:unhideWhenUsed/>
    <w:qFormat/>
    <w:rsid w:val="000102EF"/>
    <w:pPr>
      <w:spacing w:after="200" w:line="240" w:lineRule="auto"/>
    </w:pPr>
    <w:rPr>
      <w:i/>
      <w:iCs/>
      <w:color w:val="44546A" w:themeColor="text2"/>
      <w:sz w:val="18"/>
      <w:szCs w:val="18"/>
    </w:rPr>
  </w:style>
  <w:style w:type="paragraph" w:styleId="Tekstprzypisudolnego">
    <w:name w:val="footnote text"/>
    <w:aliases w:val="fn,Tekst przypisu,Podrozdział"/>
    <w:basedOn w:val="Normalny"/>
    <w:link w:val="TekstprzypisudolnegoZnak"/>
    <w:rsid w:val="009214DD"/>
    <w:pPr>
      <w:spacing w:before="120" w:after="0" w:line="320" w:lineRule="exact"/>
    </w:pPr>
    <w:rPr>
      <w:rFonts w:eastAsia="Times New Roman" w:cs="Times New Roman"/>
      <w:kern w:val="28"/>
      <w:sz w:val="20"/>
      <w:szCs w:val="20"/>
      <w:lang w:eastAsia="pl-PL"/>
    </w:rPr>
  </w:style>
  <w:style w:type="character" w:customStyle="1" w:styleId="TekstprzypisudolnegoZnak">
    <w:name w:val="Tekst przypisu dolnego Znak"/>
    <w:aliases w:val="fn Znak,Tekst przypisu Znak,Podrozdział Znak"/>
    <w:basedOn w:val="Domylnaczcionkaakapitu"/>
    <w:link w:val="Tekstprzypisudolnego"/>
    <w:qFormat/>
    <w:rsid w:val="009214DD"/>
    <w:rPr>
      <w:rFonts w:ascii="Arial" w:eastAsia="Times New Roman" w:hAnsi="Arial" w:cs="Times New Roman"/>
      <w:kern w:val="28"/>
      <w:sz w:val="20"/>
      <w:szCs w:val="20"/>
      <w:lang w:eastAsia="pl-PL"/>
    </w:rPr>
  </w:style>
  <w:style w:type="paragraph" w:customStyle="1" w:styleId="Akapitzlist1">
    <w:name w:val="Akapit z listą1"/>
    <w:basedOn w:val="Normalny"/>
    <w:link w:val="ListParagraphChar"/>
    <w:qFormat/>
    <w:rsid w:val="009214DD"/>
    <w:pPr>
      <w:suppressAutoHyphens/>
      <w:spacing w:after="200" w:line="276" w:lineRule="auto"/>
      <w:ind w:left="720"/>
    </w:pPr>
    <w:rPr>
      <w:rFonts w:ascii="Calibri" w:eastAsia="Calibri" w:hAnsi="Calibri" w:cs="Times New Roman"/>
      <w:kern w:val="1"/>
      <w:sz w:val="22"/>
      <w:lang w:eastAsia="ar-SA"/>
    </w:rPr>
  </w:style>
  <w:style w:type="character" w:customStyle="1" w:styleId="markedcontent">
    <w:name w:val="markedcontent"/>
    <w:basedOn w:val="Domylnaczcionkaakapitu"/>
    <w:rsid w:val="009214DD"/>
  </w:style>
  <w:style w:type="character" w:customStyle="1" w:styleId="Nagwek4Znak">
    <w:name w:val="Nagłówek 4 Znak"/>
    <w:aliases w:val="Org Heading 2 Znak,PZI - NAG4 Znak,N: 4 Znak,RP - NAG4 Znak"/>
    <w:basedOn w:val="Domylnaczcionkaakapitu"/>
    <w:link w:val="Nagwek4"/>
    <w:qFormat/>
    <w:rsid w:val="00731DC9"/>
    <w:rPr>
      <w:rFonts w:ascii="Times New Roman" w:eastAsia="Times New Roman" w:hAnsi="Times New Roman" w:cs="Times New Roman"/>
      <w:b/>
      <w:bCs/>
      <w:sz w:val="28"/>
      <w:szCs w:val="28"/>
      <w:lang w:val="x-none" w:eastAsia="x-none"/>
    </w:rPr>
  </w:style>
  <w:style w:type="character" w:customStyle="1" w:styleId="Nagwek5Znak">
    <w:name w:val="Nagłówek 5 Znak"/>
    <w:aliases w:val="PZI - NAG5 Znak,Org Heading 3 Znak,h3 Znak,N: 5 Znak,RP - NAG5 Znak,Org Heading 31 Znak,h31 Znak,Org Heading 32 Znak,h32 Znak,Org Heading 33 Znak,h33 Znak,Org Heading 34 Znak,h34 Znak,Org Heading 35 Znak,h35 Znak,Org Heading 36 Znak"/>
    <w:basedOn w:val="Domylnaczcionkaakapitu"/>
    <w:link w:val="Nagwek5"/>
    <w:qFormat/>
    <w:rsid w:val="00731DC9"/>
    <w:rPr>
      <w:rFonts w:ascii="Times New Roman" w:eastAsia="Times New Roman" w:hAnsi="Times New Roman" w:cs="Times New Roman"/>
      <w:b/>
      <w:bCs/>
      <w:i/>
      <w:iCs/>
      <w:sz w:val="26"/>
      <w:szCs w:val="26"/>
      <w:lang w:val="x-none" w:eastAsia="x-none"/>
    </w:rPr>
  </w:style>
  <w:style w:type="character" w:customStyle="1" w:styleId="Nagwek6Znak">
    <w:name w:val="Nagłówek 6 Znak"/>
    <w:aliases w:val="PZI - NAG6 Znak,Tabela Znak,Nag3ówek 6 Tabela Znak,Nag3ówek6 Tabela Znak,Naglówek 6 Tabela Znak,Naglówek6 Tabela Znak,Nagłówek 6 Tabela Znak,Nagłówek6 Tabela Znak, Tabela Znak,Nag³ówek 6 Tabela Znak,Nag³ówek6 Tabela Znak,Nag³ówek6 Znak"/>
    <w:basedOn w:val="Domylnaczcionkaakapitu"/>
    <w:link w:val="Nagwek6"/>
    <w:qFormat/>
    <w:rsid w:val="00731DC9"/>
    <w:rPr>
      <w:rFonts w:ascii="Times New Roman" w:eastAsia="Times New Roman" w:hAnsi="Times New Roman" w:cs="Times New Roman"/>
      <w:b/>
      <w:bCs/>
      <w:lang w:val="x-none" w:eastAsia="x-none"/>
    </w:rPr>
  </w:style>
  <w:style w:type="character" w:customStyle="1" w:styleId="Nagwek7Znak">
    <w:name w:val="Nagłówek 7 Znak"/>
    <w:aliases w:val="PZI - NAG7 Znak,N: 7 Znak"/>
    <w:basedOn w:val="Domylnaczcionkaakapitu"/>
    <w:link w:val="Nagwek7"/>
    <w:qFormat/>
    <w:rsid w:val="00731DC9"/>
    <w:rPr>
      <w:rFonts w:ascii="Helvetica" w:eastAsia="Times New Roman" w:hAnsi="Helvetica" w:cs="Times New Roman"/>
      <w:szCs w:val="24"/>
      <w:lang w:val="x-none" w:eastAsia="x-none"/>
    </w:rPr>
  </w:style>
  <w:style w:type="character" w:customStyle="1" w:styleId="Nagwek8Znak">
    <w:name w:val="Nagłówek 8 Znak"/>
    <w:aliases w:val="PZI - NAG8 Znak,tyt.za3. Znak,tyt.zał. Znak,N: 8 Znak"/>
    <w:basedOn w:val="Domylnaczcionkaakapitu"/>
    <w:link w:val="Nagwek8"/>
    <w:qFormat/>
    <w:rsid w:val="00731DC9"/>
    <w:rPr>
      <w:rFonts w:ascii="Helvetica" w:eastAsia="Times New Roman" w:hAnsi="Helvetica" w:cs="Times New Roman"/>
      <w:i/>
      <w:iCs/>
      <w:szCs w:val="24"/>
      <w:lang w:val="x-none" w:eastAsia="x-none"/>
    </w:rPr>
  </w:style>
  <w:style w:type="character" w:customStyle="1" w:styleId="Nagwek9Znak">
    <w:name w:val="Nagłówek 9 Znak"/>
    <w:aliases w:val="PZI - NAG9 Znak,N: 9 Znak"/>
    <w:basedOn w:val="Domylnaczcionkaakapitu"/>
    <w:link w:val="Nagwek9"/>
    <w:qFormat/>
    <w:rsid w:val="00731DC9"/>
    <w:rPr>
      <w:rFonts w:ascii="Cambria" w:eastAsia="Times New Roman" w:hAnsi="Cambria" w:cs="Times New Roman"/>
      <w:i/>
      <w:iCs/>
      <w:color w:val="272727"/>
      <w:sz w:val="21"/>
      <w:szCs w:val="21"/>
    </w:rPr>
  </w:style>
  <w:style w:type="character" w:customStyle="1" w:styleId="Nagwek4Znak1">
    <w:name w:val="Nagłówek 4 Znak1"/>
    <w:aliases w:val="Org Heading 2 Znak1,h2 Znak1"/>
    <w:semiHidden/>
    <w:rsid w:val="00906952"/>
    <w:rPr>
      <w:rFonts w:ascii="Calibri Light" w:eastAsia="Times New Roman" w:hAnsi="Calibri Light" w:cs="Times New Roman" w:hint="default"/>
      <w:i/>
      <w:iCs/>
      <w:color w:val="2F5496"/>
      <w:sz w:val="24"/>
      <w:szCs w:val="24"/>
    </w:rPr>
  </w:style>
  <w:style w:type="paragraph" w:customStyle="1" w:styleId="Adresat1wiersz">
    <w:name w:val="Adresat 1. wiersz"/>
    <w:basedOn w:val="Adresatkolejnewiersze"/>
    <w:next w:val="Adresatkolejnewiersze"/>
    <w:rsid w:val="00731DC9"/>
    <w:pPr>
      <w:spacing w:before="720"/>
    </w:pPr>
  </w:style>
  <w:style w:type="paragraph" w:customStyle="1" w:styleId="Miejsceidata">
    <w:name w:val="Miejsce i data"/>
    <w:basedOn w:val="Normalny"/>
    <w:next w:val="Adresat1wiersz"/>
    <w:rsid w:val="00731DC9"/>
    <w:pPr>
      <w:tabs>
        <w:tab w:val="right" w:pos="8789"/>
      </w:tabs>
      <w:spacing w:after="0" w:line="240" w:lineRule="auto"/>
      <w:jc w:val="both"/>
    </w:pPr>
    <w:rPr>
      <w:rFonts w:eastAsia="Times New Roman" w:cs="Times New Roman"/>
      <w:sz w:val="20"/>
      <w:szCs w:val="20"/>
      <w:lang w:eastAsia="pl-PL"/>
    </w:rPr>
  </w:style>
  <w:style w:type="paragraph" w:customStyle="1" w:styleId="Adresatkolejnewiersze">
    <w:name w:val="Adresat kolejne wiersze"/>
    <w:basedOn w:val="Normalny"/>
    <w:rsid w:val="00731DC9"/>
    <w:pPr>
      <w:tabs>
        <w:tab w:val="left" w:pos="4253"/>
      </w:tabs>
      <w:spacing w:after="0" w:line="240" w:lineRule="auto"/>
      <w:ind w:left="4253"/>
      <w:jc w:val="both"/>
    </w:pPr>
    <w:rPr>
      <w:rFonts w:eastAsia="Times New Roman" w:cs="Times New Roman"/>
      <w:b/>
      <w:szCs w:val="20"/>
      <w:lang w:eastAsia="pl-PL"/>
    </w:rPr>
  </w:style>
  <w:style w:type="character" w:styleId="Nierozpoznanawzmianka">
    <w:name w:val="Unresolved Mention"/>
    <w:uiPriority w:val="99"/>
    <w:semiHidden/>
    <w:unhideWhenUsed/>
    <w:qFormat/>
    <w:rsid w:val="00731DC9"/>
    <w:rPr>
      <w:color w:val="605E5C"/>
      <w:shd w:val="clear" w:color="auto" w:fill="E1DFDD"/>
    </w:rPr>
  </w:style>
  <w:style w:type="table" w:customStyle="1" w:styleId="Tabela-Siatka1">
    <w:name w:val="Tabela - Siatka1"/>
    <w:basedOn w:val="Standardowy"/>
    <w:next w:val="Tabela-Siatka"/>
    <w:uiPriority w:val="59"/>
    <w:rsid w:val="00731DC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qFormat/>
    <w:rsid w:val="00731DC9"/>
  </w:style>
  <w:style w:type="paragraph" w:customStyle="1" w:styleId="Default">
    <w:name w:val="Default"/>
    <w:qFormat/>
    <w:rsid w:val="00731DC9"/>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Standardowy0">
    <w:name w:val="Standardowy_"/>
    <w:rsid w:val="00731DC9"/>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lang w:val="en-US" w:eastAsia="pl-PL"/>
    </w:rPr>
  </w:style>
  <w:style w:type="paragraph" w:styleId="Tekstpodstawowywcity">
    <w:name w:val="Body Text Indent"/>
    <w:basedOn w:val="Normalny"/>
    <w:link w:val="TekstpodstawowywcityZnak"/>
    <w:uiPriority w:val="99"/>
    <w:rsid w:val="00731DC9"/>
    <w:pPr>
      <w:spacing w:after="0" w:line="240" w:lineRule="auto"/>
      <w:ind w:left="708" w:firstLine="708"/>
    </w:pPr>
    <w:rPr>
      <w:rFonts w:eastAsia="Times New Roman" w:cs="Times New Roman"/>
      <w:i/>
      <w:sz w:val="32"/>
      <w:szCs w:val="20"/>
      <w:lang w:eastAsia="pl-PL"/>
    </w:rPr>
  </w:style>
  <w:style w:type="character" w:customStyle="1" w:styleId="TekstpodstawowywcityZnak">
    <w:name w:val="Tekst podstawowy wcięty Znak"/>
    <w:basedOn w:val="Domylnaczcionkaakapitu"/>
    <w:link w:val="Tekstpodstawowywcity"/>
    <w:uiPriority w:val="99"/>
    <w:qFormat/>
    <w:rsid w:val="00731DC9"/>
    <w:rPr>
      <w:rFonts w:ascii="Arial" w:eastAsia="Times New Roman" w:hAnsi="Arial" w:cs="Times New Roman"/>
      <w:i/>
      <w:sz w:val="32"/>
      <w:szCs w:val="20"/>
      <w:lang w:eastAsia="pl-PL"/>
    </w:rPr>
  </w:style>
  <w:style w:type="paragraph" w:customStyle="1" w:styleId="zwyky">
    <w:name w:val="zwykły"/>
    <w:basedOn w:val="Normalny"/>
    <w:qFormat/>
    <w:rsid w:val="00731DC9"/>
    <w:pPr>
      <w:overflowPunct w:val="0"/>
      <w:autoSpaceDE w:val="0"/>
      <w:spacing w:after="60" w:line="360" w:lineRule="auto"/>
      <w:jc w:val="both"/>
      <w:textAlignment w:val="baseline"/>
    </w:pPr>
    <w:rPr>
      <w:rFonts w:eastAsia="Times New Roman" w:cs="Times New Roman"/>
      <w:sz w:val="22"/>
      <w:szCs w:val="20"/>
      <w:lang w:eastAsia="ar-SA"/>
    </w:rPr>
  </w:style>
  <w:style w:type="paragraph" w:customStyle="1" w:styleId="tab">
    <w:name w:val="tab"/>
    <w:basedOn w:val="Normalny"/>
    <w:rsid w:val="00731DC9"/>
    <w:pPr>
      <w:tabs>
        <w:tab w:val="left" w:pos="227"/>
      </w:tabs>
      <w:spacing w:before="40" w:after="40" w:line="240" w:lineRule="auto"/>
    </w:pPr>
    <w:rPr>
      <w:rFonts w:eastAsia="Times New Roman" w:cs="Times New Roman"/>
      <w:sz w:val="18"/>
      <w:szCs w:val="20"/>
      <w:lang w:eastAsia="pl-PL"/>
    </w:rPr>
  </w:style>
  <w:style w:type="character" w:customStyle="1" w:styleId="NormalTableZnak">
    <w:name w:val="Normal Table Znak"/>
    <w:rsid w:val="00731DC9"/>
    <w:rPr>
      <w:noProof w:val="0"/>
      <w:sz w:val="24"/>
      <w:lang w:val="pl-PL" w:eastAsia="pl-PL" w:bidi="ar-SA"/>
    </w:rPr>
  </w:style>
  <w:style w:type="paragraph" w:customStyle="1" w:styleId="TekstpodstawowynumerowanieOdstpblockstylea2">
    <w:name w:val="Tekst podstawowy.numerowanie.Odstęp.block style.a2"/>
    <w:basedOn w:val="Normalny"/>
    <w:rsid w:val="00731DC9"/>
    <w:pPr>
      <w:widowControl w:val="0"/>
      <w:tabs>
        <w:tab w:val="left" w:pos="1105"/>
        <w:tab w:val="left" w:pos="1808"/>
      </w:tabs>
      <w:spacing w:after="0" w:line="430" w:lineRule="exact"/>
      <w:jc w:val="both"/>
    </w:pPr>
    <w:rPr>
      <w:rFonts w:ascii="Times New Roman" w:eastAsia="Times New Roman" w:hAnsi="Times New Roman" w:cs="Times New Roman"/>
      <w:szCs w:val="20"/>
      <w:lang w:eastAsia="pl-PL"/>
    </w:rPr>
  </w:style>
  <w:style w:type="paragraph" w:styleId="Zwykytekst">
    <w:name w:val="Plain Text"/>
    <w:basedOn w:val="Normalny"/>
    <w:link w:val="ZwykytekstZnak"/>
    <w:unhideWhenUsed/>
    <w:qFormat/>
    <w:rsid w:val="00731DC9"/>
    <w:pPr>
      <w:spacing w:after="0" w:line="240" w:lineRule="auto"/>
    </w:pPr>
    <w:rPr>
      <w:rFonts w:ascii="Consolas" w:eastAsia="Calibri" w:hAnsi="Consolas" w:cs="Times New Roman"/>
      <w:sz w:val="21"/>
      <w:szCs w:val="21"/>
    </w:rPr>
  </w:style>
  <w:style w:type="character" w:customStyle="1" w:styleId="ZwykytekstZnak">
    <w:name w:val="Zwykły tekst Znak"/>
    <w:basedOn w:val="Domylnaczcionkaakapitu"/>
    <w:link w:val="Zwykytekst"/>
    <w:qFormat/>
    <w:rsid w:val="00731DC9"/>
    <w:rPr>
      <w:rFonts w:ascii="Consolas" w:eastAsia="Calibri" w:hAnsi="Consolas" w:cs="Times New Roman"/>
      <w:sz w:val="21"/>
      <w:szCs w:val="21"/>
    </w:rPr>
  </w:style>
  <w:style w:type="character" w:customStyle="1" w:styleId="st">
    <w:name w:val="st"/>
    <w:qFormat/>
    <w:rsid w:val="00731DC9"/>
  </w:style>
  <w:style w:type="paragraph" w:styleId="Wcicienormalne">
    <w:name w:val="Normal Indent"/>
    <w:basedOn w:val="Normalny"/>
    <w:unhideWhenUsed/>
    <w:qFormat/>
    <w:rsid w:val="00906952"/>
    <w:pPr>
      <w:widowControl w:val="0"/>
      <w:adjustRightInd w:val="0"/>
      <w:spacing w:after="0" w:line="360" w:lineRule="atLeast"/>
      <w:ind w:left="708"/>
      <w:jc w:val="both"/>
    </w:pPr>
    <w:rPr>
      <w:rFonts w:ascii="Times New Roman" w:eastAsia="Times New Roman" w:hAnsi="Times New Roman" w:cs="Times New Roman"/>
      <w:sz w:val="20"/>
      <w:szCs w:val="20"/>
      <w:lang w:eastAsia="pl-PL"/>
    </w:rPr>
  </w:style>
  <w:style w:type="paragraph" w:customStyle="1" w:styleId="Head">
    <w:name w:val="Head"/>
    <w:basedOn w:val="Normalny"/>
    <w:next w:val="Tekstpodstawowy"/>
    <w:rsid w:val="00731DC9"/>
    <w:pPr>
      <w:spacing w:after="0" w:line="240" w:lineRule="auto"/>
    </w:pPr>
    <w:rPr>
      <w:rFonts w:ascii="Helvetica" w:eastAsia="Times New Roman" w:hAnsi="Helvetica" w:cs="Times New Roman"/>
      <w:sz w:val="22"/>
      <w:szCs w:val="20"/>
      <w:lang w:eastAsia="pl-PL"/>
    </w:rPr>
  </w:style>
  <w:style w:type="paragraph" w:styleId="Tekstpodstawowy3">
    <w:name w:val="Body Text 3"/>
    <w:aliases w:val="Tekst podst. podkreślony"/>
    <w:basedOn w:val="Normalny"/>
    <w:link w:val="Tekstpodstawowy3Znak"/>
    <w:uiPriority w:val="99"/>
    <w:rsid w:val="00731DC9"/>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aliases w:val="Tekst podst. podkreślony Znak1"/>
    <w:basedOn w:val="Domylnaczcionkaakapitu"/>
    <w:link w:val="Tekstpodstawowy3"/>
    <w:uiPriority w:val="99"/>
    <w:rsid w:val="00731DC9"/>
    <w:rPr>
      <w:rFonts w:ascii="Times New Roman" w:eastAsia="Times New Roman" w:hAnsi="Times New Roman" w:cs="Times New Roman"/>
      <w:sz w:val="16"/>
      <w:szCs w:val="16"/>
      <w:lang w:val="x-none" w:eastAsia="x-none"/>
    </w:rPr>
  </w:style>
  <w:style w:type="paragraph" w:styleId="Tekstpodstawowywcity2">
    <w:name w:val="Body Text Indent 2"/>
    <w:basedOn w:val="Normalny"/>
    <w:link w:val="Tekstpodstawowywcity2Znak"/>
    <w:qFormat/>
    <w:rsid w:val="00731DC9"/>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qFormat/>
    <w:rsid w:val="00731DC9"/>
    <w:rPr>
      <w:rFonts w:ascii="Times New Roman" w:eastAsia="Times New Roman" w:hAnsi="Times New Roman" w:cs="Times New Roman"/>
      <w:sz w:val="20"/>
      <w:szCs w:val="20"/>
      <w:lang w:eastAsia="pl-PL"/>
    </w:rPr>
  </w:style>
  <w:style w:type="table" w:styleId="Tabela-Profesjonalny">
    <w:name w:val="Table Professional"/>
    <w:basedOn w:val="Standardowy"/>
    <w:rsid w:val="00731DC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Odwoanieprzypisudolnego">
    <w:name w:val="footnote reference"/>
    <w:aliases w:val="Odwołanie przypisu,BVI fnr,Footnote symbol,SUPERS,(Footnote Reference),Footnote,Voetnootverwijzing,Times 10 Point,Exposant 3 Point,Footnote reference number,note TESI"/>
    <w:rsid w:val="00731DC9"/>
    <w:rPr>
      <w:vertAlign w:val="superscript"/>
    </w:rPr>
  </w:style>
  <w:style w:type="paragraph" w:styleId="Spistreci2">
    <w:name w:val="toc 2"/>
    <w:aliases w:val="nowy,PZI-ST2"/>
    <w:basedOn w:val="Listanumerowana"/>
    <w:next w:val="Normalny"/>
    <w:autoRedefine/>
    <w:uiPriority w:val="39"/>
    <w:qFormat/>
    <w:rsid w:val="00731DC9"/>
    <w:pPr>
      <w:numPr>
        <w:numId w:val="0"/>
      </w:numPr>
      <w:contextualSpacing w:val="0"/>
    </w:pPr>
  </w:style>
  <w:style w:type="paragraph" w:styleId="Listanumerowana">
    <w:name w:val="List Number"/>
    <w:basedOn w:val="Normalny"/>
    <w:uiPriority w:val="99"/>
    <w:unhideWhenUsed/>
    <w:rsid w:val="00731DC9"/>
    <w:pPr>
      <w:numPr>
        <w:numId w:val="1"/>
      </w:numPr>
      <w:spacing w:after="0" w:line="240" w:lineRule="auto"/>
      <w:contextualSpacing/>
    </w:pPr>
    <w:rPr>
      <w:rFonts w:ascii="Times New Roman" w:eastAsia="Times New Roman" w:hAnsi="Times New Roman" w:cs="Times New Roman"/>
      <w:sz w:val="20"/>
      <w:szCs w:val="20"/>
      <w:lang w:eastAsia="pl-PL"/>
    </w:rPr>
  </w:style>
  <w:style w:type="paragraph" w:styleId="Tytu">
    <w:name w:val="Title"/>
    <w:aliases w:val="PZI-TYTUŁ"/>
    <w:basedOn w:val="Normalny"/>
    <w:link w:val="TytuZnak"/>
    <w:qFormat/>
    <w:rsid w:val="00731DC9"/>
    <w:pPr>
      <w:spacing w:after="0" w:line="240" w:lineRule="auto"/>
      <w:jc w:val="center"/>
    </w:pPr>
    <w:rPr>
      <w:rFonts w:ascii="Times New Roman" w:eastAsia="Times New Roman" w:hAnsi="Times New Roman" w:cs="Times New Roman"/>
      <w:sz w:val="28"/>
      <w:szCs w:val="24"/>
      <w:lang w:val="x-none" w:eastAsia="x-none"/>
    </w:rPr>
  </w:style>
  <w:style w:type="character" w:customStyle="1" w:styleId="TytuZnak">
    <w:name w:val="Tytuł Znak"/>
    <w:aliases w:val="PZI-TYTUŁ Znak"/>
    <w:basedOn w:val="Domylnaczcionkaakapitu"/>
    <w:link w:val="Tytu"/>
    <w:rsid w:val="00731DC9"/>
    <w:rPr>
      <w:rFonts w:ascii="Times New Roman" w:eastAsia="Times New Roman" w:hAnsi="Times New Roman" w:cs="Times New Roman"/>
      <w:sz w:val="28"/>
      <w:szCs w:val="24"/>
      <w:lang w:val="x-none" w:eastAsia="x-none"/>
    </w:rPr>
  </w:style>
  <w:style w:type="paragraph" w:styleId="NormalnyWeb">
    <w:name w:val="Normal (Web)"/>
    <w:basedOn w:val="Normalny"/>
    <w:uiPriority w:val="99"/>
    <w:qFormat/>
    <w:rsid w:val="00731DC9"/>
    <w:pPr>
      <w:spacing w:before="100" w:beforeAutospacing="1" w:after="100" w:afterAutospacing="1" w:line="240" w:lineRule="auto"/>
    </w:pPr>
    <w:rPr>
      <w:rFonts w:ascii="Arial Unicode MS" w:eastAsia="Arial Unicode MS" w:hAnsi="Arial Unicode MS" w:cs="Times"/>
      <w:color w:val="000000"/>
      <w:szCs w:val="24"/>
      <w:lang w:eastAsia="pl-PL"/>
    </w:rPr>
  </w:style>
  <w:style w:type="paragraph" w:customStyle="1" w:styleId="Tab-Nagwek-Lewy1">
    <w:name w:val="Tab-Nagłówek-Lewy1"/>
    <w:basedOn w:val="Normalny"/>
    <w:rsid w:val="00731DC9"/>
    <w:pPr>
      <w:spacing w:after="0" w:line="240" w:lineRule="auto"/>
    </w:pPr>
    <w:rPr>
      <w:rFonts w:ascii="Helvetica" w:eastAsia="Times New Roman" w:hAnsi="Helvetica" w:cs="Times New Roman"/>
      <w:b/>
      <w:sz w:val="22"/>
      <w:szCs w:val="24"/>
      <w:lang w:eastAsia="pl-PL"/>
    </w:rPr>
  </w:style>
  <w:style w:type="paragraph" w:customStyle="1" w:styleId="Artykul">
    <w:name w:val="Artykul"/>
    <w:basedOn w:val="Normalny"/>
    <w:rsid w:val="00731DC9"/>
    <w:pPr>
      <w:tabs>
        <w:tab w:val="left" w:pos="357"/>
        <w:tab w:val="left" w:pos="533"/>
      </w:tabs>
      <w:spacing w:before="40" w:after="40" w:line="240" w:lineRule="auto"/>
      <w:jc w:val="center"/>
    </w:pPr>
    <w:rPr>
      <w:rFonts w:eastAsia="Times New Roman" w:cs="Times New Roman"/>
      <w:b/>
      <w:color w:val="000000"/>
      <w:sz w:val="20"/>
      <w:szCs w:val="20"/>
      <w:lang w:eastAsia="pl-PL"/>
    </w:rPr>
  </w:style>
  <w:style w:type="paragraph" w:customStyle="1" w:styleId="standard">
    <w:name w:val="standard"/>
    <w:basedOn w:val="Normalny"/>
    <w:rsid w:val="00731DC9"/>
    <w:pPr>
      <w:tabs>
        <w:tab w:val="left" w:pos="567"/>
      </w:tabs>
      <w:spacing w:after="0" w:line="360" w:lineRule="auto"/>
      <w:ind w:firstLine="567"/>
      <w:jc w:val="both"/>
    </w:pPr>
    <w:rPr>
      <w:rFonts w:eastAsia="Times New Roman" w:cs="Times New Roman"/>
      <w:sz w:val="22"/>
      <w:szCs w:val="20"/>
      <w:lang w:eastAsia="pl-PL"/>
    </w:rPr>
  </w:style>
  <w:style w:type="paragraph" w:styleId="Tekstprzypisukocowego">
    <w:name w:val="endnote text"/>
    <w:aliases w:val=" Znak2 Znak, Znak2, Znak2 Znak Znak Znak, Znak2 Znak Znak Znak1 Znak Znak, Znak2 Znak2, Znak21, Znak2 Znak Znak Znak1, Znak2 Znak Znak Znak Znak1"/>
    <w:basedOn w:val="Normalny"/>
    <w:link w:val="TekstprzypisukocowegoZnak"/>
    <w:uiPriority w:val="99"/>
    <w:unhideWhenUsed/>
    <w:rsid w:val="00731DC9"/>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aliases w:val=" Znak2 Znak Znak, Znak2 Znak1, Znak2 Znak Znak Znak Znak, Znak2 Znak Znak Znak1 Znak Znak Znak, Znak2 Znak2 Znak, Znak21 Znak, Znak2 Znak Znak Znak1 Znak, Znak2 Znak Znak Znak Znak1 Znak"/>
    <w:basedOn w:val="Domylnaczcionkaakapitu"/>
    <w:link w:val="Tekstprzypisukocowego"/>
    <w:uiPriority w:val="99"/>
    <w:qFormat/>
    <w:rsid w:val="00731DC9"/>
    <w:rPr>
      <w:rFonts w:ascii="Times New Roman" w:eastAsia="Times New Roman" w:hAnsi="Times New Roman" w:cs="Times New Roman"/>
      <w:sz w:val="20"/>
      <w:szCs w:val="20"/>
      <w:lang w:eastAsia="pl-PL"/>
    </w:rPr>
  </w:style>
  <w:style w:type="character" w:styleId="Odwoanieprzypisukocowego">
    <w:name w:val="endnote reference"/>
    <w:uiPriority w:val="99"/>
    <w:unhideWhenUsed/>
    <w:rsid w:val="00731DC9"/>
    <w:rPr>
      <w:vertAlign w:val="superscript"/>
    </w:rPr>
  </w:style>
  <w:style w:type="character" w:styleId="UyteHipercze">
    <w:name w:val="FollowedHyperlink"/>
    <w:rsid w:val="00731DC9"/>
    <w:rPr>
      <w:color w:val="800080"/>
      <w:u w:val="single"/>
    </w:rPr>
  </w:style>
  <w:style w:type="paragraph" w:customStyle="1" w:styleId="Tekstpodstawowy21">
    <w:name w:val="Tekst podstawowy 21"/>
    <w:basedOn w:val="Normalny"/>
    <w:qFormat/>
    <w:rsid w:val="00731DC9"/>
    <w:pPr>
      <w:tabs>
        <w:tab w:val="left" w:pos="0"/>
      </w:tabs>
      <w:spacing w:after="0" w:line="360" w:lineRule="atLeast"/>
      <w:jc w:val="both"/>
    </w:pPr>
    <w:rPr>
      <w:rFonts w:ascii="Times New Roman" w:eastAsia="Times New Roman" w:hAnsi="Times New Roman" w:cs="Times New Roman"/>
      <w:szCs w:val="20"/>
      <w:lang w:eastAsia="pl-PL"/>
    </w:rPr>
  </w:style>
  <w:style w:type="paragraph" w:styleId="Tekstkomentarza">
    <w:name w:val="annotation text"/>
    <w:basedOn w:val="Normalny"/>
    <w:link w:val="TekstkomentarzaZnak"/>
    <w:uiPriority w:val="99"/>
    <w:qFormat/>
    <w:rsid w:val="00731DC9"/>
    <w:pPr>
      <w:spacing w:after="0" w:line="240" w:lineRule="auto"/>
      <w:jc w:val="both"/>
    </w:pPr>
    <w:rPr>
      <w:rFonts w:eastAsia="Times New Roman" w:cs="Times New Roman"/>
      <w:sz w:val="20"/>
      <w:szCs w:val="20"/>
      <w:lang w:val="x-none" w:eastAsia="x-none"/>
    </w:rPr>
  </w:style>
  <w:style w:type="character" w:customStyle="1" w:styleId="TekstkomentarzaZnak">
    <w:name w:val="Tekst komentarza Znak"/>
    <w:basedOn w:val="Domylnaczcionkaakapitu"/>
    <w:link w:val="Tekstkomentarza"/>
    <w:uiPriority w:val="99"/>
    <w:qFormat/>
    <w:rsid w:val="00731DC9"/>
    <w:rPr>
      <w:rFonts w:ascii="Arial" w:eastAsia="Times New Roman" w:hAnsi="Arial" w:cs="Times New Roman"/>
      <w:sz w:val="20"/>
      <w:szCs w:val="20"/>
      <w:lang w:val="x-none" w:eastAsia="x-none"/>
    </w:rPr>
  </w:style>
  <w:style w:type="paragraph" w:customStyle="1" w:styleId="SPistabel">
    <w:name w:val="SPis tabel"/>
    <w:basedOn w:val="Cytatintensywny"/>
    <w:link w:val="SPistabelZnak"/>
    <w:qFormat/>
    <w:rsid w:val="00731DC9"/>
    <w:pPr>
      <w:pBdr>
        <w:bottom w:val="none" w:sz="0" w:space="0" w:color="auto"/>
      </w:pBdr>
      <w:spacing w:before="120" w:after="120" w:line="360" w:lineRule="auto"/>
      <w:ind w:left="709" w:right="0" w:hanging="709"/>
      <w:jc w:val="both"/>
    </w:pPr>
    <w:rPr>
      <w:rFonts w:ascii="Arial" w:hAnsi="Arial"/>
      <w:i w:val="0"/>
      <w:color w:val="auto"/>
      <w:szCs w:val="24"/>
    </w:rPr>
  </w:style>
  <w:style w:type="paragraph" w:styleId="Cytatintensywny">
    <w:name w:val="Intense Quote"/>
    <w:basedOn w:val="Normalny"/>
    <w:next w:val="Normalny"/>
    <w:link w:val="CytatintensywnyZnak"/>
    <w:uiPriority w:val="30"/>
    <w:qFormat/>
    <w:rsid w:val="00731DC9"/>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0"/>
      <w:szCs w:val="20"/>
      <w:lang w:val="x-none" w:eastAsia="x-none"/>
    </w:rPr>
  </w:style>
  <w:style w:type="character" w:customStyle="1" w:styleId="CytatintensywnyZnak">
    <w:name w:val="Cytat intensywny Znak"/>
    <w:basedOn w:val="Domylnaczcionkaakapitu"/>
    <w:link w:val="Cytatintensywny"/>
    <w:uiPriority w:val="30"/>
    <w:rsid w:val="00731DC9"/>
    <w:rPr>
      <w:rFonts w:ascii="Times New Roman" w:eastAsia="Times New Roman" w:hAnsi="Times New Roman" w:cs="Times New Roman"/>
      <w:b/>
      <w:bCs/>
      <w:i/>
      <w:iCs/>
      <w:color w:val="4F81BD"/>
      <w:sz w:val="20"/>
      <w:szCs w:val="20"/>
      <w:lang w:val="x-none" w:eastAsia="x-none"/>
    </w:rPr>
  </w:style>
  <w:style w:type="character" w:customStyle="1" w:styleId="SPistabelZnak">
    <w:name w:val="SPis tabel Znak"/>
    <w:link w:val="SPistabel"/>
    <w:rsid w:val="00731DC9"/>
    <w:rPr>
      <w:rFonts w:ascii="Arial" w:eastAsia="Times New Roman" w:hAnsi="Arial" w:cs="Times New Roman"/>
      <w:b/>
      <w:bCs/>
      <w:iCs/>
      <w:sz w:val="20"/>
      <w:szCs w:val="24"/>
      <w:lang w:val="x-none" w:eastAsia="x-none"/>
    </w:rPr>
  </w:style>
  <w:style w:type="character" w:customStyle="1" w:styleId="apple-converted-space">
    <w:name w:val="apple-converted-space"/>
    <w:rsid w:val="00731DC9"/>
  </w:style>
  <w:style w:type="character" w:styleId="Uwydatnienie">
    <w:name w:val="Emphasis"/>
    <w:aliases w:val="PZI-KURYWA,Kursywa"/>
    <w:uiPriority w:val="20"/>
    <w:qFormat/>
    <w:rsid w:val="00731DC9"/>
    <w:rPr>
      <w:i/>
      <w:iCs/>
    </w:rPr>
  </w:style>
  <w:style w:type="character" w:customStyle="1" w:styleId="mw-headline">
    <w:name w:val="mw-headline"/>
    <w:rsid w:val="00731DC9"/>
  </w:style>
  <w:style w:type="character" w:customStyle="1" w:styleId="mw-editsection1">
    <w:name w:val="mw-editsection1"/>
    <w:rsid w:val="00731DC9"/>
    <w:rPr>
      <w:sz w:val="20"/>
      <w:szCs w:val="20"/>
    </w:rPr>
  </w:style>
  <w:style w:type="character" w:customStyle="1" w:styleId="mw-editsection-bracket">
    <w:name w:val="mw-editsection-bracket"/>
    <w:rsid w:val="00731DC9"/>
  </w:style>
  <w:style w:type="character" w:customStyle="1" w:styleId="mw-editsection-divider">
    <w:name w:val="mw-editsection-divider"/>
    <w:rsid w:val="00731DC9"/>
  </w:style>
  <w:style w:type="character" w:customStyle="1" w:styleId="TematkomentarzaZnak">
    <w:name w:val="Temat komentarza Znak"/>
    <w:link w:val="Tematkomentarza"/>
    <w:uiPriority w:val="99"/>
    <w:qFormat/>
    <w:rsid w:val="00731DC9"/>
    <w:rPr>
      <w:rFonts w:ascii="Arial" w:hAnsi="Arial"/>
      <w:b/>
      <w:bCs/>
    </w:rPr>
  </w:style>
  <w:style w:type="paragraph" w:styleId="Tematkomentarza">
    <w:name w:val="annotation subject"/>
    <w:basedOn w:val="Tekstkomentarza"/>
    <w:next w:val="Tekstkomentarza"/>
    <w:link w:val="TematkomentarzaZnak"/>
    <w:uiPriority w:val="99"/>
    <w:unhideWhenUsed/>
    <w:qFormat/>
    <w:rsid w:val="00731DC9"/>
    <w:pPr>
      <w:jc w:val="left"/>
    </w:pPr>
    <w:rPr>
      <w:rFonts w:eastAsiaTheme="minorHAnsi" w:cstheme="minorBidi"/>
      <w:b/>
      <w:bCs/>
      <w:sz w:val="22"/>
      <w:szCs w:val="22"/>
      <w:lang w:val="pl-PL" w:eastAsia="en-US"/>
    </w:rPr>
  </w:style>
  <w:style w:type="character" w:customStyle="1" w:styleId="TematkomentarzaZnak1">
    <w:name w:val="Temat komentarza Znak1"/>
    <w:basedOn w:val="TekstkomentarzaZnak"/>
    <w:uiPriority w:val="99"/>
    <w:rsid w:val="00731DC9"/>
    <w:rPr>
      <w:rFonts w:ascii="Arial" w:eastAsia="Times New Roman" w:hAnsi="Arial" w:cs="Times New Roman"/>
      <w:b/>
      <w:bCs/>
      <w:sz w:val="20"/>
      <w:szCs w:val="20"/>
      <w:lang w:val="x-none" w:eastAsia="x-none"/>
    </w:rPr>
  </w:style>
  <w:style w:type="paragraph" w:styleId="Tekstpodstawowy2">
    <w:name w:val="Body Text 2"/>
    <w:aliases w:val="Nagłowek Tabeli,Podpis rysunku"/>
    <w:basedOn w:val="Normalny"/>
    <w:link w:val="Tekstpodstawowy2Znak"/>
    <w:unhideWhenUsed/>
    <w:qFormat/>
    <w:rsid w:val="00731DC9"/>
    <w:pPr>
      <w:spacing w:after="120" w:line="480" w:lineRule="auto"/>
    </w:pPr>
    <w:rPr>
      <w:rFonts w:eastAsia="Times New Roman" w:cs="Times New Roman"/>
      <w:szCs w:val="20"/>
      <w:lang w:val="x-none" w:eastAsia="x-none"/>
    </w:rPr>
  </w:style>
  <w:style w:type="character" w:customStyle="1" w:styleId="Tekstpodstawowy2Znak">
    <w:name w:val="Tekst podstawowy 2 Znak"/>
    <w:aliases w:val="Nagłowek Tabeli Znak1,Podpis rysunku Znak1"/>
    <w:basedOn w:val="Domylnaczcionkaakapitu"/>
    <w:link w:val="Tekstpodstawowy2"/>
    <w:qFormat/>
    <w:rsid w:val="00731DC9"/>
    <w:rPr>
      <w:rFonts w:ascii="Arial" w:eastAsia="Times New Roman" w:hAnsi="Arial" w:cs="Times New Roman"/>
      <w:sz w:val="24"/>
      <w:szCs w:val="20"/>
      <w:lang w:val="x-none" w:eastAsia="x-none"/>
    </w:rPr>
  </w:style>
  <w:style w:type="paragraph" w:styleId="Listapunktowana">
    <w:name w:val="List Bullet"/>
    <w:aliases w:val="Lista punktowana 1"/>
    <w:basedOn w:val="Tekstpodstawowy"/>
    <w:link w:val="ListapunktowanaZnak"/>
    <w:autoRedefine/>
    <w:qFormat/>
    <w:rsid w:val="00731DC9"/>
    <w:pPr>
      <w:tabs>
        <w:tab w:val="num" w:pos="360"/>
        <w:tab w:val="left" w:pos="709"/>
      </w:tabs>
      <w:spacing w:before="120"/>
      <w:ind w:left="357" w:hanging="357"/>
    </w:pPr>
    <w:rPr>
      <w:snapToGrid w:val="0"/>
      <w:szCs w:val="24"/>
      <w:lang w:val="x-none" w:eastAsia="x-none"/>
    </w:rPr>
  </w:style>
  <w:style w:type="paragraph" w:customStyle="1" w:styleId="Listanumerycznaznawiasem">
    <w:name w:val="Lista numeryczna z nawiasem"/>
    <w:basedOn w:val="Normalny"/>
    <w:rsid w:val="00731DC9"/>
    <w:pPr>
      <w:tabs>
        <w:tab w:val="num" w:pos="360"/>
      </w:tabs>
      <w:spacing w:after="20" w:line="264" w:lineRule="auto"/>
      <w:ind w:left="360" w:hanging="360"/>
      <w:jc w:val="both"/>
    </w:pPr>
    <w:rPr>
      <w:rFonts w:eastAsia="Times New Roman" w:cs="Times New Roman"/>
      <w:color w:val="000000"/>
      <w:sz w:val="20"/>
      <w:szCs w:val="20"/>
      <w:lang w:eastAsia="pl-PL"/>
    </w:rPr>
  </w:style>
  <w:style w:type="paragraph" w:customStyle="1" w:styleId="Tab-Tre-rodek1">
    <w:name w:val="Tab-Treść-Środek1"/>
    <w:basedOn w:val="Body"/>
    <w:rsid w:val="00731DC9"/>
    <w:pPr>
      <w:jc w:val="center"/>
    </w:pPr>
  </w:style>
  <w:style w:type="paragraph" w:customStyle="1" w:styleId="Body">
    <w:name w:val="Body"/>
    <w:basedOn w:val="Normalny"/>
    <w:link w:val="BodyZnak1"/>
    <w:uiPriority w:val="99"/>
    <w:rsid w:val="00731DC9"/>
    <w:pPr>
      <w:spacing w:after="0" w:line="240" w:lineRule="auto"/>
    </w:pPr>
    <w:rPr>
      <w:rFonts w:ascii="Helvetica" w:eastAsia="Times New Roman" w:hAnsi="Helvetica" w:cs="Times New Roman"/>
      <w:sz w:val="22"/>
      <w:szCs w:val="24"/>
      <w:lang w:eastAsia="pl-PL"/>
    </w:rPr>
  </w:style>
  <w:style w:type="paragraph" w:customStyle="1" w:styleId="BodyText22">
    <w:name w:val="Body Text 22"/>
    <w:basedOn w:val="Normalny"/>
    <w:rsid w:val="00731DC9"/>
    <w:pPr>
      <w:widowControl w:val="0"/>
      <w:overflowPunct w:val="0"/>
      <w:autoSpaceDE w:val="0"/>
      <w:autoSpaceDN w:val="0"/>
      <w:adjustRightInd w:val="0"/>
      <w:spacing w:after="0" w:line="360" w:lineRule="auto"/>
      <w:jc w:val="both"/>
    </w:pPr>
    <w:rPr>
      <w:rFonts w:eastAsia="Times New Roman" w:cs="Times New Roman"/>
      <w:szCs w:val="20"/>
      <w:lang w:eastAsia="pl-PL"/>
    </w:rPr>
  </w:style>
  <w:style w:type="paragraph" w:customStyle="1" w:styleId="HTML-wstpniesformatowany1">
    <w:name w:val="HTML - wstępnie sformatowany1"/>
    <w:basedOn w:val="Normalny"/>
    <w:rsid w:val="00731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eastAsia="pl-PL"/>
    </w:rPr>
  </w:style>
  <w:style w:type="paragraph" w:customStyle="1" w:styleId="xl35">
    <w:name w:val="xl35"/>
    <w:basedOn w:val="Normalny"/>
    <w:rsid w:val="00731DC9"/>
    <w:pPr>
      <w:pBdr>
        <w:left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Cs w:val="20"/>
      <w:lang w:eastAsia="pl-PL"/>
    </w:rPr>
  </w:style>
  <w:style w:type="paragraph" w:customStyle="1" w:styleId="xl28">
    <w:name w:val="xl28"/>
    <w:basedOn w:val="Normalny"/>
    <w:qFormat/>
    <w:rsid w:val="00731DC9"/>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Tekstpodstawowy31">
    <w:name w:val="Tekst podstawowy 31"/>
    <w:basedOn w:val="Normalny"/>
    <w:rsid w:val="00731DC9"/>
    <w:pPr>
      <w:overflowPunct w:val="0"/>
      <w:autoSpaceDE w:val="0"/>
      <w:autoSpaceDN w:val="0"/>
      <w:adjustRightInd w:val="0"/>
      <w:spacing w:after="0" w:line="360" w:lineRule="auto"/>
      <w:textAlignment w:val="baseline"/>
    </w:pPr>
    <w:rPr>
      <w:rFonts w:ascii="Times New Roman" w:eastAsia="Times New Roman" w:hAnsi="Times New Roman" w:cs="Times New Roman"/>
      <w:b/>
      <w:szCs w:val="20"/>
      <w:lang w:eastAsia="pl-PL"/>
    </w:rPr>
  </w:style>
  <w:style w:type="paragraph" w:customStyle="1" w:styleId="xl26">
    <w:name w:val="xl26"/>
    <w:basedOn w:val="Normalny"/>
    <w:qFormat/>
    <w:rsid w:val="00731DC9"/>
    <w:pPr>
      <w:overflowPunct w:val="0"/>
      <w:autoSpaceDE w:val="0"/>
      <w:autoSpaceDN w:val="0"/>
      <w:adjustRightInd w:val="0"/>
      <w:spacing w:before="100" w:after="100" w:line="240" w:lineRule="auto"/>
      <w:jc w:val="center"/>
      <w:textAlignment w:val="baseline"/>
    </w:pPr>
    <w:rPr>
      <w:rFonts w:eastAsia="Times New Roman" w:cs="Times New Roman"/>
      <w:b/>
      <w:szCs w:val="20"/>
      <w:lang w:eastAsia="pl-PL"/>
    </w:rPr>
  </w:style>
  <w:style w:type="paragraph" w:styleId="Tekstpodstawowywcity3">
    <w:name w:val="Body Text Indent 3"/>
    <w:basedOn w:val="Normalny"/>
    <w:link w:val="Tekstpodstawowywcity3Znak"/>
    <w:rsid w:val="00731DC9"/>
    <w:pPr>
      <w:spacing w:after="0" w:line="240" w:lineRule="auto"/>
      <w:ind w:firstLine="709"/>
      <w:jc w:val="both"/>
    </w:pPr>
    <w:rPr>
      <w:rFonts w:ascii="Times New Roman" w:eastAsia="Times New Roman" w:hAnsi="Times New Roman" w:cs="Times New Roman"/>
      <w:szCs w:val="20"/>
      <w:lang w:val="x-none" w:eastAsia="x-none"/>
    </w:rPr>
  </w:style>
  <w:style w:type="character" w:customStyle="1" w:styleId="Tekstpodstawowywcity3Znak">
    <w:name w:val="Tekst podstawowy wcięty 3 Znak"/>
    <w:basedOn w:val="Domylnaczcionkaakapitu"/>
    <w:link w:val="Tekstpodstawowywcity3"/>
    <w:rsid w:val="00731DC9"/>
    <w:rPr>
      <w:rFonts w:ascii="Times New Roman" w:eastAsia="Times New Roman" w:hAnsi="Times New Roman" w:cs="Times New Roman"/>
      <w:sz w:val="24"/>
      <w:szCs w:val="20"/>
      <w:lang w:val="x-none" w:eastAsia="x-none"/>
    </w:rPr>
  </w:style>
  <w:style w:type="paragraph" w:customStyle="1" w:styleId="TabellenText">
    <w:name w:val="Tabellen Text"/>
    <w:qFormat/>
    <w:rsid w:val="00731DC9"/>
    <w:pPr>
      <w:spacing w:before="60" w:after="0" w:line="240" w:lineRule="auto"/>
      <w:jc w:val="both"/>
    </w:pPr>
    <w:rPr>
      <w:rFonts w:ascii="Arial" w:eastAsia="Times New Roman" w:hAnsi="Arial" w:cs="Times New Roman"/>
      <w:snapToGrid w:val="0"/>
      <w:color w:val="000000"/>
      <w:sz w:val="20"/>
      <w:szCs w:val="20"/>
      <w:lang w:val="de-DE" w:eastAsia="pl-PL"/>
    </w:rPr>
  </w:style>
  <w:style w:type="paragraph" w:customStyle="1" w:styleId="Znak">
    <w:name w:val="Znak"/>
    <w:basedOn w:val="Normalny"/>
    <w:rsid w:val="00731DC9"/>
    <w:pPr>
      <w:tabs>
        <w:tab w:val="left" w:pos="709"/>
      </w:tabs>
      <w:spacing w:after="0" w:line="240" w:lineRule="auto"/>
    </w:pPr>
    <w:rPr>
      <w:rFonts w:ascii="Tahoma" w:eastAsia="Times New Roman" w:hAnsi="Tahoma" w:cs="Tahoma"/>
      <w:szCs w:val="24"/>
      <w:lang w:eastAsia="pl-PL"/>
    </w:rPr>
  </w:style>
  <w:style w:type="character" w:customStyle="1" w:styleId="Heading1Char">
    <w:name w:val="Heading 1 Char"/>
    <w:uiPriority w:val="99"/>
    <w:qFormat/>
    <w:locked/>
    <w:rsid w:val="00731DC9"/>
    <w:rPr>
      <w:rFonts w:ascii="Times New Roman" w:hAnsi="Times New Roman" w:cs="Times New Roman"/>
      <w:i/>
      <w:iCs/>
      <w:sz w:val="24"/>
      <w:szCs w:val="24"/>
      <w:lang w:eastAsia="pl-PL"/>
    </w:rPr>
  </w:style>
  <w:style w:type="character" w:customStyle="1" w:styleId="Heading2Char">
    <w:name w:val="Heading 2 Char"/>
    <w:locked/>
    <w:rsid w:val="00731DC9"/>
    <w:rPr>
      <w:rFonts w:ascii="Times New Roman" w:hAnsi="Times New Roman" w:cs="Times New Roman"/>
      <w:b/>
      <w:bCs/>
      <w:sz w:val="24"/>
      <w:szCs w:val="24"/>
      <w:lang w:eastAsia="pl-PL"/>
    </w:rPr>
  </w:style>
  <w:style w:type="character" w:customStyle="1" w:styleId="Heading3Char">
    <w:name w:val="Heading 3 Char"/>
    <w:locked/>
    <w:rsid w:val="00731DC9"/>
    <w:rPr>
      <w:rFonts w:ascii="Times New Roman" w:hAnsi="Times New Roman" w:cs="Times New Roman"/>
      <w:sz w:val="20"/>
      <w:szCs w:val="20"/>
      <w:lang w:eastAsia="pl-PL"/>
    </w:rPr>
  </w:style>
  <w:style w:type="character" w:customStyle="1" w:styleId="Heading4Char">
    <w:name w:val="Heading 4 Char"/>
    <w:locked/>
    <w:rsid w:val="00731DC9"/>
    <w:rPr>
      <w:rFonts w:ascii="Arial" w:hAnsi="Arial" w:cs="Arial"/>
      <w:b/>
      <w:bCs/>
      <w:sz w:val="28"/>
      <w:szCs w:val="28"/>
      <w:lang w:eastAsia="pl-PL"/>
    </w:rPr>
  </w:style>
  <w:style w:type="character" w:customStyle="1" w:styleId="Heading5Char">
    <w:name w:val="Heading 5 Char"/>
    <w:locked/>
    <w:rsid w:val="00731DC9"/>
    <w:rPr>
      <w:rFonts w:ascii="Calibri" w:hAnsi="Calibri" w:cs="Times New Roman"/>
      <w:b/>
      <w:bCs/>
      <w:i/>
      <w:iCs/>
      <w:sz w:val="26"/>
      <w:szCs w:val="26"/>
      <w:lang w:eastAsia="pl-PL"/>
    </w:rPr>
  </w:style>
  <w:style w:type="character" w:customStyle="1" w:styleId="Heading6Char">
    <w:name w:val="Heading 6 Char"/>
    <w:locked/>
    <w:rsid w:val="00731DC9"/>
    <w:rPr>
      <w:rFonts w:ascii="Times New Roman" w:hAnsi="Times New Roman" w:cs="Times New Roman"/>
      <w:b/>
      <w:color w:val="FF6600"/>
      <w:sz w:val="20"/>
      <w:szCs w:val="20"/>
      <w:lang w:eastAsia="pl-PL"/>
    </w:rPr>
  </w:style>
  <w:style w:type="character" w:customStyle="1" w:styleId="Heading7Char">
    <w:name w:val="Heading 7 Char"/>
    <w:locked/>
    <w:rsid w:val="00731DC9"/>
    <w:rPr>
      <w:rFonts w:ascii="Helvetica" w:hAnsi="Helvetica" w:cs="Times New Roman"/>
      <w:sz w:val="24"/>
      <w:szCs w:val="24"/>
      <w:lang w:eastAsia="pl-PL"/>
    </w:rPr>
  </w:style>
  <w:style w:type="character" w:customStyle="1" w:styleId="Heading8Char">
    <w:name w:val="Heading 8 Char"/>
    <w:locked/>
    <w:rsid w:val="00731DC9"/>
    <w:rPr>
      <w:rFonts w:ascii="Helvetica" w:hAnsi="Helvetica" w:cs="Times New Roman"/>
      <w:i/>
      <w:iCs/>
      <w:sz w:val="24"/>
      <w:szCs w:val="24"/>
      <w:lang w:eastAsia="pl-PL"/>
    </w:rPr>
  </w:style>
  <w:style w:type="character" w:customStyle="1" w:styleId="BodyTextChar">
    <w:name w:val="Body Text Char"/>
    <w:locked/>
    <w:rsid w:val="00731DC9"/>
    <w:rPr>
      <w:rFonts w:ascii="Arial" w:hAnsi="Arial" w:cs="Times New Roman"/>
      <w:sz w:val="20"/>
      <w:szCs w:val="20"/>
      <w:lang w:eastAsia="pl-PL"/>
    </w:rPr>
  </w:style>
  <w:style w:type="character" w:customStyle="1" w:styleId="HeaderChar">
    <w:name w:val="Header Char"/>
    <w:locked/>
    <w:rsid w:val="00731DC9"/>
    <w:rPr>
      <w:rFonts w:ascii="Arial" w:hAnsi="Arial" w:cs="Times New Roman"/>
      <w:sz w:val="20"/>
      <w:szCs w:val="20"/>
      <w:lang w:eastAsia="pl-PL"/>
    </w:rPr>
  </w:style>
  <w:style w:type="character" w:customStyle="1" w:styleId="BodyText3Char">
    <w:name w:val="Body Text 3 Char"/>
    <w:locked/>
    <w:rsid w:val="00731DC9"/>
    <w:rPr>
      <w:rFonts w:ascii="Times New Roman" w:hAnsi="Times New Roman" w:cs="Times New Roman"/>
      <w:b/>
      <w:bCs/>
      <w:sz w:val="24"/>
      <w:szCs w:val="24"/>
      <w:lang w:eastAsia="pl-PL"/>
    </w:rPr>
  </w:style>
  <w:style w:type="character" w:customStyle="1" w:styleId="FooterChar">
    <w:name w:val="Footer Char"/>
    <w:locked/>
    <w:rsid w:val="00731DC9"/>
    <w:rPr>
      <w:rFonts w:ascii="Times New Roman" w:hAnsi="Times New Roman" w:cs="Times New Roman"/>
      <w:sz w:val="24"/>
      <w:szCs w:val="24"/>
      <w:lang w:eastAsia="pl-PL"/>
    </w:rPr>
  </w:style>
  <w:style w:type="character" w:customStyle="1" w:styleId="BodyText2Char">
    <w:name w:val="Body Text 2 Char"/>
    <w:locked/>
    <w:rsid w:val="00731DC9"/>
    <w:rPr>
      <w:rFonts w:ascii="Times New Roman" w:hAnsi="Times New Roman" w:cs="Times New Roman"/>
      <w:sz w:val="24"/>
      <w:szCs w:val="24"/>
      <w:lang w:eastAsia="pl-PL"/>
    </w:rPr>
  </w:style>
  <w:style w:type="character" w:customStyle="1" w:styleId="BodyTextIndentChar">
    <w:name w:val="Body Text Indent Char"/>
    <w:locked/>
    <w:rsid w:val="00731DC9"/>
    <w:rPr>
      <w:rFonts w:ascii="Times New Roman" w:hAnsi="Times New Roman" w:cs="Times New Roman"/>
      <w:sz w:val="20"/>
      <w:szCs w:val="20"/>
      <w:lang w:eastAsia="pl-PL"/>
    </w:rPr>
  </w:style>
  <w:style w:type="character" w:customStyle="1" w:styleId="BodyTextIndent2Char">
    <w:name w:val="Body Text Indent 2 Char"/>
    <w:locked/>
    <w:rsid w:val="00731DC9"/>
    <w:rPr>
      <w:rFonts w:ascii="Times New Roman" w:hAnsi="Times New Roman" w:cs="Times New Roman"/>
      <w:sz w:val="24"/>
      <w:szCs w:val="24"/>
      <w:lang w:eastAsia="pl-PL"/>
    </w:rPr>
  </w:style>
  <w:style w:type="character" w:customStyle="1" w:styleId="BodyTextIndent3Char">
    <w:name w:val="Body Text Indent 3 Char"/>
    <w:locked/>
    <w:rsid w:val="00731DC9"/>
    <w:rPr>
      <w:rFonts w:ascii="Times New Roman" w:hAnsi="Times New Roman" w:cs="Times New Roman"/>
      <w:sz w:val="20"/>
      <w:szCs w:val="20"/>
      <w:lang w:eastAsia="pl-PL"/>
    </w:rPr>
  </w:style>
  <w:style w:type="character" w:customStyle="1" w:styleId="TitleChar">
    <w:name w:val="Title Char"/>
    <w:locked/>
    <w:rsid w:val="00731DC9"/>
    <w:rPr>
      <w:rFonts w:ascii="Times New Roman" w:hAnsi="Times New Roman" w:cs="Times New Roman"/>
      <w:b/>
      <w:sz w:val="20"/>
      <w:szCs w:val="20"/>
      <w:lang w:eastAsia="pl-PL"/>
    </w:rPr>
  </w:style>
  <w:style w:type="paragraph" w:customStyle="1" w:styleId="AkapitR">
    <w:name w:val="Akapit R"/>
    <w:basedOn w:val="Normalny"/>
    <w:link w:val="AkapitRZnak1"/>
    <w:rsid w:val="00731DC9"/>
    <w:pPr>
      <w:spacing w:before="120" w:after="0" w:line="240" w:lineRule="auto"/>
      <w:jc w:val="both"/>
    </w:pPr>
    <w:rPr>
      <w:rFonts w:ascii="Trebuchet MS" w:eastAsia="Times New Roman" w:hAnsi="Trebuchet MS" w:cs="Times New Roman"/>
      <w:szCs w:val="24"/>
      <w:lang w:eastAsia="pl-PL"/>
    </w:rPr>
  </w:style>
  <w:style w:type="paragraph" w:customStyle="1" w:styleId="Gwnytekst">
    <w:name w:val="Główny tekst"/>
    <w:basedOn w:val="Normalny"/>
    <w:rsid w:val="00731DC9"/>
    <w:pPr>
      <w:spacing w:before="240" w:after="0" w:line="360" w:lineRule="auto"/>
      <w:jc w:val="both"/>
    </w:pPr>
    <w:rPr>
      <w:rFonts w:ascii="Times New Roman" w:eastAsia="Times New Roman" w:hAnsi="Times New Roman" w:cs="Times New Roman"/>
      <w:szCs w:val="24"/>
      <w:lang w:eastAsia="pl-PL"/>
    </w:rPr>
  </w:style>
  <w:style w:type="paragraph" w:customStyle="1" w:styleId="Standardowy1">
    <w:name w:val="Standardowy1"/>
    <w:basedOn w:val="Normalny"/>
    <w:uiPriority w:val="99"/>
    <w:qFormat/>
    <w:rsid w:val="00731DC9"/>
    <w:pPr>
      <w:keepNext/>
      <w:spacing w:after="120" w:line="270" w:lineRule="atLeast"/>
      <w:ind w:firstLine="709"/>
      <w:jc w:val="both"/>
    </w:pPr>
    <w:rPr>
      <w:rFonts w:ascii="Times New Roman" w:eastAsia="Times New Roman" w:hAnsi="Times New Roman" w:cs="Times New Roman"/>
      <w:color w:val="000000"/>
      <w:sz w:val="23"/>
      <w:szCs w:val="20"/>
      <w:lang w:eastAsia="pl-PL"/>
    </w:rPr>
  </w:style>
  <w:style w:type="paragraph" w:customStyle="1" w:styleId="Bezodstpw1">
    <w:name w:val="Bez odstępów1"/>
    <w:qFormat/>
    <w:rsid w:val="00731DC9"/>
    <w:pPr>
      <w:suppressAutoHyphens/>
      <w:spacing w:after="0" w:line="240" w:lineRule="auto"/>
      <w:jc w:val="center"/>
    </w:pPr>
    <w:rPr>
      <w:rFonts w:ascii="Calibri" w:eastAsia="Times New Roman" w:hAnsi="Calibri" w:cs="Calibri"/>
      <w:lang w:eastAsia="ar-SA"/>
    </w:rPr>
  </w:style>
  <w:style w:type="paragraph" w:customStyle="1" w:styleId="Poziom3pz">
    <w:name w:val="Poziom 3 pz"/>
    <w:basedOn w:val="Normalny"/>
    <w:link w:val="Poziom3pzZnak1"/>
    <w:qFormat/>
    <w:rsid w:val="00731DC9"/>
    <w:pPr>
      <w:overflowPunct w:val="0"/>
      <w:autoSpaceDE w:val="0"/>
      <w:autoSpaceDN w:val="0"/>
      <w:adjustRightInd w:val="0"/>
      <w:spacing w:after="80" w:line="300" w:lineRule="exact"/>
      <w:ind w:left="284" w:firstLine="284"/>
      <w:jc w:val="both"/>
      <w:textAlignment w:val="baseline"/>
    </w:pPr>
    <w:rPr>
      <w:rFonts w:eastAsia="Times New Roman" w:cs="Times New Roman"/>
      <w:sz w:val="22"/>
      <w:szCs w:val="20"/>
      <w:lang w:val="x-none" w:eastAsia="x-none"/>
    </w:rPr>
  </w:style>
  <w:style w:type="paragraph" w:customStyle="1" w:styleId="S1i2pz">
    <w:name w:val="S 1 i 2 pz"/>
    <w:basedOn w:val="Normalny"/>
    <w:qFormat/>
    <w:rsid w:val="00731DC9"/>
    <w:pPr>
      <w:numPr>
        <w:numId w:val="2"/>
      </w:numPr>
      <w:tabs>
        <w:tab w:val="left" w:pos="284"/>
      </w:tabs>
      <w:overflowPunct w:val="0"/>
      <w:autoSpaceDE w:val="0"/>
      <w:autoSpaceDN w:val="0"/>
      <w:adjustRightInd w:val="0"/>
      <w:spacing w:after="80" w:line="300" w:lineRule="exact"/>
      <w:jc w:val="both"/>
      <w:textAlignment w:val="baseline"/>
    </w:pPr>
    <w:rPr>
      <w:rFonts w:eastAsia="Times New Roman" w:cs="Times New Roman"/>
      <w:sz w:val="22"/>
      <w:szCs w:val="20"/>
      <w:lang w:eastAsia="pl-PL"/>
    </w:rPr>
  </w:style>
  <w:style w:type="character" w:customStyle="1" w:styleId="Poziom3pzZnak1">
    <w:name w:val="Poziom 3 pz Znak1"/>
    <w:link w:val="Poziom3pz"/>
    <w:qFormat/>
    <w:locked/>
    <w:rsid w:val="00731DC9"/>
    <w:rPr>
      <w:rFonts w:ascii="Arial" w:eastAsia="Times New Roman" w:hAnsi="Arial" w:cs="Times New Roman"/>
      <w:szCs w:val="20"/>
      <w:lang w:val="x-none" w:eastAsia="x-none"/>
    </w:rPr>
  </w:style>
  <w:style w:type="paragraph" w:customStyle="1" w:styleId="S3pz">
    <w:name w:val="S 3 pz"/>
    <w:basedOn w:val="S1i2pz"/>
    <w:qFormat/>
    <w:rsid w:val="00731DC9"/>
    <w:pPr>
      <w:numPr>
        <w:numId w:val="0"/>
      </w:numPr>
      <w:tabs>
        <w:tab w:val="clear" w:pos="284"/>
        <w:tab w:val="left" w:pos="567"/>
        <w:tab w:val="num" w:pos="720"/>
      </w:tabs>
      <w:ind w:left="567" w:hanging="283"/>
    </w:pPr>
    <w:rPr>
      <w:lang w:val="x-none" w:eastAsia="x-none"/>
    </w:rPr>
  </w:style>
  <w:style w:type="paragraph" w:customStyle="1" w:styleId="just">
    <w:name w:val="just"/>
    <w:basedOn w:val="Normalny"/>
    <w:rsid w:val="00731DC9"/>
    <w:pPr>
      <w:spacing w:before="45" w:after="45" w:line="240" w:lineRule="auto"/>
      <w:jc w:val="both"/>
    </w:pPr>
    <w:rPr>
      <w:rFonts w:ascii="Arial Unicode MS" w:eastAsia="Arial Unicode MS" w:hAnsi="Times New Roman" w:cs="Arial Unicode MS"/>
      <w:szCs w:val="24"/>
      <w:lang w:eastAsia="pl-PL"/>
    </w:rPr>
  </w:style>
  <w:style w:type="paragraph" w:customStyle="1" w:styleId="W3pz">
    <w:name w:val="W 3 pz"/>
    <w:basedOn w:val="Normalny"/>
    <w:qFormat/>
    <w:rsid w:val="00731DC9"/>
    <w:pPr>
      <w:tabs>
        <w:tab w:val="left" w:pos="360"/>
      </w:tabs>
      <w:overflowPunct w:val="0"/>
      <w:autoSpaceDE w:val="0"/>
      <w:autoSpaceDN w:val="0"/>
      <w:adjustRightInd w:val="0"/>
      <w:spacing w:after="80" w:line="300" w:lineRule="exact"/>
      <w:ind w:left="641" w:hanging="357"/>
      <w:jc w:val="both"/>
      <w:textAlignment w:val="baseline"/>
    </w:pPr>
    <w:rPr>
      <w:rFonts w:eastAsia="Times New Roman" w:cs="Times New Roman"/>
      <w:sz w:val="22"/>
      <w:szCs w:val="20"/>
      <w:lang w:eastAsia="pl-PL"/>
    </w:rPr>
  </w:style>
  <w:style w:type="paragraph" w:customStyle="1" w:styleId="Styl">
    <w:name w:val="Styl"/>
    <w:qFormat/>
    <w:rsid w:val="00731DC9"/>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styleId="Odwoaniedokomentarza">
    <w:name w:val="annotation reference"/>
    <w:uiPriority w:val="99"/>
    <w:unhideWhenUsed/>
    <w:qFormat/>
    <w:rsid w:val="00731DC9"/>
    <w:rPr>
      <w:sz w:val="16"/>
      <w:szCs w:val="16"/>
    </w:rPr>
  </w:style>
  <w:style w:type="paragraph" w:styleId="Poprawka">
    <w:name w:val="Revision"/>
    <w:hidden/>
    <w:uiPriority w:val="99"/>
    <w:semiHidden/>
    <w:qFormat/>
    <w:rsid w:val="00731DC9"/>
    <w:pPr>
      <w:spacing w:after="0" w:line="240" w:lineRule="auto"/>
    </w:pPr>
    <w:rPr>
      <w:rFonts w:ascii="Times New Roman" w:eastAsia="Times New Roman" w:hAnsi="Times New Roman" w:cs="Times New Roman"/>
      <w:sz w:val="20"/>
      <w:szCs w:val="20"/>
      <w:lang w:eastAsia="pl-PL"/>
    </w:rPr>
  </w:style>
  <w:style w:type="paragraph" w:customStyle="1" w:styleId="podstawowy">
    <w:name w:val="podstawowy"/>
    <w:basedOn w:val="Tekstpodstawowy"/>
    <w:link w:val="podstawowyZnak"/>
    <w:rsid w:val="00731DC9"/>
    <w:pPr>
      <w:spacing w:before="120" w:after="120" w:line="360" w:lineRule="auto"/>
    </w:pPr>
    <w:rPr>
      <w:rFonts w:ascii="Arial" w:hAnsi="Arial"/>
      <w:sz w:val="22"/>
      <w:szCs w:val="22"/>
      <w:lang w:val="x-none" w:eastAsia="x-none"/>
    </w:rPr>
  </w:style>
  <w:style w:type="character" w:customStyle="1" w:styleId="podstawowyZnak">
    <w:name w:val="podstawowy Znak"/>
    <w:link w:val="podstawowy"/>
    <w:locked/>
    <w:rsid w:val="00731DC9"/>
    <w:rPr>
      <w:rFonts w:ascii="Arial" w:eastAsia="Times New Roman" w:hAnsi="Arial" w:cs="Times New Roman"/>
      <w:lang w:val="x-none" w:eastAsia="x-none"/>
    </w:rPr>
  </w:style>
  <w:style w:type="paragraph" w:customStyle="1" w:styleId="tabela2">
    <w:name w:val="tabela 2"/>
    <w:basedOn w:val="Normalny"/>
    <w:link w:val="tabela2Znak"/>
    <w:qFormat/>
    <w:rsid w:val="00731DC9"/>
    <w:pPr>
      <w:overflowPunct w:val="0"/>
      <w:autoSpaceDE w:val="0"/>
      <w:autoSpaceDN w:val="0"/>
      <w:adjustRightInd w:val="0"/>
      <w:spacing w:before="40" w:after="40" w:line="240" w:lineRule="auto"/>
      <w:textAlignment w:val="baseline"/>
    </w:pPr>
    <w:rPr>
      <w:rFonts w:eastAsia="Times New Roman" w:cs="Times New Roman"/>
      <w:sz w:val="20"/>
      <w:szCs w:val="20"/>
    </w:rPr>
  </w:style>
  <w:style w:type="character" w:customStyle="1" w:styleId="tabela2Znak">
    <w:name w:val="tabela 2 Znak"/>
    <w:link w:val="tabela2"/>
    <w:locked/>
    <w:rsid w:val="00731DC9"/>
    <w:rPr>
      <w:rFonts w:ascii="Arial" w:eastAsia="Times New Roman" w:hAnsi="Arial" w:cs="Times New Roman"/>
      <w:sz w:val="20"/>
      <w:szCs w:val="20"/>
    </w:rPr>
  </w:style>
  <w:style w:type="paragraph" w:customStyle="1" w:styleId="msonormal0">
    <w:name w:val="msonormal"/>
    <w:basedOn w:val="Normalny"/>
    <w:uiPriority w:val="99"/>
    <w:rsid w:val="00731DC9"/>
    <w:pPr>
      <w:spacing w:before="100" w:beforeAutospacing="1" w:after="100" w:afterAutospacing="1" w:line="240" w:lineRule="auto"/>
    </w:pPr>
    <w:rPr>
      <w:rFonts w:ascii="Times New Roman" w:eastAsia="Times New Roman" w:hAnsi="Times New Roman" w:cs="Times New Roman"/>
      <w:szCs w:val="24"/>
      <w:lang w:eastAsia="pl-PL"/>
    </w:rPr>
  </w:style>
  <w:style w:type="paragraph" w:styleId="Spistreci1">
    <w:name w:val="toc 1"/>
    <w:aliases w:val="PZI-ST1"/>
    <w:basedOn w:val="Normalny"/>
    <w:next w:val="Normalny"/>
    <w:autoRedefine/>
    <w:uiPriority w:val="39"/>
    <w:unhideWhenUsed/>
    <w:qFormat/>
    <w:rsid w:val="00731DC9"/>
    <w:pPr>
      <w:tabs>
        <w:tab w:val="left" w:pos="567"/>
        <w:tab w:val="right" w:leader="dot" w:pos="9191"/>
      </w:tabs>
      <w:spacing w:after="100" w:line="240" w:lineRule="auto"/>
      <w:ind w:left="660" w:hanging="660"/>
      <w:jc w:val="both"/>
    </w:pPr>
    <w:rPr>
      <w:rFonts w:ascii="Arial Narrow" w:eastAsia="Times New Roman" w:hAnsi="Arial Narrow" w:cs="Times New Roman"/>
      <w:noProof/>
      <w:sz w:val="22"/>
      <w:lang w:eastAsia="pl-PL"/>
    </w:rPr>
  </w:style>
  <w:style w:type="character" w:customStyle="1" w:styleId="TekstprzypisudolnegoZnak1">
    <w:name w:val="Tekst przypisu dolnego Znak1"/>
    <w:aliases w:val="Tekst przypisu Znak1,Podrozdział Znak1"/>
    <w:uiPriority w:val="99"/>
    <w:semiHidden/>
    <w:rsid w:val="00731DC9"/>
    <w:rPr>
      <w:rFonts w:ascii="Calibri" w:eastAsia="Calibri" w:hAnsi="Calibri" w:cs="Times New Roman"/>
      <w:lang w:eastAsia="en-US"/>
    </w:rPr>
  </w:style>
  <w:style w:type="character" w:customStyle="1" w:styleId="NagwekZnak1">
    <w:name w:val="Nagłówek Znak1"/>
    <w:aliases w:val="Nagłówek strony Znak1,Nag³ówek strony Znak1,Nagłówek2 - 6 Znak1,Nagłówek - myślniki Znak1,Nagłówek_strona_tyt Znak1,Nagłówek strony 1 Znak1,Nag Znak Znak1,Nag Znak Znak Znak Znak Znak Znak1,Nag Znak1,Naglówek 3 Znak,Nagłówek strony1 Znak"/>
    <w:uiPriority w:val="99"/>
    <w:semiHidden/>
    <w:rsid w:val="00731DC9"/>
    <w:rPr>
      <w:rFonts w:ascii="Calibri" w:eastAsia="Calibri" w:hAnsi="Calibri" w:cs="Times New Roman"/>
      <w:sz w:val="22"/>
      <w:szCs w:val="22"/>
      <w:lang w:eastAsia="en-US"/>
    </w:rPr>
  </w:style>
  <w:style w:type="character" w:customStyle="1" w:styleId="BezodstpwZnak">
    <w:name w:val="Bez odstępów Znak"/>
    <w:aliases w:val="tabele Znak"/>
    <w:link w:val="Bezodstpw"/>
    <w:uiPriority w:val="1"/>
    <w:qFormat/>
    <w:locked/>
    <w:rsid w:val="00731DC9"/>
    <w:rPr>
      <w:rFonts w:ascii="Arial" w:hAnsi="Arial"/>
      <w:sz w:val="24"/>
    </w:rPr>
  </w:style>
  <w:style w:type="paragraph" w:styleId="Nagwekspisutreci">
    <w:name w:val="TOC Heading"/>
    <w:aliases w:val="PZI-ST_NAG"/>
    <w:basedOn w:val="Nagwek1"/>
    <w:next w:val="Normalny"/>
    <w:uiPriority w:val="39"/>
    <w:unhideWhenUsed/>
    <w:qFormat/>
    <w:rsid w:val="00731DC9"/>
    <w:pPr>
      <w:spacing w:before="120" w:after="120" w:line="276" w:lineRule="auto"/>
      <w:ind w:left="1065" w:hanging="705"/>
      <w:jc w:val="both"/>
      <w:outlineLvl w:val="9"/>
    </w:pPr>
    <w:rPr>
      <w:rFonts w:eastAsia="Times New Roman" w:cs="Arial"/>
      <w:b/>
      <w:bCs/>
      <w:sz w:val="22"/>
      <w:szCs w:val="22"/>
      <w:lang w:eastAsia="pl-PL"/>
    </w:rPr>
  </w:style>
  <w:style w:type="paragraph" w:customStyle="1" w:styleId="ust">
    <w:name w:val="ust"/>
    <w:uiPriority w:val="99"/>
    <w:rsid w:val="00731DC9"/>
    <w:pPr>
      <w:tabs>
        <w:tab w:val="num" w:pos="786"/>
      </w:tabs>
      <w:spacing w:before="60" w:after="60" w:line="240" w:lineRule="auto"/>
      <w:ind w:left="426" w:hanging="284"/>
      <w:jc w:val="both"/>
    </w:pPr>
    <w:rPr>
      <w:rFonts w:ascii="Times New Roman" w:eastAsia="Times New Roman" w:hAnsi="Times New Roman" w:cs="Times New Roman"/>
      <w:sz w:val="24"/>
      <w:szCs w:val="20"/>
    </w:rPr>
  </w:style>
  <w:style w:type="paragraph" w:customStyle="1" w:styleId="Style6">
    <w:name w:val="Style6"/>
    <w:basedOn w:val="Normalny"/>
    <w:uiPriority w:val="99"/>
    <w:rsid w:val="00731DC9"/>
    <w:pPr>
      <w:widowControl w:val="0"/>
      <w:autoSpaceDE w:val="0"/>
      <w:autoSpaceDN w:val="0"/>
      <w:adjustRightInd w:val="0"/>
      <w:spacing w:after="0" w:line="277" w:lineRule="exact"/>
      <w:ind w:firstLine="730"/>
      <w:jc w:val="both"/>
    </w:pPr>
    <w:rPr>
      <w:rFonts w:ascii="Candara" w:eastAsia="Times New Roman" w:hAnsi="Candara" w:cs="Times New Roman"/>
      <w:szCs w:val="24"/>
      <w:lang w:eastAsia="pl-PL"/>
    </w:rPr>
  </w:style>
  <w:style w:type="paragraph" w:customStyle="1" w:styleId="Rysunek">
    <w:name w:val="Rysunek"/>
    <w:basedOn w:val="Normalny"/>
    <w:autoRedefine/>
    <w:uiPriority w:val="99"/>
    <w:qFormat/>
    <w:rsid w:val="00731DC9"/>
    <w:pPr>
      <w:spacing w:before="120" w:after="120" w:line="360" w:lineRule="auto"/>
      <w:ind w:left="708" w:hanging="708"/>
      <w:jc w:val="both"/>
    </w:pPr>
    <w:rPr>
      <w:rFonts w:eastAsia="Times New Roman" w:cs="Arial"/>
      <w:sz w:val="22"/>
      <w:szCs w:val="20"/>
      <w:lang w:eastAsia="pl-PL"/>
    </w:rPr>
  </w:style>
  <w:style w:type="character" w:customStyle="1" w:styleId="akapitZnak3">
    <w:name w:val="akapit Znak3"/>
    <w:link w:val="akapit"/>
    <w:locked/>
    <w:rsid w:val="00731DC9"/>
    <w:rPr>
      <w:sz w:val="24"/>
      <w:lang w:val="x-none" w:eastAsia="x-none"/>
    </w:rPr>
  </w:style>
  <w:style w:type="paragraph" w:customStyle="1" w:styleId="akapit">
    <w:name w:val="akapit"/>
    <w:basedOn w:val="Normalny"/>
    <w:link w:val="akapitZnak3"/>
    <w:uiPriority w:val="99"/>
    <w:qFormat/>
    <w:rsid w:val="00731DC9"/>
    <w:pPr>
      <w:spacing w:before="60" w:after="60" w:line="336" w:lineRule="auto"/>
      <w:jc w:val="both"/>
    </w:pPr>
    <w:rPr>
      <w:rFonts w:asciiTheme="minorHAnsi" w:hAnsiTheme="minorHAnsi"/>
      <w:lang w:val="x-none" w:eastAsia="x-none"/>
    </w:rPr>
  </w:style>
  <w:style w:type="character" w:customStyle="1" w:styleId="spistabelZnak0">
    <w:name w:val="spis tabel Znak"/>
    <w:link w:val="spistabel0"/>
    <w:locked/>
    <w:rsid w:val="00731DC9"/>
    <w:rPr>
      <w:rFonts w:ascii="Arial" w:hAnsi="Arial" w:cs="Arial"/>
      <w:b/>
      <w:bCs/>
    </w:rPr>
  </w:style>
  <w:style w:type="paragraph" w:customStyle="1" w:styleId="spistabel0">
    <w:name w:val="spis tabel"/>
    <w:basedOn w:val="Normalny"/>
    <w:link w:val="spistabelZnak0"/>
    <w:qFormat/>
    <w:rsid w:val="00731DC9"/>
    <w:pPr>
      <w:keepNext/>
      <w:spacing w:before="240" w:after="0" w:line="276" w:lineRule="auto"/>
      <w:ind w:left="360" w:hanging="360"/>
      <w:jc w:val="both"/>
    </w:pPr>
    <w:rPr>
      <w:rFonts w:cs="Arial"/>
      <w:b/>
      <w:bCs/>
      <w:sz w:val="22"/>
    </w:rPr>
  </w:style>
  <w:style w:type="paragraph" w:customStyle="1" w:styleId="BATNumbering">
    <w:name w:val="BAT Numbering"/>
    <w:basedOn w:val="Normalny"/>
    <w:uiPriority w:val="99"/>
    <w:qFormat/>
    <w:rsid w:val="00731DC9"/>
    <w:pPr>
      <w:numPr>
        <w:numId w:val="3"/>
      </w:numPr>
      <w:tabs>
        <w:tab w:val="left" w:pos="0"/>
        <w:tab w:val="left" w:pos="1134"/>
      </w:tabs>
      <w:spacing w:before="40" w:after="40" w:line="240" w:lineRule="auto"/>
      <w:jc w:val="both"/>
    </w:pPr>
    <w:rPr>
      <w:rFonts w:ascii="Times New Roman Bold" w:eastAsia="Times New Roman" w:hAnsi="Times New Roman Bold" w:cs="Times New Roman"/>
      <w:b/>
      <w:sz w:val="22"/>
      <w:szCs w:val="24"/>
      <w:lang w:eastAsia="pl-PL" w:bidi="pl-PL"/>
    </w:rPr>
  </w:style>
  <w:style w:type="paragraph" w:customStyle="1" w:styleId="WW-Tekstpodstawowywcity2">
    <w:name w:val="WW-Tekst podstawowy wcięty 2"/>
    <w:basedOn w:val="Normalny"/>
    <w:uiPriority w:val="99"/>
    <w:rsid w:val="00731DC9"/>
    <w:pPr>
      <w:widowControl w:val="0"/>
      <w:suppressAutoHyphens/>
      <w:spacing w:after="0" w:line="240" w:lineRule="auto"/>
      <w:ind w:left="360"/>
      <w:jc w:val="both"/>
    </w:pPr>
    <w:rPr>
      <w:rFonts w:ascii="Times New Roman" w:eastAsia="Lucida Sans Unicode" w:hAnsi="Times New Roman" w:cs="Tahoma"/>
      <w:szCs w:val="24"/>
      <w:lang w:eastAsia="pl-PL"/>
    </w:rPr>
  </w:style>
  <w:style w:type="character" w:customStyle="1" w:styleId="Teksttreci">
    <w:name w:val="Tekst treści_"/>
    <w:link w:val="Teksttreci1"/>
    <w:locked/>
    <w:rsid w:val="00731DC9"/>
    <w:rPr>
      <w:rFonts w:ascii="Arial" w:hAnsi="Arial" w:cs="Arial"/>
      <w:sz w:val="19"/>
      <w:szCs w:val="19"/>
      <w:shd w:val="clear" w:color="auto" w:fill="FFFFFF"/>
    </w:rPr>
  </w:style>
  <w:style w:type="paragraph" w:customStyle="1" w:styleId="Teksttreci1">
    <w:name w:val="Tekst treści1"/>
    <w:basedOn w:val="Normalny"/>
    <w:link w:val="Teksttreci"/>
    <w:rsid w:val="00731DC9"/>
    <w:pPr>
      <w:widowControl w:val="0"/>
      <w:shd w:val="clear" w:color="auto" w:fill="FFFFFF"/>
      <w:spacing w:after="0" w:line="240" w:lineRule="atLeast"/>
      <w:ind w:hanging="420"/>
    </w:pPr>
    <w:rPr>
      <w:rFonts w:cs="Arial"/>
      <w:sz w:val="19"/>
      <w:szCs w:val="19"/>
    </w:rPr>
  </w:style>
  <w:style w:type="character" w:customStyle="1" w:styleId="Teksttreci8">
    <w:name w:val="Tekst treści (8)_"/>
    <w:link w:val="Teksttreci80"/>
    <w:locked/>
    <w:rsid w:val="00731DC9"/>
    <w:rPr>
      <w:rFonts w:ascii="Arial" w:hAnsi="Arial" w:cs="Arial"/>
      <w:i/>
      <w:iCs/>
      <w:sz w:val="15"/>
      <w:szCs w:val="15"/>
      <w:shd w:val="clear" w:color="auto" w:fill="FFFFFF"/>
    </w:rPr>
  </w:style>
  <w:style w:type="paragraph" w:customStyle="1" w:styleId="Teksttreci80">
    <w:name w:val="Tekst treści (8)"/>
    <w:basedOn w:val="Normalny"/>
    <w:link w:val="Teksttreci8"/>
    <w:rsid w:val="00731DC9"/>
    <w:pPr>
      <w:widowControl w:val="0"/>
      <w:shd w:val="clear" w:color="auto" w:fill="FFFFFF"/>
      <w:spacing w:after="0" w:line="240" w:lineRule="atLeast"/>
      <w:ind w:hanging="280"/>
    </w:pPr>
    <w:rPr>
      <w:rFonts w:cs="Arial"/>
      <w:i/>
      <w:iCs/>
      <w:sz w:val="15"/>
      <w:szCs w:val="15"/>
    </w:rPr>
  </w:style>
  <w:style w:type="character" w:customStyle="1" w:styleId="Teksttreci9">
    <w:name w:val="Tekst treści (9)_"/>
    <w:link w:val="Teksttreci90"/>
    <w:uiPriority w:val="99"/>
    <w:locked/>
    <w:rsid w:val="00731DC9"/>
    <w:rPr>
      <w:rFonts w:ascii="Arial" w:hAnsi="Arial" w:cs="Arial"/>
      <w:sz w:val="18"/>
      <w:szCs w:val="18"/>
      <w:shd w:val="clear" w:color="auto" w:fill="FFFFFF"/>
    </w:rPr>
  </w:style>
  <w:style w:type="paragraph" w:customStyle="1" w:styleId="Teksttreci90">
    <w:name w:val="Tekst treści (9)"/>
    <w:basedOn w:val="Normalny"/>
    <w:link w:val="Teksttreci9"/>
    <w:uiPriority w:val="99"/>
    <w:rsid w:val="00731DC9"/>
    <w:pPr>
      <w:widowControl w:val="0"/>
      <w:shd w:val="clear" w:color="auto" w:fill="FFFFFF"/>
      <w:spacing w:after="0" w:line="254" w:lineRule="exact"/>
    </w:pPr>
    <w:rPr>
      <w:rFonts w:cs="Arial"/>
      <w:sz w:val="18"/>
      <w:szCs w:val="18"/>
    </w:rPr>
  </w:style>
  <w:style w:type="character" w:customStyle="1" w:styleId="Teksttreci10">
    <w:name w:val="Tekst treści (10)_"/>
    <w:link w:val="Teksttreci100"/>
    <w:uiPriority w:val="99"/>
    <w:locked/>
    <w:rsid w:val="00731DC9"/>
    <w:rPr>
      <w:rFonts w:ascii="Arial" w:hAnsi="Arial" w:cs="Arial"/>
      <w:sz w:val="15"/>
      <w:szCs w:val="15"/>
      <w:shd w:val="clear" w:color="auto" w:fill="FFFFFF"/>
    </w:rPr>
  </w:style>
  <w:style w:type="paragraph" w:customStyle="1" w:styleId="Teksttreci100">
    <w:name w:val="Tekst treści (10)"/>
    <w:basedOn w:val="Normalny"/>
    <w:link w:val="Teksttreci10"/>
    <w:uiPriority w:val="99"/>
    <w:rsid w:val="00731DC9"/>
    <w:pPr>
      <w:widowControl w:val="0"/>
      <w:shd w:val="clear" w:color="auto" w:fill="FFFFFF"/>
      <w:spacing w:after="0" w:line="240" w:lineRule="atLeast"/>
      <w:jc w:val="right"/>
    </w:pPr>
    <w:rPr>
      <w:rFonts w:cs="Arial"/>
      <w:sz w:val="15"/>
      <w:szCs w:val="15"/>
    </w:rPr>
  </w:style>
  <w:style w:type="paragraph" w:customStyle="1" w:styleId="Tekstpodstawowy1">
    <w:name w:val="Tekst podstawowy1"/>
    <w:basedOn w:val="Normalny"/>
    <w:link w:val="Bodytext"/>
    <w:uiPriority w:val="99"/>
    <w:rsid w:val="00731DC9"/>
    <w:pPr>
      <w:widowControl w:val="0"/>
      <w:autoSpaceDE w:val="0"/>
      <w:spacing w:after="0" w:line="360" w:lineRule="auto"/>
      <w:jc w:val="both"/>
    </w:pPr>
    <w:rPr>
      <w:rFonts w:ascii="Arial Narrow" w:eastAsia="Arial Narrow" w:hAnsi="Arial Narrow" w:cs="Times New Roman"/>
      <w:szCs w:val="24"/>
    </w:rPr>
  </w:style>
  <w:style w:type="character" w:customStyle="1" w:styleId="CharStyle26">
    <w:name w:val="Char Style 26"/>
    <w:link w:val="Style25"/>
    <w:locked/>
    <w:rsid w:val="00731DC9"/>
    <w:rPr>
      <w:shd w:val="clear" w:color="auto" w:fill="FFFFFF"/>
    </w:rPr>
  </w:style>
  <w:style w:type="paragraph" w:customStyle="1" w:styleId="Style25">
    <w:name w:val="Style 25"/>
    <w:basedOn w:val="Normalny"/>
    <w:link w:val="CharStyle26"/>
    <w:rsid w:val="00731DC9"/>
    <w:pPr>
      <w:widowControl w:val="0"/>
      <w:shd w:val="clear" w:color="auto" w:fill="FFFFFF"/>
      <w:spacing w:after="0" w:line="0" w:lineRule="atLeast"/>
      <w:ind w:left="357" w:hanging="1540"/>
    </w:pPr>
    <w:rPr>
      <w:rFonts w:asciiTheme="minorHAnsi" w:hAnsiTheme="minorHAnsi"/>
      <w:sz w:val="22"/>
    </w:rPr>
  </w:style>
  <w:style w:type="character" w:customStyle="1" w:styleId="Arial10i5Znak">
    <w:name w:val="Arial_10i5 Znak"/>
    <w:link w:val="Arial10i5"/>
    <w:locked/>
    <w:rsid w:val="00731DC9"/>
    <w:rPr>
      <w:rFonts w:ascii="Arial" w:hAnsi="Arial" w:cs="Arial"/>
      <w:color w:val="000000"/>
      <w:sz w:val="21"/>
    </w:rPr>
  </w:style>
  <w:style w:type="paragraph" w:customStyle="1" w:styleId="Arial10i5">
    <w:name w:val="Arial_10i5"/>
    <w:link w:val="Arial10i5Znak"/>
    <w:qFormat/>
    <w:rsid w:val="00731DC9"/>
    <w:pPr>
      <w:spacing w:after="210" w:line="268" w:lineRule="exact"/>
    </w:pPr>
    <w:rPr>
      <w:rFonts w:ascii="Arial" w:hAnsi="Arial" w:cs="Arial"/>
      <w:color w:val="000000"/>
      <w:sz w:val="21"/>
    </w:rPr>
  </w:style>
  <w:style w:type="character" w:customStyle="1" w:styleId="Arial10i50Znak">
    <w:name w:val="Arial_10i5_0 Znak"/>
    <w:link w:val="Arial10i50"/>
    <w:locked/>
    <w:rsid w:val="00731DC9"/>
    <w:rPr>
      <w:rFonts w:ascii="Arial" w:eastAsia="Calibri" w:hAnsi="Arial"/>
      <w:color w:val="000000"/>
      <w:sz w:val="21"/>
    </w:rPr>
  </w:style>
  <w:style w:type="paragraph" w:customStyle="1" w:styleId="Arial10i50">
    <w:name w:val="Arial_10i5_0"/>
    <w:link w:val="Arial10i50Znak"/>
    <w:qFormat/>
    <w:rsid w:val="00731DC9"/>
    <w:pPr>
      <w:spacing w:after="0" w:line="268" w:lineRule="exact"/>
    </w:pPr>
    <w:rPr>
      <w:rFonts w:ascii="Arial" w:eastAsia="Calibri" w:hAnsi="Arial"/>
      <w:color w:val="000000"/>
      <w:sz w:val="21"/>
    </w:rPr>
  </w:style>
  <w:style w:type="paragraph" w:customStyle="1" w:styleId="WW-Tekstpodstawowy2">
    <w:name w:val="WW-Tekst podstawowy 2"/>
    <w:basedOn w:val="Normalny"/>
    <w:uiPriority w:val="99"/>
    <w:rsid w:val="00731DC9"/>
    <w:pPr>
      <w:widowControl w:val="0"/>
      <w:suppressAutoHyphens/>
      <w:spacing w:after="0" w:line="240" w:lineRule="auto"/>
      <w:jc w:val="both"/>
    </w:pPr>
    <w:rPr>
      <w:rFonts w:ascii="Times New Roman" w:eastAsia="Lucida Sans Unicode" w:hAnsi="Times New Roman" w:cs="Times New Roman"/>
      <w:szCs w:val="20"/>
      <w:lang w:eastAsia="pl-PL"/>
    </w:rPr>
  </w:style>
  <w:style w:type="paragraph" w:customStyle="1" w:styleId="WW-Zawartotabeli">
    <w:name w:val="WW-Zawartość tabeli"/>
    <w:basedOn w:val="Tekstpodstawowy"/>
    <w:uiPriority w:val="99"/>
    <w:rsid w:val="00731DC9"/>
    <w:pPr>
      <w:widowControl w:val="0"/>
      <w:suppressLineNumbers/>
      <w:suppressAutoHyphens/>
      <w:spacing w:after="120"/>
      <w:jc w:val="left"/>
    </w:pPr>
    <w:rPr>
      <w:rFonts w:eastAsia="Lucida Sans Unicode"/>
    </w:rPr>
  </w:style>
  <w:style w:type="paragraph" w:customStyle="1" w:styleId="Standard0">
    <w:name w:val="Standard"/>
    <w:rsid w:val="00731DC9"/>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Opistabelwykreswrysunkw">
    <w:name w:val="Opis tabel wykresów rysunków"/>
    <w:basedOn w:val="Normalny"/>
    <w:next w:val="Normalny"/>
    <w:uiPriority w:val="99"/>
    <w:rsid w:val="00731DC9"/>
    <w:pPr>
      <w:spacing w:before="120" w:after="0" w:line="240" w:lineRule="auto"/>
      <w:jc w:val="both"/>
    </w:pPr>
    <w:rPr>
      <w:rFonts w:ascii="Times New Roman" w:eastAsia="Times New Roman" w:hAnsi="Times New Roman" w:cs="Times New Roman"/>
      <w:b/>
      <w:szCs w:val="20"/>
      <w:lang w:eastAsia="pl-PL"/>
    </w:rPr>
  </w:style>
  <w:style w:type="paragraph" w:customStyle="1" w:styleId="paragraph">
    <w:name w:val="paragraph"/>
    <w:basedOn w:val="Normalny"/>
    <w:uiPriority w:val="99"/>
    <w:rsid w:val="00731DC9"/>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Teksttreci2">
    <w:name w:val="Tekst treści (2)_"/>
    <w:link w:val="Teksttreci20"/>
    <w:locked/>
    <w:rsid w:val="00731DC9"/>
    <w:rPr>
      <w:rFonts w:ascii="Segoe UI" w:eastAsia="Segoe UI" w:hAnsi="Segoe UI"/>
      <w:sz w:val="19"/>
      <w:szCs w:val="19"/>
      <w:shd w:val="clear" w:color="auto" w:fill="FFFFFF"/>
      <w:lang w:val="x-none" w:eastAsia="x-none"/>
    </w:rPr>
  </w:style>
  <w:style w:type="paragraph" w:customStyle="1" w:styleId="Teksttreci20">
    <w:name w:val="Tekst treści (2)"/>
    <w:basedOn w:val="Normalny"/>
    <w:link w:val="Teksttreci2"/>
    <w:rsid w:val="00731DC9"/>
    <w:pPr>
      <w:widowControl w:val="0"/>
      <w:shd w:val="clear" w:color="auto" w:fill="FFFFFF"/>
      <w:spacing w:after="420" w:line="320" w:lineRule="exact"/>
      <w:ind w:hanging="382"/>
    </w:pPr>
    <w:rPr>
      <w:rFonts w:ascii="Segoe UI" w:eastAsia="Segoe UI" w:hAnsi="Segoe UI"/>
      <w:sz w:val="19"/>
      <w:szCs w:val="19"/>
      <w:lang w:val="x-none" w:eastAsia="x-none"/>
    </w:rPr>
  </w:style>
  <w:style w:type="paragraph" w:customStyle="1" w:styleId="Styl1">
    <w:name w:val="Styl1"/>
    <w:basedOn w:val="Normalny"/>
    <w:link w:val="Styl1Znak"/>
    <w:qFormat/>
    <w:rsid w:val="00731DC9"/>
    <w:pPr>
      <w:keepNext/>
      <w:numPr>
        <w:ilvl w:val="2"/>
        <w:numId w:val="4"/>
      </w:numPr>
      <w:spacing w:before="400" w:after="280" w:line="240" w:lineRule="auto"/>
      <w:jc w:val="both"/>
      <w:outlineLvl w:val="2"/>
    </w:pPr>
    <w:rPr>
      <w:rFonts w:eastAsia="Times New Roman" w:cs="Times New Roman"/>
      <w:sz w:val="28"/>
      <w:szCs w:val="20"/>
      <w:u w:val="single"/>
      <w:lang w:eastAsia="pl-PL"/>
    </w:rPr>
  </w:style>
  <w:style w:type="paragraph" w:customStyle="1" w:styleId="Nagwek6TabelaNagwek6TabelaNagwek6TabelaNagwek6Nag3wek6TabelaNag3wek6TabelaNag3wek6Naglwek6TabelaNaglwek6TabelaNag">
    <w:name w:val="Nagłówek 6.Tabela.Nagłówek 6 Tabela.Nagłówek6 Tabela.Nagłówek6.Nag3ówek 6 Tabela.Nag3ówek6 Tabela.Nag3ówek6.Naglówek 6 Tabela.Naglówek6 Tabela.Nag"/>
    <w:basedOn w:val="Normalny"/>
    <w:next w:val="Normalny"/>
    <w:uiPriority w:val="99"/>
    <w:rsid w:val="00731DC9"/>
    <w:pPr>
      <w:spacing w:before="240" w:after="60" w:line="240" w:lineRule="auto"/>
      <w:outlineLvl w:val="5"/>
    </w:pPr>
    <w:rPr>
      <w:rFonts w:eastAsia="Times New Roman" w:cs="Times New Roman"/>
      <w:i/>
      <w:sz w:val="22"/>
      <w:szCs w:val="20"/>
      <w:lang w:eastAsia="pl-PL"/>
    </w:rPr>
  </w:style>
  <w:style w:type="paragraph" w:customStyle="1" w:styleId="Tekstpodstawowy22">
    <w:name w:val="Tekst podstawowy 22"/>
    <w:basedOn w:val="Normalny"/>
    <w:qFormat/>
    <w:rsid w:val="00731DC9"/>
    <w:pPr>
      <w:overflowPunct w:val="0"/>
      <w:autoSpaceDE w:val="0"/>
      <w:autoSpaceDN w:val="0"/>
      <w:adjustRightInd w:val="0"/>
      <w:spacing w:after="0" w:line="240" w:lineRule="auto"/>
      <w:ind w:left="426" w:firstLine="425"/>
      <w:jc w:val="both"/>
    </w:pPr>
    <w:rPr>
      <w:rFonts w:ascii="Times New Roman" w:eastAsia="Times New Roman" w:hAnsi="Times New Roman" w:cs="Times New Roman"/>
      <w:sz w:val="28"/>
      <w:szCs w:val="20"/>
      <w:lang w:eastAsia="pl-PL"/>
    </w:rPr>
  </w:style>
  <w:style w:type="paragraph" w:customStyle="1" w:styleId="Domylnie">
    <w:name w:val="Domyślnie"/>
    <w:qFormat/>
    <w:rsid w:val="00731DC9"/>
    <w:pPr>
      <w:widowControl w:val="0"/>
      <w:snapToGrid w:val="0"/>
      <w:spacing w:after="0" w:line="240" w:lineRule="auto"/>
    </w:pPr>
    <w:rPr>
      <w:rFonts w:ascii="Times New Roman" w:eastAsia="Times New Roman" w:hAnsi="Times New Roman" w:cs="Times New Roman"/>
      <w:sz w:val="24"/>
      <w:szCs w:val="20"/>
      <w:lang w:eastAsia="pl-PL"/>
    </w:rPr>
  </w:style>
  <w:style w:type="paragraph" w:customStyle="1" w:styleId="Tekstpodstawowy24">
    <w:name w:val="Tekst podstawowy 24"/>
    <w:basedOn w:val="Normalny"/>
    <w:qFormat/>
    <w:rsid w:val="00731DC9"/>
    <w:pPr>
      <w:overflowPunct w:val="0"/>
      <w:autoSpaceDE w:val="0"/>
      <w:autoSpaceDN w:val="0"/>
      <w:adjustRightInd w:val="0"/>
      <w:spacing w:after="0" w:line="240" w:lineRule="auto"/>
      <w:ind w:left="426" w:firstLine="425"/>
      <w:jc w:val="both"/>
    </w:pPr>
    <w:rPr>
      <w:rFonts w:ascii="Times New Roman" w:eastAsia="Times New Roman" w:hAnsi="Times New Roman" w:cs="Times New Roman"/>
      <w:sz w:val="28"/>
      <w:szCs w:val="20"/>
      <w:lang w:eastAsia="pl-PL"/>
    </w:rPr>
  </w:style>
  <w:style w:type="paragraph" w:customStyle="1" w:styleId="Tekstpodstawowy23">
    <w:name w:val="Tekst podstawowy 23"/>
    <w:basedOn w:val="Normalny"/>
    <w:uiPriority w:val="99"/>
    <w:rsid w:val="00731DC9"/>
    <w:pPr>
      <w:overflowPunct w:val="0"/>
      <w:autoSpaceDE w:val="0"/>
      <w:autoSpaceDN w:val="0"/>
      <w:adjustRightInd w:val="0"/>
      <w:spacing w:after="0" w:line="240" w:lineRule="auto"/>
      <w:ind w:left="426" w:firstLine="425"/>
      <w:jc w:val="both"/>
    </w:pPr>
    <w:rPr>
      <w:rFonts w:ascii="Times New Roman" w:eastAsia="Times New Roman" w:hAnsi="Times New Roman" w:cs="Times New Roman"/>
      <w:sz w:val="28"/>
      <w:szCs w:val="20"/>
      <w:lang w:eastAsia="pl-PL"/>
    </w:rPr>
  </w:style>
  <w:style w:type="paragraph" w:customStyle="1" w:styleId="Tekstpodstawowy20">
    <w:name w:val="Tekst podstawowy2"/>
    <w:basedOn w:val="Normalny"/>
    <w:uiPriority w:val="99"/>
    <w:rsid w:val="00731DC9"/>
    <w:pPr>
      <w:widowControl w:val="0"/>
      <w:autoSpaceDE w:val="0"/>
      <w:spacing w:after="0" w:line="360" w:lineRule="auto"/>
      <w:jc w:val="both"/>
    </w:pPr>
    <w:rPr>
      <w:rFonts w:ascii="Arial Narrow" w:eastAsia="Arial Narrow" w:hAnsi="Arial Narrow" w:cs="Times New Roman"/>
      <w:szCs w:val="24"/>
    </w:rPr>
  </w:style>
  <w:style w:type="paragraph" w:customStyle="1" w:styleId="Bezodstpw10">
    <w:name w:val="Bez odstępów1"/>
    <w:qFormat/>
    <w:rsid w:val="00731DC9"/>
    <w:pPr>
      <w:suppressAutoHyphens/>
      <w:spacing w:after="0" w:line="240" w:lineRule="auto"/>
      <w:jc w:val="center"/>
    </w:pPr>
    <w:rPr>
      <w:rFonts w:ascii="Calibri" w:eastAsia="Times New Roman" w:hAnsi="Calibri" w:cs="Calibri"/>
      <w:lang w:eastAsia="ar-SA"/>
    </w:rPr>
  </w:style>
  <w:style w:type="character" w:styleId="Tekstzastpczy">
    <w:name w:val="Placeholder Text"/>
    <w:uiPriority w:val="99"/>
    <w:semiHidden/>
    <w:rsid w:val="00731DC9"/>
    <w:rPr>
      <w:color w:val="808080"/>
    </w:rPr>
  </w:style>
  <w:style w:type="character" w:customStyle="1" w:styleId="tekst">
    <w:name w:val="tekst"/>
    <w:basedOn w:val="Domylnaczcionkaakapitu"/>
    <w:rsid w:val="00731DC9"/>
  </w:style>
  <w:style w:type="character" w:customStyle="1" w:styleId="naglowek61">
    <w:name w:val="naglowek61"/>
    <w:rsid w:val="00731DC9"/>
    <w:rPr>
      <w:rFonts w:ascii="Arial" w:hAnsi="Arial" w:cs="Arial" w:hint="default"/>
      <w:b/>
      <w:bCs/>
      <w:color w:val="C50000"/>
      <w:sz w:val="23"/>
      <w:szCs w:val="23"/>
    </w:rPr>
  </w:style>
  <w:style w:type="character" w:customStyle="1" w:styleId="eltit1">
    <w:name w:val="eltit1"/>
    <w:rsid w:val="00731DC9"/>
    <w:rPr>
      <w:rFonts w:ascii="Verdana" w:hAnsi="Verdana" w:hint="default"/>
      <w:color w:val="333366"/>
      <w:sz w:val="20"/>
      <w:szCs w:val="20"/>
    </w:rPr>
  </w:style>
  <w:style w:type="character" w:customStyle="1" w:styleId="TeksttreciExact">
    <w:name w:val="Tekst treści Exact"/>
    <w:uiPriority w:val="99"/>
    <w:rsid w:val="00731DC9"/>
    <w:rPr>
      <w:rFonts w:ascii="Arial" w:hAnsi="Arial" w:cs="Arial" w:hint="default"/>
      <w:strike w:val="0"/>
      <w:dstrike w:val="0"/>
      <w:spacing w:val="2"/>
      <w:sz w:val="18"/>
      <w:szCs w:val="18"/>
      <w:u w:val="none"/>
      <w:effect w:val="none"/>
    </w:rPr>
  </w:style>
  <w:style w:type="character" w:customStyle="1" w:styleId="Teksttreci895pt">
    <w:name w:val="Tekst treści (8) + 9.5 pt"/>
    <w:aliases w:val="Bez kursywy"/>
    <w:uiPriority w:val="99"/>
    <w:rsid w:val="00731DC9"/>
    <w:rPr>
      <w:rFonts w:ascii="Arial" w:hAnsi="Arial" w:cs="Arial" w:hint="default"/>
      <w:strike w:val="0"/>
      <w:dstrike w:val="0"/>
      <w:sz w:val="19"/>
      <w:szCs w:val="19"/>
      <w:u w:val="none"/>
      <w:effect w:val="none"/>
    </w:rPr>
  </w:style>
  <w:style w:type="character" w:customStyle="1" w:styleId="Teksttreci21">
    <w:name w:val="Tekst treści2"/>
    <w:uiPriority w:val="99"/>
    <w:rsid w:val="00731DC9"/>
    <w:rPr>
      <w:rFonts w:ascii="Arial" w:hAnsi="Arial" w:cs="Arial"/>
      <w:sz w:val="19"/>
      <w:szCs w:val="19"/>
      <w:u w:val="single"/>
      <w:shd w:val="clear" w:color="auto" w:fill="FFFFFF"/>
    </w:rPr>
  </w:style>
  <w:style w:type="character" w:customStyle="1" w:styleId="normaltextrun">
    <w:name w:val="normaltextrun"/>
    <w:rsid w:val="00731DC9"/>
  </w:style>
  <w:style w:type="character" w:customStyle="1" w:styleId="eop">
    <w:name w:val="eop"/>
    <w:rsid w:val="00731DC9"/>
  </w:style>
  <w:style w:type="character" w:customStyle="1" w:styleId="spellingerror">
    <w:name w:val="spellingerror"/>
    <w:rsid w:val="00731DC9"/>
  </w:style>
  <w:style w:type="character" w:customStyle="1" w:styleId="tabchar">
    <w:name w:val="tabchar"/>
    <w:rsid w:val="00731DC9"/>
  </w:style>
  <w:style w:type="character" w:customStyle="1" w:styleId="scxw230075994">
    <w:name w:val="scxw230075994"/>
    <w:rsid w:val="00731DC9"/>
  </w:style>
  <w:style w:type="character" w:customStyle="1" w:styleId="contextualspellingandgrammarerror">
    <w:name w:val="contextualspellingandgrammarerror"/>
    <w:rsid w:val="00731DC9"/>
  </w:style>
  <w:style w:type="table" w:styleId="Tabelasiatki6kolorowaakcent5">
    <w:name w:val="Grid Table 6 Colorful Accent 5"/>
    <w:basedOn w:val="Standardowy"/>
    <w:uiPriority w:val="51"/>
    <w:rsid w:val="00731DC9"/>
    <w:pPr>
      <w:spacing w:after="0" w:line="240" w:lineRule="auto"/>
    </w:pPr>
    <w:rPr>
      <w:rFonts w:ascii="Calibri" w:eastAsia="Calibri" w:hAnsi="Calibri" w:cs="Times New Roman"/>
      <w:color w:val="31849B"/>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elalisty4akcent5">
    <w:name w:val="List Table 4 Accent 5"/>
    <w:basedOn w:val="Standardowy"/>
    <w:uiPriority w:val="49"/>
    <w:rsid w:val="00731DC9"/>
    <w:pPr>
      <w:spacing w:after="0" w:line="240" w:lineRule="auto"/>
    </w:pPr>
    <w:rPr>
      <w:rFonts w:ascii="Calibri" w:eastAsia="Calibri" w:hAnsi="Calibri" w:cs="Times New Roma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4">
    <w:name w:val="Tabela - Siatka4"/>
    <w:basedOn w:val="Standardowy"/>
    <w:uiPriority w:val="59"/>
    <w:rsid w:val="00731DC9"/>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sid w:val="00731DC9"/>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uiPriority w:val="59"/>
    <w:rsid w:val="00731DC9"/>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uiPriority w:val="59"/>
    <w:rsid w:val="00731DC9"/>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731DC9"/>
    <w:pPr>
      <w:spacing w:after="0" w:line="240" w:lineRule="auto"/>
    </w:pPr>
    <w:rPr>
      <w:rFonts w:ascii="Frutiger LT Pro 55 Roman" w:eastAsia="Calibri" w:hAnsi="Frutiger LT Pro 55 Roman"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731DC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31">
    <w:name w:val="Tabela siatki 5 — ciemna — akcent 31"/>
    <w:basedOn w:val="Standardowy"/>
    <w:uiPriority w:val="50"/>
    <w:rsid w:val="00731DC9"/>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a3">
    <w:name w:val="Tabela - Siatka3"/>
    <w:basedOn w:val="Standardowy"/>
    <w:uiPriority w:val="39"/>
    <w:rsid w:val="00731DC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39"/>
    <w:rsid w:val="00731DC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4akcent51">
    <w:name w:val="Tabela listy 4 — akcent 51"/>
    <w:basedOn w:val="Standardowy"/>
    <w:uiPriority w:val="49"/>
    <w:rsid w:val="00731DC9"/>
    <w:pPr>
      <w:spacing w:after="0" w:line="240" w:lineRule="auto"/>
    </w:pPr>
    <w:rPr>
      <w:rFonts w:ascii="Calibri" w:eastAsia="Calibri" w:hAnsi="Calibri" w:cs="Times New Roma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i6kolorowaakcent51">
    <w:name w:val="Tabela siatki 6 — kolorowa — akcent 51"/>
    <w:basedOn w:val="Standardowy"/>
    <w:uiPriority w:val="51"/>
    <w:rsid w:val="00731DC9"/>
    <w:pPr>
      <w:spacing w:after="0" w:line="240" w:lineRule="auto"/>
    </w:pPr>
    <w:rPr>
      <w:rFonts w:ascii="Calibri" w:eastAsia="Calibri" w:hAnsi="Calibri" w:cs="Times New Roman"/>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6">
    <w:name w:val="Tabela - Siatka6"/>
    <w:basedOn w:val="Standardowy"/>
    <w:uiPriority w:val="59"/>
    <w:rsid w:val="00731DC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sid w:val="00731DC9"/>
    <w:pPr>
      <w:spacing w:after="0" w:line="360" w:lineRule="auto"/>
      <w:ind w:left="357"/>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1">
    <w:name w:val="Tekst podstawowy Znak1"/>
    <w:aliases w:val="Odstęp Znak,a2 Znak1,numerowanie Znak,Tekst podstawowy  Ja Znak,anita1 Znak,block style Znak"/>
    <w:basedOn w:val="Domylnaczcionkaakapitu"/>
    <w:uiPriority w:val="99"/>
    <w:qFormat/>
    <w:rsid w:val="00906952"/>
    <w:rPr>
      <w:rFonts w:ascii="Times New Roman" w:eastAsia="Times New Roman" w:hAnsi="Times New Roman" w:cs="Times New Roman"/>
      <w:sz w:val="24"/>
      <w:szCs w:val="24"/>
      <w:lang w:eastAsia="pl-PL"/>
    </w:rPr>
  </w:style>
  <w:style w:type="character" w:customStyle="1" w:styleId="Tekstpodstawowy3Znak1">
    <w:name w:val="Tekst podstawowy 3 Znak1"/>
    <w:aliases w:val="Tekst podst. podkreślony Znak"/>
    <w:basedOn w:val="Domylnaczcionkaakapitu"/>
    <w:uiPriority w:val="99"/>
    <w:semiHidden/>
    <w:rsid w:val="00906952"/>
    <w:rPr>
      <w:rFonts w:ascii="Times New Roman" w:eastAsia="Times New Roman" w:hAnsi="Times New Roman" w:cs="Times New Roman"/>
      <w:sz w:val="16"/>
      <w:szCs w:val="16"/>
      <w:lang w:eastAsia="pl-PL"/>
    </w:rPr>
  </w:style>
  <w:style w:type="paragraph" w:styleId="Tekstblokowy">
    <w:name w:val="Block Text"/>
    <w:basedOn w:val="Normalny"/>
    <w:unhideWhenUsed/>
    <w:rsid w:val="00906952"/>
    <w:pPr>
      <w:spacing w:after="0" w:line="240" w:lineRule="auto"/>
      <w:ind w:left="360" w:right="895"/>
      <w:jc w:val="both"/>
    </w:pPr>
    <w:rPr>
      <w:rFonts w:ascii="Times New Roman" w:eastAsia="Times New Roman" w:hAnsi="Times New Roman" w:cs="Times New Roman"/>
      <w:szCs w:val="20"/>
      <w:lang w:eastAsia="pl-PL"/>
    </w:rPr>
  </w:style>
  <w:style w:type="paragraph" w:customStyle="1" w:styleId="TekstpodstawowyTekstpodstawowyZnak">
    <w:name w:val="Tekst podstawowy.Tekst podstawowy Znak"/>
    <w:basedOn w:val="Normalny"/>
    <w:rsid w:val="00906952"/>
    <w:pPr>
      <w:widowControl w:val="0"/>
      <w:adjustRightInd w:val="0"/>
      <w:spacing w:after="0" w:line="360" w:lineRule="atLeast"/>
      <w:jc w:val="both"/>
    </w:pPr>
    <w:rPr>
      <w:rFonts w:ascii="Times New Roman" w:eastAsia="Times New Roman" w:hAnsi="Times New Roman" w:cs="Times New Roman"/>
      <w:sz w:val="28"/>
      <w:szCs w:val="20"/>
      <w:lang w:eastAsia="pl-PL"/>
    </w:rPr>
  </w:style>
  <w:style w:type="paragraph" w:customStyle="1" w:styleId="1">
    <w:name w:val="1"/>
    <w:basedOn w:val="Normalny"/>
    <w:next w:val="Nagwek"/>
    <w:rsid w:val="00906952"/>
    <w:pPr>
      <w:widowControl w:val="0"/>
      <w:tabs>
        <w:tab w:val="center" w:pos="4536"/>
        <w:tab w:val="right" w:pos="9072"/>
      </w:tabs>
      <w:adjustRightInd w:val="0"/>
      <w:spacing w:after="0" w:line="360" w:lineRule="atLeast"/>
      <w:jc w:val="both"/>
    </w:pPr>
    <w:rPr>
      <w:rFonts w:eastAsia="Times New Roman" w:cs="Times New Roman"/>
      <w:szCs w:val="20"/>
      <w:lang w:eastAsia="pl-PL"/>
    </w:rPr>
  </w:style>
  <w:style w:type="paragraph" w:customStyle="1" w:styleId="TekstpodstawowyTekstpodstawowyZnak1">
    <w:name w:val="Tekst podstawowy.Tekst podstawowy Znak1"/>
    <w:basedOn w:val="Normalny"/>
    <w:rsid w:val="00906952"/>
    <w:pPr>
      <w:widowControl w:val="0"/>
      <w:adjustRightInd w:val="0"/>
      <w:spacing w:after="0" w:line="340" w:lineRule="atLeast"/>
      <w:jc w:val="both"/>
    </w:pPr>
    <w:rPr>
      <w:rFonts w:eastAsia="Times New Roman" w:cs="Times New Roman"/>
      <w:szCs w:val="20"/>
      <w:lang w:eastAsia="pl-PL"/>
    </w:rPr>
  </w:style>
  <w:style w:type="paragraph" w:customStyle="1" w:styleId="Listanumerycznapodstawowa">
    <w:name w:val="Lista numeryczna podstawowa"/>
    <w:basedOn w:val="Normalny"/>
    <w:uiPriority w:val="99"/>
    <w:rsid w:val="00906952"/>
    <w:pPr>
      <w:keepNext/>
      <w:widowControl w:val="0"/>
      <w:tabs>
        <w:tab w:val="left" w:pos="357"/>
        <w:tab w:val="num" w:pos="1440"/>
      </w:tabs>
      <w:adjustRightInd w:val="0"/>
      <w:spacing w:after="0" w:line="360" w:lineRule="atLeast"/>
      <w:ind w:left="1434" w:hanging="357"/>
      <w:jc w:val="both"/>
    </w:pPr>
    <w:rPr>
      <w:rFonts w:ascii="Times New Roman" w:eastAsia="Times New Roman" w:hAnsi="Times New Roman" w:cs="Times New Roman"/>
      <w:color w:val="000000"/>
      <w:sz w:val="22"/>
      <w:szCs w:val="20"/>
      <w:lang w:eastAsia="pl-PL"/>
    </w:rPr>
  </w:style>
  <w:style w:type="paragraph" w:customStyle="1" w:styleId="Listaalfabetyczna">
    <w:name w:val="Lista alfabetyczna"/>
    <w:basedOn w:val="Normalny"/>
    <w:rsid w:val="00906952"/>
    <w:pPr>
      <w:keepNext/>
      <w:widowControl w:val="0"/>
      <w:tabs>
        <w:tab w:val="num" w:pos="1296"/>
      </w:tabs>
      <w:adjustRightInd w:val="0"/>
      <w:spacing w:before="60" w:after="0" w:line="264" w:lineRule="auto"/>
      <w:ind w:left="1293" w:hanging="357"/>
      <w:jc w:val="both"/>
    </w:pPr>
    <w:rPr>
      <w:rFonts w:ascii="Times New Roman" w:eastAsia="Times New Roman" w:hAnsi="Times New Roman" w:cs="Times New Roman"/>
      <w:color w:val="000000"/>
      <w:sz w:val="22"/>
      <w:szCs w:val="20"/>
      <w:lang w:eastAsia="pl-PL"/>
    </w:rPr>
  </w:style>
  <w:style w:type="paragraph" w:customStyle="1" w:styleId="pkt1">
    <w:name w:val="pkt1"/>
    <w:basedOn w:val="Normalny"/>
    <w:rsid w:val="00906952"/>
    <w:pPr>
      <w:widowControl w:val="0"/>
      <w:tabs>
        <w:tab w:val="left" w:pos="357"/>
        <w:tab w:val="num" w:pos="700"/>
      </w:tabs>
      <w:adjustRightInd w:val="0"/>
      <w:spacing w:after="120" w:line="264" w:lineRule="auto"/>
      <w:ind w:left="680" w:hanging="340"/>
      <w:jc w:val="both"/>
    </w:pPr>
    <w:rPr>
      <w:rFonts w:eastAsia="Times New Roman" w:cs="Times New Roman"/>
      <w:color w:val="000000"/>
      <w:sz w:val="18"/>
      <w:szCs w:val="20"/>
      <w:lang w:eastAsia="pl-PL"/>
    </w:rPr>
  </w:style>
  <w:style w:type="paragraph" w:customStyle="1" w:styleId="JSpodstawowy">
    <w:name w:val="JSpodstawowy"/>
    <w:basedOn w:val="Normalny"/>
    <w:rsid w:val="00906952"/>
    <w:pPr>
      <w:widowControl w:val="0"/>
      <w:adjustRightInd w:val="0"/>
      <w:snapToGrid w:val="0"/>
      <w:spacing w:after="120" w:line="360" w:lineRule="atLeast"/>
      <w:jc w:val="both"/>
    </w:pPr>
    <w:rPr>
      <w:rFonts w:ascii="Times New Roman" w:eastAsia="Times New Roman" w:hAnsi="Times New Roman" w:cs="Times New Roman"/>
      <w:szCs w:val="20"/>
      <w:lang w:eastAsia="pl-PL"/>
    </w:rPr>
  </w:style>
  <w:style w:type="paragraph" w:customStyle="1" w:styleId="Tekstpodstawowywcity21">
    <w:name w:val="Tekst podstawowy wcięty 21"/>
    <w:basedOn w:val="Normalny"/>
    <w:rsid w:val="00906952"/>
    <w:pPr>
      <w:widowControl w:val="0"/>
      <w:suppressAutoHyphens/>
      <w:adjustRightInd w:val="0"/>
      <w:spacing w:after="0" w:line="360" w:lineRule="auto"/>
      <w:ind w:left="284" w:hanging="284"/>
      <w:jc w:val="both"/>
    </w:pPr>
    <w:rPr>
      <w:rFonts w:ascii="Times New Roman" w:eastAsia="Times New Roman" w:hAnsi="Times New Roman" w:cs="Times New Roman"/>
      <w:szCs w:val="20"/>
      <w:lang w:eastAsia="ar-SA"/>
    </w:rPr>
  </w:style>
  <w:style w:type="paragraph" w:customStyle="1" w:styleId="Tekstpodstawowywcity31">
    <w:name w:val="Tekst podstawowy wcięty 31"/>
    <w:basedOn w:val="Normalny"/>
    <w:uiPriority w:val="99"/>
    <w:rsid w:val="00906952"/>
    <w:pPr>
      <w:widowControl w:val="0"/>
      <w:suppressAutoHyphens/>
      <w:adjustRightInd w:val="0"/>
      <w:spacing w:after="0" w:line="360" w:lineRule="auto"/>
      <w:ind w:firstLine="360"/>
      <w:jc w:val="both"/>
    </w:pPr>
    <w:rPr>
      <w:rFonts w:ascii="Times New Roman" w:eastAsia="Times New Roman" w:hAnsi="Times New Roman" w:cs="Times New Roman"/>
      <w:szCs w:val="20"/>
      <w:lang w:eastAsia="ar-SA"/>
    </w:rPr>
  </w:style>
  <w:style w:type="paragraph" w:customStyle="1" w:styleId="Nagwek10">
    <w:name w:val="Nagłówek1"/>
    <w:basedOn w:val="Normalny"/>
    <w:next w:val="Tekstpodstawowy"/>
    <w:rsid w:val="00906952"/>
    <w:pPr>
      <w:keepNext/>
      <w:widowControl w:val="0"/>
      <w:suppressAutoHyphens/>
      <w:adjustRightInd w:val="0"/>
      <w:spacing w:before="240" w:after="120" w:line="360" w:lineRule="atLeast"/>
      <w:jc w:val="both"/>
    </w:pPr>
    <w:rPr>
      <w:rFonts w:ascii="Luxi Sans" w:eastAsia="Mincho" w:hAnsi="Luxi Sans" w:cs="Courier New"/>
      <w:sz w:val="28"/>
      <w:szCs w:val="28"/>
      <w:lang w:eastAsia="ar-SA"/>
    </w:rPr>
  </w:style>
  <w:style w:type="paragraph" w:customStyle="1" w:styleId="Legenda1">
    <w:name w:val="Legenda1"/>
    <w:basedOn w:val="Normalny"/>
    <w:next w:val="Normalny"/>
    <w:qFormat/>
    <w:rsid w:val="00906952"/>
    <w:pPr>
      <w:widowControl w:val="0"/>
      <w:suppressAutoHyphens/>
      <w:adjustRightInd w:val="0"/>
      <w:spacing w:before="120" w:after="0" w:line="360" w:lineRule="atLeast"/>
      <w:ind w:left="284"/>
      <w:jc w:val="both"/>
    </w:pPr>
    <w:rPr>
      <w:rFonts w:ascii="Times New Roman" w:eastAsia="Times New Roman" w:hAnsi="Times New Roman" w:cs="Times New Roman"/>
      <w:b/>
      <w:sz w:val="20"/>
      <w:szCs w:val="20"/>
      <w:lang w:eastAsia="ar-SA"/>
    </w:rPr>
  </w:style>
  <w:style w:type="paragraph" w:customStyle="1" w:styleId="5">
    <w:name w:val="5"/>
    <w:basedOn w:val="Normalny"/>
    <w:next w:val="Wcicienormalne"/>
    <w:rsid w:val="00906952"/>
    <w:pPr>
      <w:widowControl w:val="0"/>
      <w:numPr>
        <w:numId w:val="5"/>
      </w:numPr>
      <w:tabs>
        <w:tab w:val="left" w:pos="357"/>
      </w:tabs>
      <w:adjustRightInd w:val="0"/>
      <w:spacing w:after="120" w:line="360" w:lineRule="atLeast"/>
      <w:ind w:left="708" w:firstLine="0"/>
      <w:jc w:val="both"/>
    </w:pPr>
    <w:rPr>
      <w:rFonts w:eastAsia="Times New Roman" w:cs="Times New Roman"/>
      <w:color w:val="000000"/>
      <w:sz w:val="20"/>
      <w:szCs w:val="20"/>
      <w:lang w:eastAsia="pl-PL"/>
    </w:rPr>
  </w:style>
  <w:style w:type="paragraph" w:customStyle="1" w:styleId="Zwyklytekst">
    <w:name w:val="Zwykly tekst"/>
    <w:basedOn w:val="Normalny"/>
    <w:rsid w:val="00906952"/>
    <w:pPr>
      <w:widowControl w:val="0"/>
      <w:adjustRightInd w:val="0"/>
      <w:spacing w:after="0" w:line="360" w:lineRule="atLeast"/>
      <w:jc w:val="both"/>
    </w:pPr>
    <w:rPr>
      <w:rFonts w:ascii="Courier New" w:eastAsia="Times New Roman" w:hAnsi="Courier New" w:cs="Times New Roman"/>
      <w:sz w:val="20"/>
      <w:szCs w:val="20"/>
      <w:lang w:eastAsia="pl-PL"/>
    </w:rPr>
  </w:style>
  <w:style w:type="paragraph" w:customStyle="1" w:styleId="NaglowekEW3">
    <w:name w:val="Naglowek EW3"/>
    <w:basedOn w:val="Nagwek1"/>
    <w:next w:val="Normalny"/>
    <w:autoRedefine/>
    <w:rsid w:val="00906952"/>
    <w:pPr>
      <w:keepLines w:val="0"/>
      <w:spacing w:before="120" w:line="240" w:lineRule="auto"/>
      <w:jc w:val="both"/>
    </w:pPr>
    <w:rPr>
      <w:rFonts w:ascii="Times New Roman" w:eastAsia="Times New Roman" w:hAnsi="Times New Roman" w:cs="Times New Roman"/>
      <w:b/>
      <w:szCs w:val="20"/>
      <w:lang w:eastAsia="pl-PL"/>
    </w:rPr>
  </w:style>
  <w:style w:type="paragraph" w:customStyle="1" w:styleId="Tekstdymka1">
    <w:name w:val="Tekst dymka1"/>
    <w:basedOn w:val="Normalny"/>
    <w:rsid w:val="00906952"/>
    <w:pPr>
      <w:spacing w:after="0" w:line="240" w:lineRule="auto"/>
    </w:pPr>
    <w:rPr>
      <w:rFonts w:ascii="Tahoma" w:eastAsia="Times New Roman" w:hAnsi="Tahoma" w:cs="Times New Roman"/>
      <w:sz w:val="16"/>
      <w:szCs w:val="20"/>
      <w:lang w:eastAsia="pl-PL"/>
    </w:rPr>
  </w:style>
  <w:style w:type="paragraph" w:customStyle="1" w:styleId="Normalny12just">
    <w:name w:val="Normalny 12 just"/>
    <w:basedOn w:val="Normalny"/>
    <w:uiPriority w:val="99"/>
    <w:rsid w:val="00906952"/>
    <w:pPr>
      <w:spacing w:after="0" w:line="240" w:lineRule="auto"/>
      <w:jc w:val="both"/>
    </w:pPr>
    <w:rPr>
      <w:rFonts w:ascii="Times New Roman" w:eastAsia="Times New Roman" w:hAnsi="Times New Roman" w:cs="Times New Roman"/>
      <w:szCs w:val="24"/>
      <w:lang w:eastAsia="pl-PL"/>
    </w:rPr>
  </w:style>
  <w:style w:type="paragraph" w:customStyle="1" w:styleId="punktkrop">
    <w:name w:val="punkt krop"/>
    <w:basedOn w:val="Normalny12just"/>
    <w:uiPriority w:val="99"/>
    <w:rsid w:val="00906952"/>
    <w:pPr>
      <w:tabs>
        <w:tab w:val="num" w:pos="720"/>
      </w:tabs>
      <w:ind w:left="720" w:hanging="360"/>
    </w:pPr>
  </w:style>
  <w:style w:type="paragraph" w:customStyle="1" w:styleId="BodyText21">
    <w:name w:val="Body Text 21"/>
    <w:basedOn w:val="Normalny"/>
    <w:qFormat/>
    <w:rsid w:val="00906952"/>
    <w:pPr>
      <w:snapToGrid w:val="0"/>
      <w:spacing w:after="0" w:line="240" w:lineRule="auto"/>
      <w:jc w:val="both"/>
    </w:pPr>
    <w:rPr>
      <w:rFonts w:eastAsia="Times New Roman" w:cs="Times New Roman"/>
      <w:szCs w:val="20"/>
      <w:lang w:eastAsia="pl-PL"/>
    </w:rPr>
  </w:style>
  <w:style w:type="paragraph" w:customStyle="1" w:styleId="Ident1">
    <w:name w:val="Ident 1"/>
    <w:basedOn w:val="Normalny"/>
    <w:uiPriority w:val="99"/>
    <w:rsid w:val="00906952"/>
    <w:pPr>
      <w:spacing w:after="0" w:line="240" w:lineRule="auto"/>
      <w:jc w:val="both"/>
    </w:pPr>
    <w:rPr>
      <w:rFonts w:eastAsia="Times New Roman" w:cs="Times New Roman"/>
      <w:sz w:val="20"/>
      <w:szCs w:val="20"/>
      <w:lang w:eastAsia="pl-PL"/>
    </w:rPr>
  </w:style>
  <w:style w:type="paragraph" w:customStyle="1" w:styleId="BodySingle">
    <w:name w:val="Body Single"/>
    <w:uiPriority w:val="99"/>
    <w:rsid w:val="00906952"/>
    <w:pPr>
      <w:spacing w:after="0" w:line="240" w:lineRule="auto"/>
    </w:pPr>
    <w:rPr>
      <w:rFonts w:ascii="Times New Roman" w:eastAsia="Times New Roman" w:hAnsi="Times New Roman" w:cs="Times New Roman"/>
      <w:color w:val="000000"/>
      <w:sz w:val="24"/>
      <w:szCs w:val="20"/>
      <w:lang w:val="en-US" w:eastAsia="pl-PL"/>
    </w:rPr>
  </w:style>
  <w:style w:type="paragraph" w:customStyle="1" w:styleId="default0">
    <w:name w:val="default"/>
    <w:basedOn w:val="Normalny"/>
    <w:uiPriority w:val="99"/>
    <w:rsid w:val="00906952"/>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pkttabelaChar">
    <w:name w:val="pkt tabela Char"/>
    <w:link w:val="pkttabela"/>
    <w:locked/>
    <w:rsid w:val="00906952"/>
    <w:rPr>
      <w:rFonts w:ascii="Arial Narrow" w:hAnsi="Arial Narrow"/>
      <w:sz w:val="24"/>
      <w:szCs w:val="24"/>
    </w:rPr>
  </w:style>
  <w:style w:type="paragraph" w:customStyle="1" w:styleId="pkttabela">
    <w:name w:val="pkt tabela"/>
    <w:basedOn w:val="Normalny"/>
    <w:link w:val="pkttabelaChar"/>
    <w:rsid w:val="00906952"/>
    <w:pPr>
      <w:tabs>
        <w:tab w:val="num" w:pos="720"/>
      </w:tabs>
      <w:spacing w:before="20" w:after="20" w:line="240" w:lineRule="auto"/>
      <w:ind w:left="175" w:hanging="142"/>
      <w:contextualSpacing/>
      <w:jc w:val="both"/>
    </w:pPr>
    <w:rPr>
      <w:rFonts w:ascii="Arial Narrow" w:hAnsi="Arial Narrow"/>
      <w:szCs w:val="24"/>
    </w:rPr>
  </w:style>
  <w:style w:type="character" w:customStyle="1" w:styleId="wypunktowanieZnak">
    <w:name w:val="wypunktowanie Znak"/>
    <w:link w:val="wypunktowanie"/>
    <w:locked/>
    <w:rsid w:val="00906952"/>
    <w:rPr>
      <w:rFonts w:ascii="Arial Narrow" w:hAnsi="Arial Narrow"/>
    </w:rPr>
  </w:style>
  <w:style w:type="paragraph" w:customStyle="1" w:styleId="wypunktowanie">
    <w:name w:val="wypunktowanie"/>
    <w:basedOn w:val="Normalny"/>
    <w:link w:val="wypunktowanieZnak"/>
    <w:rsid w:val="00906952"/>
    <w:pPr>
      <w:tabs>
        <w:tab w:val="num" w:pos="644"/>
      </w:tabs>
      <w:spacing w:before="240" w:after="120" w:line="312" w:lineRule="auto"/>
      <w:ind w:left="644" w:hanging="284"/>
      <w:contextualSpacing/>
      <w:jc w:val="both"/>
    </w:pPr>
    <w:rPr>
      <w:rFonts w:ascii="Arial Narrow" w:hAnsi="Arial Narrow"/>
      <w:sz w:val="22"/>
    </w:rPr>
  </w:style>
  <w:style w:type="paragraph" w:customStyle="1" w:styleId="StandardZnakZnakZnakZnak">
    <w:name w:val="Standard Znak Znak Znak Znak"/>
    <w:uiPriority w:val="99"/>
    <w:rsid w:val="00906952"/>
    <w:pPr>
      <w:widowControl w:val="0"/>
      <w:autoSpaceDE w:val="0"/>
      <w:autoSpaceDN w:val="0"/>
      <w:adjustRightInd w:val="0"/>
      <w:spacing w:after="0" w:line="360" w:lineRule="auto"/>
      <w:ind w:firstLine="709"/>
      <w:jc w:val="both"/>
    </w:pPr>
    <w:rPr>
      <w:rFonts w:ascii="Times New Roman" w:eastAsia="Times New Roman" w:hAnsi="Times New Roman" w:cs="Times New Roman"/>
      <w:sz w:val="24"/>
      <w:szCs w:val="24"/>
      <w:lang w:eastAsia="pl-PL"/>
    </w:rPr>
  </w:style>
  <w:style w:type="paragraph" w:customStyle="1" w:styleId="DomylnyteksZnak">
    <w:name w:val="Domyślny teks Znak"/>
    <w:basedOn w:val="Normalny"/>
    <w:uiPriority w:val="99"/>
    <w:rsid w:val="00906952"/>
    <w:pPr>
      <w:widowControl w:val="0"/>
      <w:autoSpaceDE w:val="0"/>
      <w:autoSpaceDN w:val="0"/>
      <w:adjustRightInd w:val="0"/>
      <w:spacing w:after="0" w:line="360" w:lineRule="auto"/>
      <w:ind w:firstLine="737"/>
      <w:jc w:val="both"/>
    </w:pPr>
    <w:rPr>
      <w:rFonts w:ascii="Times New Roman" w:eastAsia="Times New Roman" w:hAnsi="Times New Roman" w:cs="Times New Roman"/>
      <w:szCs w:val="24"/>
      <w:lang w:eastAsia="pl-PL"/>
    </w:rPr>
  </w:style>
  <w:style w:type="paragraph" w:customStyle="1" w:styleId="Naglwek6">
    <w:name w:val="Naglówek 6"/>
    <w:basedOn w:val="Normalny"/>
    <w:next w:val="Normalny"/>
    <w:uiPriority w:val="99"/>
    <w:rsid w:val="00906952"/>
    <w:pPr>
      <w:keepNext/>
      <w:tabs>
        <w:tab w:val="left" w:pos="2880"/>
      </w:tabs>
      <w:spacing w:before="120" w:after="120" w:line="360" w:lineRule="auto"/>
      <w:ind w:left="2880" w:hanging="1260"/>
      <w:jc w:val="both"/>
      <w:outlineLvl w:val="5"/>
    </w:pPr>
    <w:rPr>
      <w:rFonts w:eastAsia="Times New Roman" w:cs="Times New Roman"/>
      <w:i/>
      <w:color w:val="000000"/>
      <w:sz w:val="18"/>
      <w:szCs w:val="20"/>
      <w:lang w:eastAsia="pl-PL"/>
    </w:rPr>
  </w:style>
  <w:style w:type="character" w:customStyle="1" w:styleId="AkapitRZnak1">
    <w:name w:val="Akapit R Znak1"/>
    <w:link w:val="AkapitR"/>
    <w:locked/>
    <w:rsid w:val="00906952"/>
    <w:rPr>
      <w:rFonts w:ascii="Trebuchet MS" w:eastAsia="Times New Roman" w:hAnsi="Trebuchet MS" w:cs="Times New Roman"/>
      <w:sz w:val="24"/>
      <w:szCs w:val="24"/>
      <w:lang w:eastAsia="pl-PL"/>
    </w:rPr>
  </w:style>
  <w:style w:type="character" w:customStyle="1" w:styleId="h2">
    <w:name w:val="h2"/>
    <w:basedOn w:val="Domylnaczcionkaakapitu"/>
    <w:rsid w:val="00906952"/>
  </w:style>
  <w:style w:type="character" w:customStyle="1" w:styleId="Normalny12justZnak">
    <w:name w:val="Normalny 12 just Znak"/>
    <w:rsid w:val="00906952"/>
    <w:rPr>
      <w:sz w:val="24"/>
      <w:szCs w:val="24"/>
      <w:lang w:val="pl-PL" w:eastAsia="pl-PL" w:bidi="ar-SA"/>
    </w:rPr>
  </w:style>
  <w:style w:type="character" w:customStyle="1" w:styleId="punktkropZnak">
    <w:name w:val="punkt krop Znak"/>
    <w:rsid w:val="00906952"/>
  </w:style>
  <w:style w:type="table" w:customStyle="1" w:styleId="TableGrid">
    <w:name w:val="TableGrid"/>
    <w:rsid w:val="00906952"/>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numbering" w:customStyle="1" w:styleId="Biecalista1">
    <w:name w:val="Bieżąca lista1"/>
    <w:rsid w:val="00906952"/>
    <w:pPr>
      <w:numPr>
        <w:numId w:val="6"/>
      </w:numPr>
    </w:pPr>
  </w:style>
  <w:style w:type="numbering" w:customStyle="1" w:styleId="Bezlisty1">
    <w:name w:val="Bez listy1"/>
    <w:next w:val="Bezlisty"/>
    <w:uiPriority w:val="99"/>
    <w:semiHidden/>
    <w:unhideWhenUsed/>
    <w:rsid w:val="00206D66"/>
  </w:style>
  <w:style w:type="table" w:customStyle="1" w:styleId="Tabela-Siatka8">
    <w:name w:val="Tabela - Siatka8"/>
    <w:basedOn w:val="Standardowy"/>
    <w:next w:val="Tabela-Siatka"/>
    <w:rsid w:val="00206D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uiPriority w:val="59"/>
    <w:rsid w:val="00206D66"/>
    <w:pPr>
      <w:spacing w:after="0" w:line="240" w:lineRule="auto"/>
    </w:pPr>
    <w:rPr>
      <w:rFonts w:ascii="Frutiger LT Pro 55 Roman" w:eastAsia="Calibri" w:hAnsi="Frutiger LT Pro 55 Roman"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4">
    <w:name w:val="Tekst treści (4)_"/>
    <w:link w:val="Teksttreci40"/>
    <w:rsid w:val="00206D66"/>
    <w:rPr>
      <w:sz w:val="15"/>
      <w:szCs w:val="15"/>
      <w:shd w:val="clear" w:color="auto" w:fill="FFFFFF"/>
    </w:rPr>
  </w:style>
  <w:style w:type="character" w:customStyle="1" w:styleId="Teksttreci3">
    <w:name w:val="Tekst treści (3)_"/>
    <w:rsid w:val="00206D66"/>
    <w:rPr>
      <w:rFonts w:ascii="Bookman Old Style" w:eastAsia="Bookman Old Style" w:hAnsi="Bookman Old Style" w:cs="Bookman Old Style"/>
      <w:b/>
      <w:bCs/>
      <w:i w:val="0"/>
      <w:iCs w:val="0"/>
      <w:smallCaps w:val="0"/>
      <w:strike w:val="0"/>
      <w:sz w:val="21"/>
      <w:szCs w:val="21"/>
      <w:u w:val="none"/>
    </w:rPr>
  </w:style>
  <w:style w:type="character" w:customStyle="1" w:styleId="Teksttreci30">
    <w:name w:val="Tekst treści (3)"/>
    <w:rsid w:val="00206D66"/>
    <w:rPr>
      <w:rFonts w:ascii="Bookman Old Style" w:eastAsia="Bookman Old Style" w:hAnsi="Bookman Old Style" w:cs="Bookman Old Style"/>
      <w:b/>
      <w:bCs/>
      <w:i w:val="0"/>
      <w:iCs w:val="0"/>
      <w:smallCaps w:val="0"/>
      <w:strike w:val="0"/>
      <w:color w:val="000000"/>
      <w:spacing w:val="0"/>
      <w:w w:val="100"/>
      <w:position w:val="0"/>
      <w:sz w:val="21"/>
      <w:szCs w:val="21"/>
      <w:u w:val="none"/>
      <w:lang w:val="pl-PL"/>
    </w:rPr>
  </w:style>
  <w:style w:type="character" w:customStyle="1" w:styleId="Nagwek11">
    <w:name w:val="Nagłówek #1_"/>
    <w:rsid w:val="00206D66"/>
    <w:rPr>
      <w:rFonts w:ascii="Arial" w:eastAsia="Arial" w:hAnsi="Arial" w:cs="Arial"/>
      <w:b w:val="0"/>
      <w:bCs w:val="0"/>
      <w:i w:val="0"/>
      <w:iCs w:val="0"/>
      <w:smallCaps w:val="0"/>
      <w:strike w:val="0"/>
      <w:sz w:val="21"/>
      <w:szCs w:val="21"/>
      <w:u w:val="none"/>
    </w:rPr>
  </w:style>
  <w:style w:type="character" w:customStyle="1" w:styleId="TeksttreciBookmanOldStyle10pt">
    <w:name w:val="Tekst treści + Bookman Old Style;10 pt"/>
    <w:rsid w:val="00206D66"/>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pl-PL"/>
    </w:rPr>
  </w:style>
  <w:style w:type="character" w:customStyle="1" w:styleId="Teksttreci0">
    <w:name w:val="Tekst treści"/>
    <w:rsid w:val="00206D66"/>
    <w:rPr>
      <w:rFonts w:ascii="Arial" w:eastAsia="Arial" w:hAnsi="Arial" w:cs="Arial"/>
      <w:b w:val="0"/>
      <w:bCs w:val="0"/>
      <w:i w:val="0"/>
      <w:iCs w:val="0"/>
      <w:smallCaps w:val="0"/>
      <w:strike w:val="0"/>
      <w:color w:val="000000"/>
      <w:spacing w:val="0"/>
      <w:w w:val="100"/>
      <w:position w:val="0"/>
      <w:sz w:val="21"/>
      <w:szCs w:val="21"/>
      <w:u w:val="none"/>
      <w:lang w:val="pl-PL"/>
    </w:rPr>
  </w:style>
  <w:style w:type="character" w:customStyle="1" w:styleId="Nagweklubstopka">
    <w:name w:val="Nagłówek lub stopka_"/>
    <w:rsid w:val="00206D66"/>
    <w:rPr>
      <w:rFonts w:ascii="Arial" w:eastAsia="Arial" w:hAnsi="Arial" w:cs="Arial"/>
      <w:b w:val="0"/>
      <w:bCs w:val="0"/>
      <w:i w:val="0"/>
      <w:iCs w:val="0"/>
      <w:smallCaps w:val="0"/>
      <w:strike w:val="0"/>
      <w:sz w:val="19"/>
      <w:szCs w:val="19"/>
      <w:u w:val="none"/>
    </w:rPr>
  </w:style>
  <w:style w:type="character" w:customStyle="1" w:styleId="Nagweklubstopka0">
    <w:name w:val="Nagłówek lub stopka"/>
    <w:rsid w:val="00206D66"/>
    <w:rPr>
      <w:rFonts w:ascii="Arial" w:eastAsia="Arial" w:hAnsi="Arial" w:cs="Arial"/>
      <w:b w:val="0"/>
      <w:bCs w:val="0"/>
      <w:i w:val="0"/>
      <w:iCs w:val="0"/>
      <w:smallCaps w:val="0"/>
      <w:strike w:val="0"/>
      <w:color w:val="000000"/>
      <w:spacing w:val="0"/>
      <w:w w:val="100"/>
      <w:position w:val="0"/>
      <w:sz w:val="19"/>
      <w:szCs w:val="19"/>
      <w:u w:val="none"/>
      <w:lang w:val="pl-PL"/>
    </w:rPr>
  </w:style>
  <w:style w:type="character" w:customStyle="1" w:styleId="Nagwek12">
    <w:name w:val="Nagłówek #1"/>
    <w:rsid w:val="00206D66"/>
    <w:rPr>
      <w:rFonts w:ascii="Arial" w:eastAsia="Arial" w:hAnsi="Arial" w:cs="Arial"/>
      <w:b w:val="0"/>
      <w:bCs w:val="0"/>
      <w:i w:val="0"/>
      <w:iCs w:val="0"/>
      <w:smallCaps w:val="0"/>
      <w:strike w:val="0"/>
      <w:color w:val="000000"/>
      <w:spacing w:val="0"/>
      <w:w w:val="100"/>
      <w:position w:val="0"/>
      <w:sz w:val="21"/>
      <w:szCs w:val="21"/>
      <w:u w:val="single"/>
      <w:lang w:val="pl-PL"/>
    </w:rPr>
  </w:style>
  <w:style w:type="character" w:customStyle="1" w:styleId="Teksttreci9pt">
    <w:name w:val="Tekst treści + 9 pt"/>
    <w:rsid w:val="00206D66"/>
    <w:rPr>
      <w:rFonts w:ascii="Arial" w:eastAsia="Arial" w:hAnsi="Arial" w:cs="Arial"/>
      <w:b w:val="0"/>
      <w:bCs w:val="0"/>
      <w:i w:val="0"/>
      <w:iCs w:val="0"/>
      <w:smallCaps w:val="0"/>
      <w:strike w:val="0"/>
      <w:color w:val="000000"/>
      <w:spacing w:val="0"/>
      <w:w w:val="100"/>
      <w:position w:val="0"/>
      <w:sz w:val="18"/>
      <w:szCs w:val="18"/>
      <w:u w:val="none"/>
      <w:lang w:val="pl-PL"/>
    </w:rPr>
  </w:style>
  <w:style w:type="character" w:customStyle="1" w:styleId="Teksttreci5">
    <w:name w:val="Tekst treści (5)_"/>
    <w:link w:val="Teksttreci50"/>
    <w:rsid w:val="00206D66"/>
    <w:rPr>
      <w:rFonts w:ascii="Garamond" w:eastAsia="Garamond" w:hAnsi="Garamond" w:cs="Garamond"/>
      <w:sz w:val="14"/>
      <w:szCs w:val="14"/>
      <w:shd w:val="clear" w:color="auto" w:fill="FFFFFF"/>
    </w:rPr>
  </w:style>
  <w:style w:type="character" w:customStyle="1" w:styleId="Teksttreci6">
    <w:name w:val="Tekst treści (6)_"/>
    <w:link w:val="Teksttreci60"/>
    <w:rsid w:val="00206D66"/>
    <w:rPr>
      <w:rFonts w:ascii="Garamond" w:eastAsia="Garamond" w:hAnsi="Garamond" w:cs="Garamond"/>
      <w:sz w:val="14"/>
      <w:szCs w:val="14"/>
      <w:shd w:val="clear" w:color="auto" w:fill="FFFFFF"/>
    </w:rPr>
  </w:style>
  <w:style w:type="character" w:customStyle="1" w:styleId="Podpistabeli">
    <w:name w:val="Podpis tabeli_"/>
    <w:rsid w:val="00206D66"/>
    <w:rPr>
      <w:rFonts w:ascii="Arial" w:eastAsia="Arial" w:hAnsi="Arial" w:cs="Arial"/>
      <w:b w:val="0"/>
      <w:bCs w:val="0"/>
      <w:i w:val="0"/>
      <w:iCs w:val="0"/>
      <w:smallCaps w:val="0"/>
      <w:strike w:val="0"/>
      <w:sz w:val="21"/>
      <w:szCs w:val="21"/>
      <w:u w:val="none"/>
    </w:rPr>
  </w:style>
  <w:style w:type="character" w:customStyle="1" w:styleId="PodpistabeliBookmanOldStyle10pt">
    <w:name w:val="Podpis tabeli + Bookman Old Style;10 pt"/>
    <w:rsid w:val="00206D66"/>
    <w:rPr>
      <w:rFonts w:ascii="Bookman Old Style" w:eastAsia="Bookman Old Style" w:hAnsi="Bookman Old Style" w:cs="Bookman Old Style"/>
      <w:b w:val="0"/>
      <w:bCs w:val="0"/>
      <w:i w:val="0"/>
      <w:iCs w:val="0"/>
      <w:smallCaps w:val="0"/>
      <w:strike w:val="0"/>
      <w:color w:val="000000"/>
      <w:spacing w:val="0"/>
      <w:w w:val="100"/>
      <w:position w:val="0"/>
      <w:sz w:val="20"/>
      <w:szCs w:val="20"/>
      <w:u w:val="none"/>
    </w:rPr>
  </w:style>
  <w:style w:type="character" w:customStyle="1" w:styleId="TeksttreciMaelitery">
    <w:name w:val="Tekst treści + Małe litery"/>
    <w:rsid w:val="00206D66"/>
    <w:rPr>
      <w:rFonts w:ascii="Arial" w:eastAsia="Arial" w:hAnsi="Arial" w:cs="Arial"/>
      <w:b w:val="0"/>
      <w:bCs w:val="0"/>
      <w:i w:val="0"/>
      <w:iCs w:val="0"/>
      <w:smallCaps/>
      <w:strike w:val="0"/>
      <w:color w:val="000000"/>
      <w:spacing w:val="0"/>
      <w:w w:val="100"/>
      <w:position w:val="0"/>
      <w:sz w:val="21"/>
      <w:szCs w:val="21"/>
      <w:u w:val="none"/>
    </w:rPr>
  </w:style>
  <w:style w:type="character" w:customStyle="1" w:styleId="TeksttreciOdstpy-1pt">
    <w:name w:val="Tekst treści + Odstępy -1 pt"/>
    <w:rsid w:val="00206D66"/>
    <w:rPr>
      <w:rFonts w:ascii="Arial" w:eastAsia="Arial" w:hAnsi="Arial" w:cs="Arial"/>
      <w:b w:val="0"/>
      <w:bCs w:val="0"/>
      <w:i w:val="0"/>
      <w:iCs w:val="0"/>
      <w:smallCaps w:val="0"/>
      <w:strike w:val="0"/>
      <w:color w:val="000000"/>
      <w:spacing w:val="-30"/>
      <w:w w:val="100"/>
      <w:position w:val="0"/>
      <w:sz w:val="21"/>
      <w:szCs w:val="21"/>
      <w:u w:val="none"/>
      <w:lang w:val="pl-PL"/>
    </w:rPr>
  </w:style>
  <w:style w:type="character" w:customStyle="1" w:styleId="Podpistabeli0">
    <w:name w:val="Podpis tabeli"/>
    <w:rsid w:val="00206D66"/>
    <w:rPr>
      <w:rFonts w:ascii="Arial" w:eastAsia="Arial" w:hAnsi="Arial" w:cs="Arial"/>
      <w:b w:val="0"/>
      <w:bCs w:val="0"/>
      <w:i w:val="0"/>
      <w:iCs w:val="0"/>
      <w:smallCaps w:val="0"/>
      <w:strike w:val="0"/>
      <w:color w:val="000000"/>
      <w:spacing w:val="0"/>
      <w:w w:val="100"/>
      <w:position w:val="0"/>
      <w:sz w:val="21"/>
      <w:szCs w:val="21"/>
      <w:u w:val="single"/>
      <w:lang w:val="pl-PL"/>
    </w:rPr>
  </w:style>
  <w:style w:type="character" w:customStyle="1" w:styleId="TeksttreciTimesNewRoman4ptKursywa">
    <w:name w:val="Tekst treści + Times New Roman;4 pt;Kursywa"/>
    <w:rsid w:val="00206D66"/>
    <w:rPr>
      <w:rFonts w:ascii="Times New Roman" w:eastAsia="Times New Roman" w:hAnsi="Times New Roman" w:cs="Times New Roman"/>
      <w:b w:val="0"/>
      <w:bCs w:val="0"/>
      <w:i/>
      <w:iCs/>
      <w:smallCaps w:val="0"/>
      <w:strike w:val="0"/>
      <w:color w:val="000000"/>
      <w:spacing w:val="0"/>
      <w:w w:val="100"/>
      <w:position w:val="0"/>
      <w:sz w:val="8"/>
      <w:szCs w:val="8"/>
      <w:u w:val="none"/>
      <w:lang w:val="pl-PL"/>
    </w:rPr>
  </w:style>
  <w:style w:type="character" w:customStyle="1" w:styleId="Teksttreci7">
    <w:name w:val="Tekst treści (7)_"/>
    <w:link w:val="Teksttreci70"/>
    <w:rsid w:val="00206D66"/>
    <w:rPr>
      <w:rFonts w:ascii="Arial" w:eastAsia="Arial" w:hAnsi="Arial" w:cs="Arial"/>
      <w:sz w:val="18"/>
      <w:szCs w:val="18"/>
      <w:shd w:val="clear" w:color="auto" w:fill="FFFFFF"/>
    </w:rPr>
  </w:style>
  <w:style w:type="paragraph" w:customStyle="1" w:styleId="Teksttreci40">
    <w:name w:val="Tekst treści (4)"/>
    <w:basedOn w:val="Normalny"/>
    <w:link w:val="Teksttreci4"/>
    <w:rsid w:val="00206D66"/>
    <w:pPr>
      <w:widowControl w:val="0"/>
      <w:shd w:val="clear" w:color="auto" w:fill="FFFFFF"/>
      <w:spacing w:after="0" w:line="182" w:lineRule="exact"/>
      <w:jc w:val="center"/>
    </w:pPr>
    <w:rPr>
      <w:rFonts w:asciiTheme="minorHAnsi" w:hAnsiTheme="minorHAnsi"/>
      <w:sz w:val="15"/>
      <w:szCs w:val="15"/>
    </w:rPr>
  </w:style>
  <w:style w:type="paragraph" w:customStyle="1" w:styleId="Teksttreci50">
    <w:name w:val="Tekst treści (5)"/>
    <w:basedOn w:val="Normalny"/>
    <w:link w:val="Teksttreci5"/>
    <w:rsid w:val="00206D66"/>
    <w:pPr>
      <w:widowControl w:val="0"/>
      <w:shd w:val="clear" w:color="auto" w:fill="FFFFFF"/>
      <w:spacing w:after="0" w:line="0" w:lineRule="atLeast"/>
    </w:pPr>
    <w:rPr>
      <w:rFonts w:ascii="Garamond" w:eastAsia="Garamond" w:hAnsi="Garamond" w:cs="Garamond"/>
      <w:sz w:val="14"/>
      <w:szCs w:val="14"/>
    </w:rPr>
  </w:style>
  <w:style w:type="paragraph" w:customStyle="1" w:styleId="Teksttreci60">
    <w:name w:val="Tekst treści (6)"/>
    <w:basedOn w:val="Normalny"/>
    <w:link w:val="Teksttreci6"/>
    <w:rsid w:val="00206D66"/>
    <w:pPr>
      <w:widowControl w:val="0"/>
      <w:shd w:val="clear" w:color="auto" w:fill="FFFFFF"/>
      <w:spacing w:after="0" w:line="0" w:lineRule="atLeast"/>
    </w:pPr>
    <w:rPr>
      <w:rFonts w:ascii="Garamond" w:eastAsia="Garamond" w:hAnsi="Garamond" w:cs="Garamond"/>
      <w:sz w:val="14"/>
      <w:szCs w:val="14"/>
    </w:rPr>
  </w:style>
  <w:style w:type="paragraph" w:customStyle="1" w:styleId="Teksttreci70">
    <w:name w:val="Tekst treści (7)"/>
    <w:basedOn w:val="Normalny"/>
    <w:link w:val="Teksttreci7"/>
    <w:rsid w:val="00206D66"/>
    <w:pPr>
      <w:widowControl w:val="0"/>
      <w:shd w:val="clear" w:color="auto" w:fill="FFFFFF"/>
      <w:spacing w:after="0" w:line="230" w:lineRule="exact"/>
      <w:ind w:hanging="360"/>
    </w:pPr>
    <w:rPr>
      <w:rFonts w:eastAsia="Arial" w:cs="Arial"/>
      <w:sz w:val="18"/>
      <w:szCs w:val="18"/>
    </w:rPr>
  </w:style>
  <w:style w:type="paragraph" w:customStyle="1" w:styleId="Textbody">
    <w:name w:val="Text body"/>
    <w:basedOn w:val="Standard0"/>
    <w:rsid w:val="00206D66"/>
    <w:pPr>
      <w:suppressAutoHyphens/>
      <w:overflowPunct/>
      <w:autoSpaceDE/>
      <w:adjustRightInd/>
      <w:jc w:val="both"/>
      <w:textAlignment w:val="baseline"/>
    </w:pPr>
    <w:rPr>
      <w:kern w:val="3"/>
      <w:szCs w:val="24"/>
    </w:rPr>
  </w:style>
  <w:style w:type="table" w:customStyle="1" w:styleId="TableNormal">
    <w:name w:val="Table Normal"/>
    <w:uiPriority w:val="2"/>
    <w:semiHidden/>
    <w:unhideWhenUsed/>
    <w:qFormat/>
    <w:rsid w:val="00206D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Spistreci3">
    <w:name w:val="toc 3"/>
    <w:aliases w:val="PZI-ST3"/>
    <w:basedOn w:val="Normalny"/>
    <w:uiPriority w:val="39"/>
    <w:qFormat/>
    <w:rsid w:val="00206D66"/>
    <w:pPr>
      <w:widowControl w:val="0"/>
      <w:autoSpaceDE w:val="0"/>
      <w:autoSpaceDN w:val="0"/>
      <w:spacing w:before="115" w:after="0" w:line="240" w:lineRule="auto"/>
      <w:ind w:left="633"/>
    </w:pPr>
    <w:rPr>
      <w:rFonts w:eastAsia="Arial" w:cs="Arial"/>
      <w:b/>
      <w:bCs/>
      <w:i/>
      <w:sz w:val="22"/>
    </w:rPr>
  </w:style>
  <w:style w:type="paragraph" w:styleId="Spistreci4">
    <w:name w:val="toc 4"/>
    <w:basedOn w:val="Normalny"/>
    <w:uiPriority w:val="39"/>
    <w:qFormat/>
    <w:rsid w:val="00206D66"/>
    <w:pPr>
      <w:widowControl w:val="0"/>
      <w:autoSpaceDE w:val="0"/>
      <w:autoSpaceDN w:val="0"/>
      <w:spacing w:before="115" w:after="0" w:line="240" w:lineRule="auto"/>
      <w:ind w:left="1648" w:hanging="795"/>
    </w:pPr>
    <w:rPr>
      <w:rFonts w:eastAsia="Arial" w:cs="Arial"/>
      <w:i/>
      <w:sz w:val="20"/>
      <w:szCs w:val="20"/>
    </w:rPr>
  </w:style>
  <w:style w:type="paragraph" w:styleId="Spistreci5">
    <w:name w:val="toc 5"/>
    <w:basedOn w:val="Normalny"/>
    <w:uiPriority w:val="39"/>
    <w:qFormat/>
    <w:rsid w:val="00206D66"/>
    <w:pPr>
      <w:widowControl w:val="0"/>
      <w:autoSpaceDE w:val="0"/>
      <w:autoSpaceDN w:val="0"/>
      <w:spacing w:before="115" w:after="0" w:line="240" w:lineRule="auto"/>
      <w:ind w:left="991"/>
    </w:pPr>
    <w:rPr>
      <w:rFonts w:eastAsia="Arial" w:cs="Arial"/>
      <w:sz w:val="16"/>
      <w:szCs w:val="16"/>
    </w:rPr>
  </w:style>
  <w:style w:type="paragraph" w:customStyle="1" w:styleId="TableParagraph">
    <w:name w:val="Table Paragraph"/>
    <w:basedOn w:val="Normalny"/>
    <w:uiPriority w:val="1"/>
    <w:qFormat/>
    <w:rsid w:val="00206D66"/>
    <w:pPr>
      <w:widowControl w:val="0"/>
      <w:autoSpaceDE w:val="0"/>
      <w:autoSpaceDN w:val="0"/>
      <w:spacing w:after="0" w:line="240" w:lineRule="auto"/>
    </w:pPr>
    <w:rPr>
      <w:rFonts w:eastAsia="Arial" w:cs="Arial"/>
      <w:sz w:val="22"/>
    </w:rPr>
  </w:style>
  <w:style w:type="table" w:customStyle="1" w:styleId="TableNormal1">
    <w:name w:val="Table Normal1"/>
    <w:uiPriority w:val="2"/>
    <w:semiHidden/>
    <w:unhideWhenUsed/>
    <w:qFormat/>
    <w:rsid w:val="00206D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06D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Siatka81">
    <w:name w:val="Tabela - Siatka81"/>
    <w:basedOn w:val="Standardowy"/>
    <w:next w:val="Tabela-Siatka"/>
    <w:uiPriority w:val="59"/>
    <w:rsid w:val="00206D6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Normalny"/>
    <w:next w:val="Normalny"/>
    <w:uiPriority w:val="99"/>
    <w:rsid w:val="00206D66"/>
    <w:pPr>
      <w:autoSpaceDE w:val="0"/>
      <w:autoSpaceDN w:val="0"/>
      <w:adjustRightInd w:val="0"/>
      <w:spacing w:after="0" w:line="240" w:lineRule="auto"/>
    </w:pPr>
    <w:rPr>
      <w:rFonts w:ascii="EUAlbertina" w:eastAsia="Calibri" w:hAnsi="EUAlbertina" w:cs="Times New Roman"/>
      <w:szCs w:val="24"/>
    </w:rPr>
  </w:style>
  <w:style w:type="paragraph" w:styleId="Podtytu">
    <w:name w:val="Subtitle"/>
    <w:aliases w:val="Normalny_PZI"/>
    <w:basedOn w:val="Normalny"/>
    <w:next w:val="Normalny"/>
    <w:link w:val="PodtytuZnak"/>
    <w:uiPriority w:val="99"/>
    <w:qFormat/>
    <w:rsid w:val="00206D66"/>
    <w:pPr>
      <w:numPr>
        <w:ilvl w:val="1"/>
      </w:numPr>
      <w:spacing w:line="240" w:lineRule="auto"/>
    </w:pPr>
    <w:rPr>
      <w:rFonts w:asciiTheme="minorHAnsi" w:eastAsiaTheme="minorEastAsia" w:hAnsiTheme="minorHAnsi"/>
      <w:color w:val="5A5A5A" w:themeColor="text1" w:themeTint="A5"/>
      <w:spacing w:val="15"/>
      <w:sz w:val="22"/>
      <w:lang w:eastAsia="pl-PL"/>
    </w:rPr>
  </w:style>
  <w:style w:type="character" w:customStyle="1" w:styleId="PodtytuZnak">
    <w:name w:val="Podtytuł Znak"/>
    <w:aliases w:val="Normalny_PZI Znak"/>
    <w:basedOn w:val="Domylnaczcionkaakapitu"/>
    <w:link w:val="Podtytu"/>
    <w:uiPriority w:val="99"/>
    <w:rsid w:val="00206D66"/>
    <w:rPr>
      <w:rFonts w:eastAsiaTheme="minorEastAsia"/>
      <w:color w:val="5A5A5A" w:themeColor="text1" w:themeTint="A5"/>
      <w:spacing w:val="15"/>
      <w:lang w:eastAsia="pl-PL"/>
    </w:rPr>
  </w:style>
  <w:style w:type="numbering" w:customStyle="1" w:styleId="Bezlisty11">
    <w:name w:val="Bez listy11"/>
    <w:next w:val="Bezlisty"/>
    <w:uiPriority w:val="99"/>
    <w:semiHidden/>
    <w:unhideWhenUsed/>
    <w:rsid w:val="00206D66"/>
  </w:style>
  <w:style w:type="table" w:customStyle="1" w:styleId="Tabela-Profesjonalny1">
    <w:name w:val="Tabela - Profesjonalny1"/>
    <w:basedOn w:val="Standardowy"/>
    <w:next w:val="Tabela-Profesjonalny"/>
    <w:rsid w:val="00206D66"/>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JSstandard">
    <w:name w:val="JSstandard"/>
    <w:basedOn w:val="Normalny"/>
    <w:rsid w:val="00206D66"/>
    <w:pPr>
      <w:widowControl w:val="0"/>
      <w:spacing w:after="0" w:line="240" w:lineRule="auto"/>
      <w:jc w:val="both"/>
    </w:pPr>
    <w:rPr>
      <w:rFonts w:ascii="Times New Roman" w:eastAsia="Calibri" w:hAnsi="Times New Roman" w:cs="Times New Roman"/>
      <w:szCs w:val="20"/>
      <w:lang w:eastAsia="pl-PL"/>
    </w:rPr>
  </w:style>
  <w:style w:type="character" w:customStyle="1" w:styleId="ListParagraphChar">
    <w:name w:val="List Paragraph Char"/>
    <w:link w:val="Akapitzlist1"/>
    <w:qFormat/>
    <w:locked/>
    <w:rsid w:val="00206D66"/>
    <w:rPr>
      <w:rFonts w:ascii="Calibri" w:eastAsia="Calibri" w:hAnsi="Calibri" w:cs="Times New Roman"/>
      <w:kern w:val="1"/>
      <w:lang w:eastAsia="ar-SA"/>
    </w:rPr>
  </w:style>
  <w:style w:type="paragraph" w:styleId="Cytat">
    <w:name w:val="Quote"/>
    <w:basedOn w:val="Normalny"/>
    <w:next w:val="Normalny"/>
    <w:link w:val="CytatZnak"/>
    <w:qFormat/>
    <w:rsid w:val="00206D66"/>
    <w:pPr>
      <w:spacing w:after="0" w:line="240" w:lineRule="auto"/>
    </w:pPr>
    <w:rPr>
      <w:rFonts w:ascii="Times New Roman" w:eastAsia="Times New Roman" w:hAnsi="Times New Roman" w:cs="Times New Roman"/>
      <w:i/>
      <w:iCs/>
      <w:color w:val="000000"/>
      <w:sz w:val="20"/>
      <w:szCs w:val="20"/>
      <w:lang w:val="x-none" w:eastAsia="x-none"/>
    </w:rPr>
  </w:style>
  <w:style w:type="character" w:customStyle="1" w:styleId="CytatZnak">
    <w:name w:val="Cytat Znak"/>
    <w:basedOn w:val="Domylnaczcionkaakapitu"/>
    <w:link w:val="Cytat"/>
    <w:rsid w:val="00206D66"/>
    <w:rPr>
      <w:rFonts w:ascii="Times New Roman" w:eastAsia="Times New Roman" w:hAnsi="Times New Roman" w:cs="Times New Roman"/>
      <w:i/>
      <w:iCs/>
      <w:color w:val="000000"/>
      <w:sz w:val="20"/>
      <w:szCs w:val="20"/>
      <w:lang w:val="x-none" w:eastAsia="x-none"/>
    </w:rPr>
  </w:style>
  <w:style w:type="paragraph" w:customStyle="1" w:styleId="Normalny11">
    <w:name w:val="Normalny11"/>
    <w:rsid w:val="00206D66"/>
    <w:pPr>
      <w:suppressAutoHyphens/>
      <w:autoSpaceDN w:val="0"/>
      <w:spacing w:after="200" w:line="276" w:lineRule="auto"/>
      <w:textAlignment w:val="baseline"/>
    </w:pPr>
    <w:rPr>
      <w:rFonts w:ascii="Calibri" w:eastAsia="Calibri" w:hAnsi="Calibri" w:cs="Times New Roman"/>
    </w:rPr>
  </w:style>
  <w:style w:type="character" w:customStyle="1" w:styleId="Domylnaczcionkaakapitu1">
    <w:name w:val="Domyślna czcionka akapitu1"/>
    <w:rsid w:val="00206D66"/>
  </w:style>
  <w:style w:type="paragraph" w:customStyle="1" w:styleId="Spistreci11">
    <w:name w:val="Spis treści 11"/>
    <w:basedOn w:val="Normalny11"/>
    <w:next w:val="Normalny11"/>
    <w:autoRedefine/>
    <w:rsid w:val="00206D66"/>
    <w:pPr>
      <w:tabs>
        <w:tab w:val="left" w:pos="-993"/>
        <w:tab w:val="right" w:leader="dot" w:pos="9061"/>
      </w:tabs>
      <w:spacing w:after="0" w:line="240" w:lineRule="auto"/>
      <w:ind w:right="-108"/>
      <w:jc w:val="center"/>
    </w:pPr>
    <w:rPr>
      <w:rFonts w:ascii="Times New Roman" w:eastAsia="Times New Roman" w:hAnsi="Times New Roman"/>
    </w:rPr>
  </w:style>
  <w:style w:type="paragraph" w:customStyle="1" w:styleId="Texte">
    <w:name w:val="Texte"/>
    <w:basedOn w:val="Normalny"/>
    <w:rsid w:val="00206D66"/>
    <w:pPr>
      <w:spacing w:after="200" w:line="288" w:lineRule="auto"/>
      <w:ind w:left="1134"/>
      <w:jc w:val="both"/>
    </w:pPr>
    <w:rPr>
      <w:rFonts w:eastAsia="Times New Roman" w:cs="Times New Roman"/>
      <w:sz w:val="20"/>
      <w:szCs w:val="24"/>
      <w:lang w:val="fr-FR" w:eastAsia="fr-FR"/>
    </w:rPr>
  </w:style>
  <w:style w:type="character" w:customStyle="1" w:styleId="Styl1Znak">
    <w:name w:val="Styl1 Znak"/>
    <w:link w:val="Styl1"/>
    <w:rsid w:val="00206D66"/>
    <w:rPr>
      <w:rFonts w:ascii="Arial" w:eastAsia="Times New Roman" w:hAnsi="Arial" w:cs="Times New Roman"/>
      <w:sz w:val="28"/>
      <w:szCs w:val="20"/>
      <w:u w:val="single"/>
      <w:lang w:eastAsia="pl-PL"/>
    </w:rPr>
  </w:style>
  <w:style w:type="character" w:customStyle="1" w:styleId="TeksttreciTimesNewRoman">
    <w:name w:val="Tekst treści + Times New Roman"/>
    <w:aliases w:val="8 pt,Odstępy 0 pt,Tekst treści + Corbel,11,5 pt"/>
    <w:rsid w:val="00206D66"/>
    <w:rPr>
      <w:rFonts w:ascii="Times New Roman" w:eastAsia="Times New Roman" w:hAnsi="Times New Roman" w:cs="Times New Roman" w:hint="default"/>
      <w:b w:val="0"/>
      <w:bCs w:val="0"/>
      <w:i w:val="0"/>
      <w:iCs w:val="0"/>
      <w:smallCaps w:val="0"/>
      <w:strike w:val="0"/>
      <w:dstrike w:val="0"/>
      <w:color w:val="000000"/>
      <w:spacing w:val="7"/>
      <w:w w:val="100"/>
      <w:position w:val="0"/>
      <w:sz w:val="16"/>
      <w:szCs w:val="16"/>
      <w:u w:val="none"/>
      <w:effect w:val="none"/>
      <w:lang w:val="pl-PL" w:eastAsia="pl-PL" w:bidi="pl-PL"/>
    </w:rPr>
  </w:style>
  <w:style w:type="paragraph" w:customStyle="1" w:styleId="kropa10">
    <w:name w:val="kropa1"/>
    <w:basedOn w:val="Normalny"/>
    <w:rsid w:val="00206D66"/>
    <w:pPr>
      <w:spacing w:after="0" w:line="360" w:lineRule="auto"/>
      <w:ind w:left="357" w:hanging="357"/>
      <w:jc w:val="both"/>
    </w:pPr>
    <w:rPr>
      <w:rFonts w:ascii="Times New Roman" w:eastAsia="Times New Roman" w:hAnsi="Times New Roman" w:cs="Times New Roman"/>
      <w:szCs w:val="20"/>
      <w:lang w:eastAsia="pl-PL"/>
    </w:rPr>
  </w:style>
  <w:style w:type="paragraph" w:customStyle="1" w:styleId="Wyliczenie">
    <w:name w:val="Wyliczenie [•]"/>
    <w:basedOn w:val="Normalny"/>
    <w:rsid w:val="00206D66"/>
    <w:pPr>
      <w:keepLines/>
      <w:spacing w:before="60" w:after="60" w:line="240" w:lineRule="auto"/>
      <w:ind w:left="284" w:hanging="284"/>
      <w:jc w:val="both"/>
    </w:pPr>
    <w:rPr>
      <w:rFonts w:ascii="Times New Roman" w:eastAsia="Times New Roman" w:hAnsi="Times New Roman" w:cs="Times New Roman"/>
      <w:szCs w:val="20"/>
      <w:lang w:eastAsia="pl-PL"/>
    </w:rPr>
  </w:style>
  <w:style w:type="character" w:customStyle="1" w:styleId="Tekstpodstawowy2Znak1">
    <w:name w:val="Tekst podstawowy 2 Znak1"/>
    <w:aliases w:val="Nagłowek Tabeli Znak,Podpis rysunku Znak"/>
    <w:uiPriority w:val="99"/>
    <w:semiHidden/>
    <w:locked/>
    <w:rsid w:val="00206D66"/>
    <w:rPr>
      <w:rFonts w:ascii="Times New Roman" w:eastAsia="Times New Roman" w:hAnsi="Times New Roman" w:cs="Times New Roman"/>
      <w:sz w:val="24"/>
      <w:szCs w:val="24"/>
      <w:lang w:eastAsia="pl-PL"/>
    </w:rPr>
  </w:style>
  <w:style w:type="character" w:customStyle="1" w:styleId="FontStyle154">
    <w:name w:val="Font Style154"/>
    <w:uiPriority w:val="99"/>
    <w:rsid w:val="00206D66"/>
    <w:rPr>
      <w:rFonts w:ascii="Arial" w:hAnsi="Arial" w:cs="Arial"/>
      <w:color w:val="000000"/>
      <w:sz w:val="22"/>
      <w:szCs w:val="22"/>
    </w:rPr>
  </w:style>
  <w:style w:type="character" w:customStyle="1" w:styleId="FontStyle156">
    <w:name w:val="Font Style156"/>
    <w:uiPriority w:val="99"/>
    <w:rsid w:val="00206D66"/>
    <w:rPr>
      <w:rFonts w:ascii="Arial" w:hAnsi="Arial" w:cs="Arial"/>
      <w:b/>
      <w:bCs/>
      <w:color w:val="000000"/>
      <w:sz w:val="22"/>
      <w:szCs w:val="22"/>
    </w:rPr>
  </w:style>
  <w:style w:type="paragraph" w:customStyle="1" w:styleId="Style47">
    <w:name w:val="Style47"/>
    <w:basedOn w:val="Normalny"/>
    <w:uiPriority w:val="99"/>
    <w:rsid w:val="00206D66"/>
    <w:pPr>
      <w:widowControl w:val="0"/>
      <w:autoSpaceDE w:val="0"/>
      <w:autoSpaceDN w:val="0"/>
      <w:adjustRightInd w:val="0"/>
      <w:spacing w:after="0" w:line="240" w:lineRule="auto"/>
    </w:pPr>
    <w:rPr>
      <w:rFonts w:ascii="Georgia" w:eastAsia="Times New Roman" w:hAnsi="Georgia" w:cs="Times New Roman"/>
      <w:szCs w:val="24"/>
      <w:lang w:eastAsia="pl-PL"/>
    </w:rPr>
  </w:style>
  <w:style w:type="paragraph" w:customStyle="1" w:styleId="Style2">
    <w:name w:val="Style2"/>
    <w:basedOn w:val="Normalny"/>
    <w:uiPriority w:val="99"/>
    <w:rsid w:val="00206D66"/>
    <w:pPr>
      <w:widowControl w:val="0"/>
      <w:autoSpaceDE w:val="0"/>
      <w:autoSpaceDN w:val="0"/>
      <w:adjustRightInd w:val="0"/>
      <w:spacing w:after="0" w:line="240" w:lineRule="auto"/>
    </w:pPr>
    <w:rPr>
      <w:rFonts w:ascii="Arial Unicode MS" w:eastAsia="Arial Unicode MS" w:hAnsi="Calibri" w:cs="Arial Unicode MS"/>
      <w:szCs w:val="24"/>
      <w:lang w:eastAsia="pl-PL"/>
    </w:rPr>
  </w:style>
  <w:style w:type="paragraph" w:customStyle="1" w:styleId="Style4">
    <w:name w:val="Style4"/>
    <w:basedOn w:val="Normalny"/>
    <w:uiPriority w:val="99"/>
    <w:rsid w:val="00206D66"/>
    <w:pPr>
      <w:widowControl w:val="0"/>
      <w:autoSpaceDE w:val="0"/>
      <w:autoSpaceDN w:val="0"/>
      <w:adjustRightInd w:val="0"/>
      <w:spacing w:after="0" w:line="245" w:lineRule="exact"/>
      <w:jc w:val="center"/>
    </w:pPr>
    <w:rPr>
      <w:rFonts w:ascii="Arial Unicode MS" w:eastAsia="Arial Unicode MS" w:hAnsi="Calibri" w:cs="Arial Unicode MS"/>
      <w:szCs w:val="24"/>
      <w:lang w:eastAsia="pl-PL"/>
    </w:rPr>
  </w:style>
  <w:style w:type="paragraph" w:customStyle="1" w:styleId="Style5">
    <w:name w:val="Style5"/>
    <w:basedOn w:val="Normalny"/>
    <w:uiPriority w:val="99"/>
    <w:rsid w:val="00206D66"/>
    <w:pPr>
      <w:widowControl w:val="0"/>
      <w:autoSpaceDE w:val="0"/>
      <w:autoSpaceDN w:val="0"/>
      <w:adjustRightInd w:val="0"/>
      <w:spacing w:after="0" w:line="250" w:lineRule="exact"/>
      <w:ind w:hanging="269"/>
    </w:pPr>
    <w:rPr>
      <w:rFonts w:ascii="Arial Unicode MS" w:eastAsia="Arial Unicode MS" w:hAnsi="Calibri" w:cs="Arial Unicode MS"/>
      <w:szCs w:val="24"/>
      <w:lang w:eastAsia="pl-PL"/>
    </w:rPr>
  </w:style>
  <w:style w:type="paragraph" w:customStyle="1" w:styleId="Style7">
    <w:name w:val="Style7"/>
    <w:basedOn w:val="Normalny"/>
    <w:uiPriority w:val="99"/>
    <w:rsid w:val="00206D66"/>
    <w:pPr>
      <w:widowControl w:val="0"/>
      <w:autoSpaceDE w:val="0"/>
      <w:autoSpaceDN w:val="0"/>
      <w:adjustRightInd w:val="0"/>
      <w:spacing w:after="0" w:line="240" w:lineRule="auto"/>
    </w:pPr>
    <w:rPr>
      <w:rFonts w:ascii="Arial Unicode MS" w:eastAsia="Arial Unicode MS" w:hAnsi="Calibri" w:cs="Arial Unicode MS"/>
      <w:szCs w:val="24"/>
      <w:lang w:eastAsia="pl-PL"/>
    </w:rPr>
  </w:style>
  <w:style w:type="character" w:customStyle="1" w:styleId="FontStyle13">
    <w:name w:val="Font Style13"/>
    <w:uiPriority w:val="99"/>
    <w:rsid w:val="00206D66"/>
    <w:rPr>
      <w:rFonts w:ascii="Arial Unicode MS" w:eastAsia="Arial Unicode MS" w:cs="Arial Unicode MS"/>
      <w:color w:val="000000"/>
      <w:sz w:val="24"/>
      <w:szCs w:val="24"/>
    </w:rPr>
  </w:style>
  <w:style w:type="character" w:customStyle="1" w:styleId="FontStyle14">
    <w:name w:val="Font Style14"/>
    <w:uiPriority w:val="99"/>
    <w:rsid w:val="00206D66"/>
    <w:rPr>
      <w:rFonts w:ascii="Arial Unicode MS" w:eastAsia="Arial Unicode MS" w:cs="Arial Unicode MS"/>
      <w:b/>
      <w:bCs/>
      <w:color w:val="000000"/>
      <w:sz w:val="22"/>
      <w:szCs w:val="22"/>
    </w:rPr>
  </w:style>
  <w:style w:type="character" w:customStyle="1" w:styleId="FontStyle15">
    <w:name w:val="Font Style15"/>
    <w:uiPriority w:val="99"/>
    <w:rsid w:val="00206D66"/>
    <w:rPr>
      <w:rFonts w:ascii="Arial Unicode MS" w:eastAsia="Arial Unicode MS" w:cs="Arial Unicode MS"/>
      <w:color w:val="000000"/>
      <w:sz w:val="22"/>
      <w:szCs w:val="22"/>
    </w:rPr>
  </w:style>
  <w:style w:type="paragraph" w:styleId="Spistreci7">
    <w:name w:val="toc 7"/>
    <w:basedOn w:val="Normalny"/>
    <w:next w:val="Normalny"/>
    <w:autoRedefine/>
    <w:uiPriority w:val="39"/>
    <w:unhideWhenUsed/>
    <w:rsid w:val="00206D66"/>
    <w:pPr>
      <w:spacing w:after="0" w:line="360" w:lineRule="auto"/>
      <w:ind w:left="1440"/>
    </w:pPr>
    <w:rPr>
      <w:rFonts w:ascii="Times New Roman" w:eastAsia="Times New Roman" w:hAnsi="Times New Roman" w:cs="Times New Roman"/>
      <w:sz w:val="18"/>
      <w:szCs w:val="20"/>
      <w:lang w:eastAsia="pl-PL"/>
    </w:rPr>
  </w:style>
  <w:style w:type="table" w:customStyle="1" w:styleId="Tabela-Siatka111">
    <w:name w:val="Tabela - Siatka111"/>
    <w:basedOn w:val="Standardowy"/>
    <w:next w:val="Tabela-Siatka"/>
    <w:uiPriority w:val="39"/>
    <w:rsid w:val="00206D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semiHidden/>
    <w:unhideWhenUsed/>
    <w:rsid w:val="00206D66"/>
  </w:style>
  <w:style w:type="table" w:customStyle="1" w:styleId="Tabela-Profesjonalny2">
    <w:name w:val="Tabela - Profesjonalny2"/>
    <w:basedOn w:val="Standardowy"/>
    <w:next w:val="Tabela-Profesjonalny"/>
    <w:rsid w:val="00206D66"/>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Podkrelony">
    <w:name w:val="Podkreślony"/>
    <w:basedOn w:val="Normalny"/>
    <w:uiPriority w:val="99"/>
    <w:rsid w:val="00206D66"/>
    <w:pPr>
      <w:keepNext/>
      <w:spacing w:before="120" w:after="120" w:line="240" w:lineRule="auto"/>
      <w:jc w:val="both"/>
    </w:pPr>
    <w:rPr>
      <w:rFonts w:ascii="Times New Roman" w:eastAsia="Times New Roman" w:hAnsi="Times New Roman" w:cs="Times New Roman"/>
      <w:i/>
      <w:sz w:val="22"/>
      <w:szCs w:val="20"/>
      <w:u w:val="single"/>
      <w:lang w:eastAsia="pl-PL"/>
    </w:rPr>
  </w:style>
  <w:style w:type="paragraph" w:styleId="Indeks1">
    <w:name w:val="index 1"/>
    <w:basedOn w:val="Normalny"/>
    <w:next w:val="Normalny"/>
    <w:autoRedefine/>
    <w:uiPriority w:val="99"/>
    <w:unhideWhenUsed/>
    <w:rsid w:val="00206D66"/>
    <w:pPr>
      <w:spacing w:after="0" w:line="240" w:lineRule="auto"/>
      <w:ind w:left="200" w:hanging="200"/>
    </w:pPr>
    <w:rPr>
      <w:rFonts w:ascii="Times New Roman" w:eastAsia="Times New Roman" w:hAnsi="Times New Roman" w:cs="Times New Roman"/>
      <w:sz w:val="20"/>
      <w:szCs w:val="20"/>
      <w:lang w:eastAsia="pl-PL"/>
    </w:rPr>
  </w:style>
  <w:style w:type="paragraph" w:styleId="Nagwekindeksu">
    <w:name w:val="index heading"/>
    <w:basedOn w:val="Normalny"/>
    <w:next w:val="Indeks1"/>
    <w:rsid w:val="00206D66"/>
    <w:pPr>
      <w:spacing w:after="0" w:line="240" w:lineRule="auto"/>
    </w:pPr>
    <w:rPr>
      <w:rFonts w:ascii="Times New Roman" w:eastAsia="Times New Roman" w:hAnsi="Times New Roman" w:cs="Times New Roman"/>
      <w:sz w:val="20"/>
      <w:szCs w:val="20"/>
      <w:lang w:eastAsia="pl-PL"/>
    </w:rPr>
  </w:style>
  <w:style w:type="paragraph" w:customStyle="1" w:styleId="Tabelka">
    <w:name w:val="Tabelka"/>
    <w:basedOn w:val="Normalny"/>
    <w:rsid w:val="00206D66"/>
    <w:pPr>
      <w:keepNext/>
      <w:spacing w:after="0" w:line="240" w:lineRule="auto"/>
      <w:jc w:val="both"/>
    </w:pPr>
    <w:rPr>
      <w:rFonts w:ascii="Times New Roman" w:eastAsia="Times New Roman" w:hAnsi="Times New Roman" w:cs="Times New Roman"/>
      <w:sz w:val="20"/>
      <w:szCs w:val="20"/>
      <w:lang w:eastAsia="pl-PL"/>
    </w:rPr>
  </w:style>
  <w:style w:type="paragraph" w:customStyle="1" w:styleId="CowiClient">
    <w:name w:val="CowiClient"/>
    <w:basedOn w:val="Normalny"/>
    <w:next w:val="Tekstblokowy"/>
    <w:rsid w:val="00206D66"/>
    <w:pPr>
      <w:keepNext/>
      <w:suppressAutoHyphens/>
      <w:spacing w:line="320" w:lineRule="exact"/>
      <w:ind w:firstLine="709"/>
      <w:jc w:val="both"/>
    </w:pPr>
    <w:rPr>
      <w:rFonts w:ascii="TrueHelveticaLight" w:eastAsia="Times New Roman" w:hAnsi="TrueHelveticaLight" w:cs="Times New Roman"/>
      <w:sz w:val="28"/>
      <w:szCs w:val="20"/>
      <w:lang w:val="en-GB" w:eastAsia="pl-PL"/>
    </w:rPr>
  </w:style>
  <w:style w:type="paragraph" w:customStyle="1" w:styleId="Wyrnienie">
    <w:name w:val="Wyróżnienie"/>
    <w:basedOn w:val="Normalny"/>
    <w:next w:val="Normalny"/>
    <w:rsid w:val="00206D66"/>
    <w:pPr>
      <w:keepNext/>
      <w:spacing w:before="120" w:after="120" w:line="240" w:lineRule="auto"/>
      <w:jc w:val="both"/>
    </w:pPr>
    <w:rPr>
      <w:rFonts w:ascii="Times New Roman" w:eastAsia="Times New Roman" w:hAnsi="Times New Roman" w:cs="Times New Roman"/>
      <w:b/>
      <w:i/>
      <w:snapToGrid w:val="0"/>
      <w:szCs w:val="20"/>
      <w:lang w:eastAsia="pl-PL"/>
    </w:rPr>
  </w:style>
  <w:style w:type="character" w:customStyle="1" w:styleId="patron">
    <w:name w:val="patron"/>
    <w:basedOn w:val="Domylnaczcionkaakapitu"/>
    <w:rsid w:val="00206D66"/>
  </w:style>
  <w:style w:type="character" w:customStyle="1" w:styleId="ZnakZnak10">
    <w:name w:val="Znak Znak10"/>
    <w:basedOn w:val="Domylnaczcionkaakapitu"/>
    <w:qFormat/>
    <w:rsid w:val="00206D66"/>
    <w:rPr>
      <w:rFonts w:ascii="Times New Roman" w:eastAsia="Times New Roman" w:hAnsi="Times New Roman" w:cs="Times New Roman"/>
      <w:sz w:val="20"/>
      <w:szCs w:val="20"/>
      <w:lang w:eastAsia="pl-PL"/>
    </w:rPr>
  </w:style>
  <w:style w:type="character" w:customStyle="1" w:styleId="ZnakZnak12">
    <w:name w:val="Znak Znak12"/>
    <w:basedOn w:val="Domylnaczcionkaakapitu"/>
    <w:semiHidden/>
    <w:locked/>
    <w:rsid w:val="00206D66"/>
    <w:rPr>
      <w:sz w:val="20"/>
      <w:szCs w:val="20"/>
    </w:rPr>
  </w:style>
  <w:style w:type="numbering" w:customStyle="1" w:styleId="Bezlisty3">
    <w:name w:val="Bez listy3"/>
    <w:next w:val="Bezlisty"/>
    <w:uiPriority w:val="99"/>
    <w:semiHidden/>
    <w:unhideWhenUsed/>
    <w:rsid w:val="00AE3B9C"/>
  </w:style>
  <w:style w:type="table" w:customStyle="1" w:styleId="Tabela-Siatka9">
    <w:name w:val="Tabela - Siatka9"/>
    <w:basedOn w:val="Standardowy"/>
    <w:next w:val="Tabela-Siatka"/>
    <w:uiPriority w:val="59"/>
    <w:rsid w:val="00AE3B9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uiPriority w:val="59"/>
    <w:rsid w:val="00AE3B9C"/>
    <w:pPr>
      <w:spacing w:after="0" w:line="240" w:lineRule="auto"/>
    </w:pPr>
    <w:rPr>
      <w:rFonts w:ascii="Frutiger LT Pro 55 Roman" w:eastAsia="Calibri" w:hAnsi="Frutiger LT Pro 55 Roman"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59"/>
    <w:rsid w:val="00AE3B9C"/>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
    <w:name w:val="Bez listy12"/>
    <w:next w:val="Bezlisty"/>
    <w:uiPriority w:val="99"/>
    <w:semiHidden/>
    <w:rsid w:val="00AE3B9C"/>
  </w:style>
  <w:style w:type="table" w:customStyle="1" w:styleId="Tabela-Siatka91">
    <w:name w:val="Tabela - Siatka91"/>
    <w:basedOn w:val="Standardowy"/>
    <w:next w:val="Tabela-Siatka"/>
    <w:uiPriority w:val="59"/>
    <w:rsid w:val="00AE3B9C"/>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11">
    <w:name w:val="Tabela - Profesjonalny11"/>
    <w:basedOn w:val="Standardowy"/>
    <w:next w:val="Tabela-Profesjonalny"/>
    <w:rsid w:val="00AE3B9C"/>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1">
    <w:name w:val="Bieżąca lista11"/>
    <w:rsid w:val="00AE3B9C"/>
  </w:style>
  <w:style w:type="paragraph" w:customStyle="1" w:styleId="standardowy2">
    <w:name w:val="standardowy"/>
    <w:basedOn w:val="Normalny"/>
    <w:rsid w:val="00AE3B9C"/>
    <w:pPr>
      <w:widowControl w:val="0"/>
      <w:spacing w:before="30" w:after="30" w:line="240" w:lineRule="auto"/>
      <w:ind w:right="113"/>
      <w:jc w:val="center"/>
    </w:pPr>
    <w:rPr>
      <w:rFonts w:ascii="Times New Roman" w:eastAsia="Times New Roman" w:hAnsi="Times New Roman" w:cs="Arial"/>
      <w:szCs w:val="20"/>
      <w:lang w:eastAsia="pl-PL"/>
      <w14:shadow w14:blurRad="50800" w14:dist="38100" w14:dir="2700000" w14:sx="100000" w14:sy="100000" w14:kx="0" w14:ky="0" w14:algn="tl">
        <w14:srgbClr w14:val="000000">
          <w14:alpha w14:val="60000"/>
        </w14:srgbClr>
      </w14:shadow>
    </w:rPr>
  </w:style>
  <w:style w:type="numbering" w:customStyle="1" w:styleId="Bezlisty21">
    <w:name w:val="Bez listy21"/>
    <w:next w:val="Bezlisty"/>
    <w:uiPriority w:val="99"/>
    <w:semiHidden/>
    <w:unhideWhenUsed/>
    <w:rsid w:val="00AE3B9C"/>
  </w:style>
  <w:style w:type="table" w:customStyle="1" w:styleId="Tabela-Siatka112">
    <w:name w:val="Tabela - Siatka112"/>
    <w:basedOn w:val="Standardowy"/>
    <w:next w:val="Tabela-Siatka"/>
    <w:uiPriority w:val="59"/>
    <w:rsid w:val="00AE3B9C"/>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1">
    <w:name w:val="Bez listy31"/>
    <w:next w:val="Bezlisty"/>
    <w:uiPriority w:val="99"/>
    <w:semiHidden/>
    <w:unhideWhenUsed/>
    <w:rsid w:val="00AE3B9C"/>
  </w:style>
  <w:style w:type="numbering" w:customStyle="1" w:styleId="Biecalista111">
    <w:name w:val="Bieżąca lista111"/>
    <w:rsid w:val="00AE3B9C"/>
  </w:style>
  <w:style w:type="numbering" w:customStyle="1" w:styleId="Bezlisty4">
    <w:name w:val="Bez listy4"/>
    <w:next w:val="Bezlisty"/>
    <w:uiPriority w:val="99"/>
    <w:semiHidden/>
    <w:unhideWhenUsed/>
    <w:rsid w:val="00AE3B9C"/>
  </w:style>
  <w:style w:type="numbering" w:customStyle="1" w:styleId="Bezlisty111">
    <w:name w:val="Bez listy111"/>
    <w:next w:val="Bezlisty"/>
    <w:uiPriority w:val="99"/>
    <w:semiHidden/>
    <w:unhideWhenUsed/>
    <w:rsid w:val="00AE3B9C"/>
  </w:style>
  <w:style w:type="numbering" w:customStyle="1" w:styleId="Bezlisty1111">
    <w:name w:val="Bez listy1111"/>
    <w:next w:val="Bezlisty"/>
    <w:uiPriority w:val="99"/>
    <w:semiHidden/>
    <w:rsid w:val="00AE3B9C"/>
  </w:style>
  <w:style w:type="numbering" w:customStyle="1" w:styleId="Biecalista12">
    <w:name w:val="Bieżąca lista12"/>
    <w:rsid w:val="00AE3B9C"/>
  </w:style>
  <w:style w:type="numbering" w:customStyle="1" w:styleId="Bezlisty211">
    <w:name w:val="Bez listy211"/>
    <w:next w:val="Bezlisty"/>
    <w:uiPriority w:val="99"/>
    <w:semiHidden/>
    <w:unhideWhenUsed/>
    <w:rsid w:val="00AE3B9C"/>
  </w:style>
  <w:style w:type="numbering" w:customStyle="1" w:styleId="Bezlisty311">
    <w:name w:val="Bez listy311"/>
    <w:next w:val="Bezlisty"/>
    <w:uiPriority w:val="99"/>
    <w:semiHidden/>
    <w:unhideWhenUsed/>
    <w:rsid w:val="00AE3B9C"/>
  </w:style>
  <w:style w:type="numbering" w:customStyle="1" w:styleId="Biecalista1111">
    <w:name w:val="Bieżąca lista1111"/>
    <w:rsid w:val="00AE3B9C"/>
  </w:style>
  <w:style w:type="numbering" w:customStyle="1" w:styleId="Bezlisty5">
    <w:name w:val="Bez listy5"/>
    <w:next w:val="Bezlisty"/>
    <w:uiPriority w:val="99"/>
    <w:semiHidden/>
    <w:unhideWhenUsed/>
    <w:rsid w:val="003A2CD6"/>
  </w:style>
  <w:style w:type="table" w:customStyle="1" w:styleId="Tabela-Siatka10">
    <w:name w:val="Tabela - Siatka10"/>
    <w:basedOn w:val="Standardowy"/>
    <w:next w:val="Tabela-Siatka"/>
    <w:uiPriority w:val="59"/>
    <w:rsid w:val="003A2CD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semiHidden/>
    <w:rsid w:val="003A2CD6"/>
  </w:style>
  <w:style w:type="paragraph" w:customStyle="1" w:styleId="Bezodstpw11">
    <w:name w:val="Bez odstępów11"/>
    <w:uiPriority w:val="99"/>
    <w:qFormat/>
    <w:rsid w:val="003A2CD6"/>
    <w:pPr>
      <w:suppressAutoHyphens/>
      <w:spacing w:after="0" w:line="240" w:lineRule="auto"/>
      <w:jc w:val="center"/>
    </w:pPr>
    <w:rPr>
      <w:rFonts w:ascii="Calibri" w:eastAsia="Times New Roman" w:hAnsi="Calibri" w:cs="Calibri"/>
      <w:lang w:eastAsia="ar-SA"/>
    </w:rPr>
  </w:style>
  <w:style w:type="table" w:customStyle="1" w:styleId="Tabela-Siatka14">
    <w:name w:val="Tabela - Siatka14"/>
    <w:basedOn w:val="Standardowy"/>
    <w:uiPriority w:val="59"/>
    <w:rsid w:val="003A2CD6"/>
    <w:pPr>
      <w:spacing w:after="0" w:line="240" w:lineRule="auto"/>
    </w:pPr>
    <w:rPr>
      <w:rFonts w:ascii="Frutiger LT Pro 55 Roman" w:eastAsia="Calibri" w:hAnsi="Frutiger LT Pro 55 Roman"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semiHidden/>
    <w:unhideWhenUsed/>
    <w:rsid w:val="003A2CD6"/>
  </w:style>
  <w:style w:type="paragraph" w:customStyle="1" w:styleId="xl38">
    <w:name w:val="xl38"/>
    <w:basedOn w:val="Normalny"/>
    <w:rsid w:val="003A2CD6"/>
    <w:pPr>
      <w:spacing w:before="100" w:beforeAutospacing="1" w:after="100" w:afterAutospacing="1" w:line="240" w:lineRule="auto"/>
      <w:jc w:val="center"/>
    </w:pPr>
    <w:rPr>
      <w:rFonts w:eastAsia="Arial Unicode MS" w:cs="Arial"/>
      <w:szCs w:val="24"/>
      <w:lang w:eastAsia="pl-PL"/>
    </w:rPr>
  </w:style>
  <w:style w:type="paragraph" w:customStyle="1" w:styleId="Standardowy20">
    <w:name w:val="Standardowy2"/>
    <w:basedOn w:val="Normalny"/>
    <w:qFormat/>
    <w:rsid w:val="003A2CD6"/>
    <w:pPr>
      <w:spacing w:after="0" w:line="240" w:lineRule="auto"/>
      <w:ind w:firstLine="709"/>
      <w:jc w:val="both"/>
    </w:pPr>
    <w:rPr>
      <w:rFonts w:eastAsia="Times New Roman" w:cs="Times New Roman"/>
      <w:szCs w:val="20"/>
      <w:lang w:eastAsia="pl-PL"/>
    </w:rPr>
  </w:style>
  <w:style w:type="paragraph" w:styleId="Listapunktowana2">
    <w:name w:val="List Bullet 2"/>
    <w:aliases w:val=" Znak Znak Znak Znak1, Znak Znak Znak Znak Znak Znak Znak"/>
    <w:basedOn w:val="Normalny"/>
    <w:autoRedefine/>
    <w:qFormat/>
    <w:rsid w:val="003A2CD6"/>
    <w:pPr>
      <w:numPr>
        <w:numId w:val="7"/>
      </w:numPr>
      <w:spacing w:before="120" w:after="120" w:line="240" w:lineRule="auto"/>
      <w:jc w:val="both"/>
    </w:pPr>
    <w:rPr>
      <w:rFonts w:eastAsia="Times New Roman" w:cs="Times New Roman"/>
      <w:noProof/>
      <w:szCs w:val="20"/>
      <w:lang w:eastAsia="pl-PL"/>
    </w:rPr>
  </w:style>
  <w:style w:type="character" w:customStyle="1" w:styleId="hgkelc">
    <w:name w:val="hgkelc"/>
    <w:basedOn w:val="Domylnaczcionkaakapitu"/>
    <w:rsid w:val="003A2CD6"/>
  </w:style>
  <w:style w:type="paragraph" w:customStyle="1" w:styleId="Tredokumentu">
    <w:name w:val="Treść dokumentu"/>
    <w:rsid w:val="003A2CD6"/>
    <w:pPr>
      <w:widowControl w:val="0"/>
      <w:suppressAutoHyphens/>
      <w:spacing w:after="0" w:line="360" w:lineRule="auto"/>
      <w:ind w:firstLine="425"/>
      <w:jc w:val="both"/>
    </w:pPr>
    <w:rPr>
      <w:rFonts w:ascii="Arial" w:eastAsia="Times New Roman" w:hAnsi="Arial" w:cs="Arial"/>
      <w:sz w:val="20"/>
      <w:szCs w:val="20"/>
      <w:lang w:eastAsia="pl-PL"/>
    </w:rPr>
  </w:style>
  <w:style w:type="numbering" w:customStyle="1" w:styleId="Bezlisty32">
    <w:name w:val="Bez listy32"/>
    <w:next w:val="Bezlisty"/>
    <w:uiPriority w:val="99"/>
    <w:semiHidden/>
    <w:unhideWhenUsed/>
    <w:rsid w:val="003A2CD6"/>
  </w:style>
  <w:style w:type="table" w:customStyle="1" w:styleId="Tabela-Siatka83">
    <w:name w:val="Tabela - Siatka83"/>
    <w:basedOn w:val="Standardowy"/>
    <w:next w:val="Tabela-Siatka"/>
    <w:rsid w:val="003A2CD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gwek3Znak1">
    <w:name w:val="Nagłówek 3 Znak1"/>
    <w:qFormat/>
    <w:rsid w:val="003A2CD6"/>
    <w:rPr>
      <w:rFonts w:ascii="Arial" w:eastAsia="Times New Roman" w:hAnsi="Arial"/>
      <w:b/>
      <w:kern w:val="2"/>
      <w:sz w:val="24"/>
      <w:lang w:val="x-none" w:eastAsia="x-none"/>
    </w:rPr>
  </w:style>
  <w:style w:type="character" w:customStyle="1" w:styleId="tabelaZnak">
    <w:name w:val="tabela Znak"/>
    <w:qFormat/>
    <w:rsid w:val="003A2CD6"/>
    <w:rPr>
      <w:rFonts w:ascii="Arial" w:eastAsia="Times New Roman" w:hAnsi="Arial" w:cs="Times New Roman"/>
      <w:sz w:val="18"/>
      <w:szCs w:val="20"/>
      <w:lang w:eastAsia="pl-PL"/>
    </w:rPr>
  </w:style>
  <w:style w:type="character" w:customStyle="1" w:styleId="W1i2pzZnak">
    <w:name w:val="W 1 i 2 pz Znak"/>
    <w:link w:val="W1i2pz"/>
    <w:qFormat/>
    <w:rsid w:val="003A2CD6"/>
    <w:rPr>
      <w:rFonts w:ascii="Arial" w:hAnsi="Arial"/>
    </w:rPr>
  </w:style>
  <w:style w:type="character" w:customStyle="1" w:styleId="StopkaZnak1">
    <w:name w:val="Stopka Znak1"/>
    <w:qFormat/>
    <w:rsid w:val="003A2CD6"/>
    <w:rPr>
      <w:rFonts w:ascii="Arial" w:eastAsia="Times New Roman" w:hAnsi="Arial" w:cs="Times New Roman"/>
      <w:sz w:val="18"/>
      <w:szCs w:val="20"/>
      <w:lang w:eastAsia="pl-PL"/>
    </w:rPr>
  </w:style>
  <w:style w:type="character" w:customStyle="1" w:styleId="Poziom3pzZnak">
    <w:name w:val="Poziom 3 pz Znak"/>
    <w:qFormat/>
    <w:rsid w:val="003A2CD6"/>
  </w:style>
  <w:style w:type="character" w:customStyle="1" w:styleId="Poziom1Znak1">
    <w:name w:val="Poziom 1 Znak1"/>
    <w:aliases w:val="2 pz Znak1"/>
    <w:qFormat/>
    <w:rsid w:val="003A2CD6"/>
    <w:rPr>
      <w:rFonts w:ascii="Arial" w:hAnsi="Arial"/>
      <w:sz w:val="22"/>
      <w:lang w:val="pl-PL" w:eastAsia="pl-PL" w:bidi="ar-SA"/>
    </w:rPr>
  </w:style>
  <w:style w:type="character" w:customStyle="1" w:styleId="Poziom4pzZnak">
    <w:name w:val="Poziom 4 pz Znak"/>
    <w:qFormat/>
    <w:rsid w:val="003A2CD6"/>
    <w:rPr>
      <w:rFonts w:ascii="Arial" w:hAnsi="Arial"/>
      <w:sz w:val="22"/>
      <w:lang w:val="pl-PL" w:eastAsia="pl-PL" w:bidi="ar-SA"/>
    </w:rPr>
  </w:style>
  <w:style w:type="character" w:customStyle="1" w:styleId="wyliczanieZnak">
    <w:name w:val="– wyliczanie Znak"/>
    <w:qFormat/>
    <w:rsid w:val="003A2CD6"/>
    <w:rPr>
      <w:rFonts w:ascii="Arial" w:eastAsia="Times New Roman" w:hAnsi="Arial" w:cs="Times New Roman"/>
      <w:szCs w:val="20"/>
      <w:lang w:eastAsia="pl-PL"/>
    </w:rPr>
  </w:style>
  <w:style w:type="character" w:customStyle="1" w:styleId="MapadokumentuZnak">
    <w:name w:val="Mapa dokumentu Znak"/>
    <w:link w:val="Mapadokumentu"/>
    <w:uiPriority w:val="99"/>
    <w:qFormat/>
    <w:rsid w:val="003A2CD6"/>
    <w:rPr>
      <w:rFonts w:ascii="Tahoma" w:hAnsi="Tahoma" w:cs="Helvetica"/>
      <w:sz w:val="18"/>
      <w:shd w:val="clear" w:color="auto" w:fill="000080"/>
    </w:rPr>
  </w:style>
  <w:style w:type="character" w:customStyle="1" w:styleId="TekstpodstawowyzwciciemZnak">
    <w:name w:val="Tekst podstawowy z wcięciem Znak"/>
    <w:link w:val="Tekstpodstawowyzwciciem"/>
    <w:uiPriority w:val="99"/>
    <w:qFormat/>
    <w:rsid w:val="003A2CD6"/>
    <w:rPr>
      <w:rFonts w:ascii="Arial" w:eastAsia="Times New Roman" w:hAnsi="Arial" w:cs="Times New Roman"/>
      <w:sz w:val="18"/>
      <w:szCs w:val="20"/>
      <w:lang w:eastAsia="pl-PL"/>
    </w:rPr>
  </w:style>
  <w:style w:type="character" w:customStyle="1" w:styleId="N1i2pzZnak">
    <w:name w:val="N 1 i 2 pz Znak"/>
    <w:qFormat/>
    <w:rsid w:val="003A2CD6"/>
    <w:rPr>
      <w:rFonts w:ascii="Arial" w:hAnsi="Arial"/>
      <w:sz w:val="22"/>
      <w:lang w:val="pl-PL" w:eastAsia="pl-PL" w:bidi="ar-SA"/>
    </w:rPr>
  </w:style>
  <w:style w:type="character" w:customStyle="1" w:styleId="Poziom3pzZnakZnakZnak">
    <w:name w:val="Poziom 3 pz Znak Znak Znak"/>
    <w:link w:val="Poziom3pzZnakZnak"/>
    <w:qFormat/>
    <w:rsid w:val="003A2CD6"/>
    <w:rPr>
      <w:rFonts w:ascii="Arial" w:hAnsi="Arial"/>
    </w:rPr>
  </w:style>
  <w:style w:type="character" w:customStyle="1" w:styleId="W4pzZnakZnak">
    <w:name w:val="W 4 pz Znak Znak"/>
    <w:link w:val="W4pzZnak"/>
    <w:qFormat/>
    <w:rsid w:val="003A2CD6"/>
    <w:rPr>
      <w:rFonts w:ascii="Arial" w:hAnsi="Arial"/>
    </w:rPr>
  </w:style>
  <w:style w:type="character" w:customStyle="1" w:styleId="Poziom3pzZnakZnak1ZnakZnak">
    <w:name w:val="Poziom 3 pz Znak Znak1 Znak Znak"/>
    <w:link w:val="Poziom3pzZnakZnak1Znak"/>
    <w:uiPriority w:val="99"/>
    <w:qFormat/>
    <w:rsid w:val="003A2CD6"/>
    <w:rPr>
      <w:rFonts w:ascii="Arial" w:hAnsi="Arial"/>
    </w:rPr>
  </w:style>
  <w:style w:type="character" w:customStyle="1" w:styleId="tabela2ZnakZnak">
    <w:name w:val="tabela 2 Znak Znak"/>
    <w:qFormat/>
    <w:rsid w:val="003A2CD6"/>
    <w:rPr>
      <w:rFonts w:ascii="Arial" w:eastAsia="Times New Roman" w:hAnsi="Arial" w:cs="Times New Roman"/>
      <w:sz w:val="18"/>
      <w:szCs w:val="20"/>
      <w:lang w:eastAsia="pl-PL"/>
    </w:rPr>
  </w:style>
  <w:style w:type="character" w:customStyle="1" w:styleId="hps">
    <w:name w:val="hps"/>
    <w:basedOn w:val="Domylnaczcionkaakapitu"/>
    <w:qFormat/>
    <w:rsid w:val="003A2CD6"/>
  </w:style>
  <w:style w:type="character" w:customStyle="1" w:styleId="shorttext">
    <w:name w:val="short_text"/>
    <w:qFormat/>
    <w:rsid w:val="003A2CD6"/>
  </w:style>
  <w:style w:type="character" w:customStyle="1" w:styleId="Poziom3pzZnakZnakZnakZnakZnakZnakZnakZnak">
    <w:name w:val="Poziom 3 pz Znak Znak Znak Znak Znak Znak Znak Znak"/>
    <w:link w:val="Poziom3pzZnakZnakZnakZnakZnakZnakZnak"/>
    <w:qFormat/>
    <w:rsid w:val="003A2CD6"/>
    <w:rPr>
      <w:rFonts w:ascii="Arial" w:hAnsi="Arial"/>
    </w:rPr>
  </w:style>
  <w:style w:type="character" w:customStyle="1" w:styleId="Poziom5pzZnakZnakZnakZnakZnak">
    <w:name w:val="Poziom 5 pz Znak Znak Znak Znak Znak"/>
    <w:link w:val="Poziom5pzZnakZnakZnakZnak"/>
    <w:qFormat/>
    <w:rsid w:val="003A2CD6"/>
    <w:rPr>
      <w:rFonts w:ascii="Arial" w:hAnsi="Arial"/>
    </w:rPr>
  </w:style>
  <w:style w:type="character" w:customStyle="1" w:styleId="Poziom12">
    <w:name w:val="Poziom 12"/>
    <w:qFormat/>
    <w:rsid w:val="003A2CD6"/>
    <w:rPr>
      <w:rFonts w:ascii="Arial" w:hAnsi="Arial"/>
      <w:sz w:val="22"/>
      <w:lang w:val="pl-PL" w:eastAsia="pl-PL" w:bidi="ar-SA"/>
    </w:rPr>
  </w:style>
  <w:style w:type="character" w:customStyle="1" w:styleId="S1i2pzZnakZnakZnak">
    <w:name w:val="S 1 i 2 pz Znak Znak Znak"/>
    <w:link w:val="S1i2pzZnakZnak"/>
    <w:qFormat/>
    <w:rsid w:val="003A2CD6"/>
    <w:rPr>
      <w:rFonts w:ascii="Arial" w:hAnsi="Arial"/>
    </w:rPr>
  </w:style>
  <w:style w:type="character" w:customStyle="1" w:styleId="N1i2pzZnakZnakZnak">
    <w:name w:val="N 1 i 2 pz Znak Znak Znak"/>
    <w:link w:val="N1i2pzZnakZnak"/>
    <w:qFormat/>
    <w:rsid w:val="003A2CD6"/>
    <w:rPr>
      <w:rFonts w:ascii="Arial" w:hAnsi="Arial"/>
    </w:rPr>
  </w:style>
  <w:style w:type="character" w:customStyle="1" w:styleId="Poziom4pzZnakZnakZnak">
    <w:name w:val="Poziom 4 pz Znak Znak Znak"/>
    <w:link w:val="Poziom4pzZnakZnak"/>
    <w:qFormat/>
    <w:rsid w:val="003A2CD6"/>
    <w:rPr>
      <w:rFonts w:ascii="Arial" w:hAnsi="Arial"/>
    </w:rPr>
  </w:style>
  <w:style w:type="character" w:customStyle="1" w:styleId="W3pzZnakZnakZnakZnak">
    <w:name w:val="W 3 pz Znak Znak Znak Znak"/>
    <w:link w:val="W3pzZnakZnakZnak"/>
    <w:qFormat/>
    <w:rsid w:val="003A2CD6"/>
    <w:rPr>
      <w:rFonts w:ascii="Arial" w:hAnsi="Arial"/>
    </w:rPr>
  </w:style>
  <w:style w:type="character" w:customStyle="1" w:styleId="W4pzZnakZnakZnakZnakZnak">
    <w:name w:val="W 4 pz Znak Znak Znak Znak Znak"/>
    <w:link w:val="W4pzZnakZnakZnakZnak"/>
    <w:qFormat/>
    <w:rsid w:val="003A2CD6"/>
    <w:rPr>
      <w:rFonts w:ascii="Arial" w:hAnsi="Arial"/>
    </w:rPr>
  </w:style>
  <w:style w:type="character" w:customStyle="1" w:styleId="Poziom5pzZnakZnak1Znak">
    <w:name w:val="Poziom 5 pz Znak Znak1 Znak"/>
    <w:link w:val="Poziom5pzZnakZnak1"/>
    <w:qFormat/>
    <w:rsid w:val="003A2CD6"/>
    <w:rPr>
      <w:rFonts w:ascii="Arial" w:hAnsi="Arial"/>
    </w:rPr>
  </w:style>
  <w:style w:type="character" w:customStyle="1" w:styleId="Poziom4pzZnakZnakZnakZnak">
    <w:name w:val="Poziom 4 pz Znak Znak Znak Znak"/>
    <w:qFormat/>
    <w:rsid w:val="003A2CD6"/>
    <w:rPr>
      <w:rFonts w:ascii="Arial" w:hAnsi="Arial"/>
      <w:sz w:val="22"/>
      <w:lang w:val="pl-PL" w:eastAsia="pl-PL" w:bidi="ar-SA"/>
    </w:rPr>
  </w:style>
  <w:style w:type="character" w:customStyle="1" w:styleId="atekstZnakZnak">
    <w:name w:val="atekst Znak Znak"/>
    <w:qFormat/>
    <w:rsid w:val="003A2CD6"/>
    <w:rPr>
      <w:rFonts w:ascii="Arial" w:eastAsia="Times New Roman" w:hAnsi="Arial" w:cs="Times New Roman"/>
      <w:sz w:val="24"/>
      <w:szCs w:val="20"/>
      <w:lang w:eastAsia="pl-PL"/>
    </w:rPr>
  </w:style>
  <w:style w:type="character" w:customStyle="1" w:styleId="Tekstpodstawowyzwciciem2Znak">
    <w:name w:val="Tekst podstawowy z wcięciem 2 Znak"/>
    <w:link w:val="Tekstpodstawowyzwciciem2"/>
    <w:qFormat/>
    <w:rsid w:val="003A2CD6"/>
    <w:rPr>
      <w:rFonts w:ascii="Arial" w:hAnsi="Arial"/>
      <w:sz w:val="24"/>
    </w:rPr>
  </w:style>
  <w:style w:type="character" w:customStyle="1" w:styleId="Poziom5pzZnakZnakZnak1">
    <w:name w:val="Poziom 5 pz Znak Znak Znak1"/>
    <w:link w:val="Poziom5pzZnakZnak"/>
    <w:qFormat/>
    <w:rsid w:val="003A2CD6"/>
    <w:rPr>
      <w:rFonts w:ascii="Arial" w:hAnsi="Arial"/>
    </w:rPr>
  </w:style>
  <w:style w:type="character" w:customStyle="1" w:styleId="S3pzZnakZnak">
    <w:name w:val="S 3 pz Znak Znak"/>
    <w:link w:val="S3pzZnak"/>
    <w:qFormat/>
    <w:rsid w:val="003A2CD6"/>
    <w:rPr>
      <w:rFonts w:ascii="Arial" w:hAnsi="Arial"/>
      <w:lang w:val="x-none" w:eastAsia="x-none"/>
    </w:rPr>
  </w:style>
  <w:style w:type="character" w:customStyle="1" w:styleId="W1i2pzZnakZnak">
    <w:name w:val="W 1 i 2 pz Znak Znak"/>
    <w:qFormat/>
    <w:rsid w:val="003A2CD6"/>
    <w:rPr>
      <w:rFonts w:ascii="Arial" w:hAnsi="Arial"/>
      <w:sz w:val="22"/>
      <w:lang w:val="pl-PL" w:eastAsia="pl-PL" w:bidi="ar-SA"/>
    </w:rPr>
  </w:style>
  <w:style w:type="character" w:customStyle="1" w:styleId="Poziom1ZnakZnak2">
    <w:name w:val="Poziom 1 Znak Znak2"/>
    <w:qFormat/>
    <w:rsid w:val="003A2CD6"/>
    <w:rPr>
      <w:rFonts w:ascii="Arial" w:hAnsi="Arial"/>
      <w:sz w:val="22"/>
      <w:lang w:val="pl-PL" w:eastAsia="pl-PL" w:bidi="ar-SA"/>
    </w:rPr>
  </w:style>
  <w:style w:type="character" w:customStyle="1" w:styleId="Poziom1ZnakZnakZnakZnakZnakZnakZnakZnak1">
    <w:name w:val="Poziom 1 Znak Znak Znak Znak Znak Znak Znak Znak1"/>
    <w:qFormat/>
    <w:rsid w:val="003A2CD6"/>
    <w:rPr>
      <w:rFonts w:ascii="Arial" w:hAnsi="Arial"/>
      <w:sz w:val="22"/>
      <w:lang w:val="pl-PL" w:eastAsia="pl-PL" w:bidi="ar-SA"/>
    </w:rPr>
  </w:style>
  <w:style w:type="character" w:customStyle="1" w:styleId="Poziom4pzZnakZnak2">
    <w:name w:val="Poziom 4 pz Znak Znak2"/>
    <w:qFormat/>
    <w:rsid w:val="003A2CD6"/>
    <w:rPr>
      <w:rFonts w:ascii="Arial" w:hAnsi="Arial"/>
      <w:sz w:val="22"/>
      <w:lang w:val="pl-PL" w:eastAsia="pl-PL" w:bidi="ar-SA"/>
    </w:rPr>
  </w:style>
  <w:style w:type="character" w:customStyle="1" w:styleId="W1i2pzZnak2">
    <w:name w:val="W 1 i 2 pz Znak2"/>
    <w:qFormat/>
    <w:rsid w:val="003A2CD6"/>
    <w:rPr>
      <w:rFonts w:ascii="Arial" w:hAnsi="Arial"/>
      <w:sz w:val="22"/>
      <w:lang w:val="pl-PL" w:eastAsia="pl-PL" w:bidi="ar-SA"/>
    </w:rPr>
  </w:style>
  <w:style w:type="character" w:customStyle="1" w:styleId="WW8Num8z2">
    <w:name w:val="WW8Num8z2"/>
    <w:qFormat/>
    <w:rsid w:val="003A2CD6"/>
    <w:rPr>
      <w:rFonts w:ascii="Wingdings" w:hAnsi="Wingdings"/>
    </w:rPr>
  </w:style>
  <w:style w:type="character" w:customStyle="1" w:styleId="Poziom3pzZnak2">
    <w:name w:val="Poziom 3 pz Znak2"/>
    <w:qFormat/>
    <w:rsid w:val="003A2CD6"/>
  </w:style>
  <w:style w:type="character" w:customStyle="1" w:styleId="TekstpodstawowyZnakZnak">
    <w:name w:val="Tekst podstawowy Znak Znak"/>
    <w:qFormat/>
    <w:rsid w:val="003A2CD6"/>
    <w:rPr>
      <w:sz w:val="24"/>
      <w:lang w:val="pl-PL" w:eastAsia="pl-PL" w:bidi="ar-SA"/>
    </w:rPr>
  </w:style>
  <w:style w:type="character" w:customStyle="1" w:styleId="Poziom4pzZnak2">
    <w:name w:val="Poziom 4 pz Znak2"/>
    <w:qFormat/>
    <w:rsid w:val="003A2CD6"/>
    <w:rPr>
      <w:rFonts w:ascii="Arial" w:hAnsi="Arial"/>
      <w:sz w:val="22"/>
      <w:lang w:val="pl-PL" w:eastAsia="pl-PL" w:bidi="ar-SA"/>
    </w:rPr>
  </w:style>
  <w:style w:type="character" w:styleId="Numerwiersza">
    <w:name w:val="line number"/>
    <w:uiPriority w:val="99"/>
    <w:qFormat/>
    <w:rsid w:val="003A2CD6"/>
    <w:rPr>
      <w:rFonts w:ascii="Arial" w:hAnsi="Arial"/>
    </w:rPr>
  </w:style>
  <w:style w:type="character" w:customStyle="1" w:styleId="Poziom6pzZnak1">
    <w:name w:val="Poziom 6 pz Znak1"/>
    <w:qFormat/>
    <w:rsid w:val="003A2CD6"/>
    <w:rPr>
      <w:rFonts w:ascii="Arial" w:hAnsi="Arial"/>
      <w:sz w:val="22"/>
      <w:lang w:val="pl-PL" w:eastAsia="pl-PL" w:bidi="ar-SA"/>
    </w:rPr>
  </w:style>
  <w:style w:type="character" w:customStyle="1" w:styleId="-W1i2pzZnakZnak">
    <w:name w:val="- W 1 i 2 pz Znak Znak"/>
    <w:qFormat/>
    <w:rsid w:val="003A2CD6"/>
    <w:rPr>
      <w:rFonts w:ascii="Arial" w:hAnsi="Arial"/>
      <w:sz w:val="22"/>
      <w:lang w:val="pl-PL" w:eastAsia="pl-PL" w:bidi="ar-SA"/>
    </w:rPr>
  </w:style>
  <w:style w:type="character" w:customStyle="1" w:styleId="zwyk3yZnak1">
    <w:name w:val="zwyk3y Znak1"/>
    <w:qFormat/>
    <w:rsid w:val="003A2CD6"/>
    <w:rPr>
      <w:rFonts w:ascii="Arial" w:hAnsi="Arial"/>
      <w:sz w:val="22"/>
      <w:lang w:val="pl-PL" w:eastAsia="pl-PL" w:bidi="ar-SA"/>
    </w:rPr>
  </w:style>
  <w:style w:type="character" w:customStyle="1" w:styleId="zwyk3y4Znak">
    <w:name w:val="zwyk3y4 Znak"/>
    <w:qFormat/>
    <w:rsid w:val="003A2CD6"/>
    <w:rPr>
      <w:rFonts w:ascii="Arial" w:hAnsi="Arial"/>
      <w:sz w:val="22"/>
      <w:lang w:val="pl-PL" w:eastAsia="pl-PL" w:bidi="ar-SA"/>
    </w:rPr>
  </w:style>
  <w:style w:type="character" w:customStyle="1" w:styleId="zwykyZnak">
    <w:name w:val="zwykły Znak"/>
    <w:qFormat/>
    <w:rsid w:val="003A2CD6"/>
    <w:rPr>
      <w:rFonts w:ascii="Arial" w:hAnsi="Arial"/>
      <w:sz w:val="22"/>
      <w:lang w:val="pl-PL" w:eastAsia="pl-PL" w:bidi="ar-SA"/>
    </w:rPr>
  </w:style>
  <w:style w:type="character" w:customStyle="1" w:styleId="zwyk3ywcietyZnak">
    <w:name w:val="zwyk3y wciety Znak"/>
    <w:qFormat/>
    <w:rsid w:val="003A2CD6"/>
    <w:rPr>
      <w:rFonts w:ascii="Arial" w:hAnsi="Arial"/>
      <w:sz w:val="22"/>
      <w:lang w:val="pl-PL" w:eastAsia="pl-PL" w:bidi="ar-SA"/>
    </w:rPr>
  </w:style>
  <w:style w:type="character" w:customStyle="1" w:styleId="zwykywcityZnak">
    <w:name w:val="zwykły wcięty Znak"/>
    <w:qFormat/>
    <w:rsid w:val="003A2CD6"/>
    <w:rPr>
      <w:rFonts w:ascii="Arial" w:hAnsi="Arial"/>
      <w:sz w:val="22"/>
      <w:lang w:val="pl-PL" w:eastAsia="pl-PL" w:bidi="ar-SA"/>
    </w:rPr>
  </w:style>
  <w:style w:type="character" w:customStyle="1" w:styleId="zwyk3ywciety3Znak">
    <w:name w:val="zwyk3y wciety3 Znak"/>
    <w:qFormat/>
    <w:rsid w:val="003A2CD6"/>
    <w:rPr>
      <w:rFonts w:ascii="Arial" w:hAnsi="Arial"/>
      <w:sz w:val="22"/>
      <w:lang w:val="pl-PL" w:eastAsia="pl-PL" w:bidi="ar-SA"/>
    </w:rPr>
  </w:style>
  <w:style w:type="character" w:customStyle="1" w:styleId="Hipercze1">
    <w:name w:val="Hiperłącze1"/>
    <w:qFormat/>
    <w:rsid w:val="003A2CD6"/>
    <w:rPr>
      <w:color w:val="0000FF"/>
      <w:u w:val="none"/>
    </w:rPr>
  </w:style>
  <w:style w:type="character" w:customStyle="1" w:styleId="zwyk3ywcietyZnakZnakZnak">
    <w:name w:val="zwyk3y wciety Znak Znak Znak"/>
    <w:qFormat/>
    <w:rsid w:val="003A2CD6"/>
    <w:rPr>
      <w:rFonts w:ascii="Arial" w:hAnsi="Arial"/>
      <w:sz w:val="22"/>
      <w:lang w:val="pl-PL"/>
    </w:rPr>
  </w:style>
  <w:style w:type="character" w:customStyle="1" w:styleId="zwyk3yZnak">
    <w:name w:val="zwyk3y Znak"/>
    <w:qFormat/>
    <w:rsid w:val="003A2CD6"/>
    <w:rPr>
      <w:rFonts w:ascii="Arial" w:hAnsi="Arial"/>
      <w:sz w:val="22"/>
      <w:lang w:val="pl-PL"/>
    </w:rPr>
  </w:style>
  <w:style w:type="character" w:customStyle="1" w:styleId="Poziom4pzZnak1">
    <w:name w:val="Poziom 4 pz Znak1"/>
    <w:uiPriority w:val="99"/>
    <w:qFormat/>
    <w:rsid w:val="003A2CD6"/>
  </w:style>
  <w:style w:type="character" w:customStyle="1" w:styleId="Poziom1Znak3">
    <w:name w:val="Poziom 1 Znak3"/>
    <w:qFormat/>
    <w:rsid w:val="003A2CD6"/>
    <w:rPr>
      <w:rFonts w:ascii="Arial" w:hAnsi="Arial"/>
      <w:sz w:val="22"/>
      <w:lang w:val="pl-PL" w:eastAsia="pl-PL" w:bidi="ar-SA"/>
    </w:rPr>
  </w:style>
  <w:style w:type="character" w:customStyle="1" w:styleId="W1i2pzZnak1">
    <w:name w:val="W 1 i 2 pz Znak1"/>
    <w:qFormat/>
    <w:rsid w:val="003A2CD6"/>
    <w:rPr>
      <w:rFonts w:ascii="Arial" w:hAnsi="Arial"/>
      <w:sz w:val="22"/>
      <w:lang w:val="pl-PL" w:eastAsia="pl-PL" w:bidi="ar-SA"/>
    </w:rPr>
  </w:style>
  <w:style w:type="character" w:customStyle="1" w:styleId="Hyperlink1">
    <w:name w:val="Hyperlink1"/>
    <w:qFormat/>
    <w:rsid w:val="003A2CD6"/>
    <w:rPr>
      <w:color w:val="0000FF"/>
      <w:u w:val="none"/>
    </w:rPr>
  </w:style>
  <w:style w:type="character" w:customStyle="1" w:styleId="atekstChar">
    <w:name w:val="atekst Char"/>
    <w:qFormat/>
    <w:rsid w:val="003A2CD6"/>
    <w:rPr>
      <w:rFonts w:ascii="Arial" w:hAnsi="Arial"/>
      <w:sz w:val="24"/>
      <w:lang w:val="pl-PL" w:eastAsia="pl-PL" w:bidi="ar-SA"/>
    </w:rPr>
  </w:style>
  <w:style w:type="character" w:customStyle="1" w:styleId="Poziom3pzZnakZnakZnak1">
    <w:name w:val="Poziom 3 pz Znak Znak Znak1"/>
    <w:qFormat/>
    <w:rsid w:val="003A2CD6"/>
    <w:rPr>
      <w:rFonts w:ascii="Arial" w:hAnsi="Arial"/>
      <w:sz w:val="22"/>
      <w:lang w:val="pl-PL" w:eastAsia="pl-PL" w:bidi="ar-SA"/>
    </w:rPr>
  </w:style>
  <w:style w:type="character" w:customStyle="1" w:styleId="Poziom4pzZnakZnak1">
    <w:name w:val="Poziom 4 pz Znak Znak1"/>
    <w:qFormat/>
    <w:rsid w:val="003A2CD6"/>
    <w:rPr>
      <w:rFonts w:ascii="Arial" w:hAnsi="Arial"/>
      <w:sz w:val="22"/>
      <w:lang w:val="pl-PL" w:eastAsia="pl-PL" w:bidi="ar-SA"/>
    </w:rPr>
  </w:style>
  <w:style w:type="character" w:customStyle="1" w:styleId="Poziom1ZnakZnak2ZnakZ">
    <w:name w:val="Poziom 1 Znak Znak2 Znak Z"/>
    <w:qFormat/>
    <w:rsid w:val="003A2CD6"/>
    <w:rPr>
      <w:rFonts w:ascii="Arial" w:hAnsi="Arial"/>
      <w:sz w:val="22"/>
    </w:rPr>
  </w:style>
  <w:style w:type="character" w:customStyle="1" w:styleId="WW8Num13z0">
    <w:name w:val="WW8Num13z0"/>
    <w:qFormat/>
    <w:rsid w:val="003A2CD6"/>
    <w:rPr>
      <w:rFonts w:ascii="Symbol" w:hAnsi="Symbol"/>
      <w:color w:val="000000"/>
    </w:rPr>
  </w:style>
  <w:style w:type="character" w:customStyle="1" w:styleId="info-list-value-uzasadnienie">
    <w:name w:val="info-list-value-uzasadnienie"/>
    <w:qFormat/>
    <w:rsid w:val="003A2CD6"/>
  </w:style>
  <w:style w:type="character" w:customStyle="1" w:styleId="highlight">
    <w:name w:val="highlight"/>
    <w:qFormat/>
    <w:rsid w:val="003A2CD6"/>
  </w:style>
  <w:style w:type="character" w:customStyle="1" w:styleId="ZnakZnakZnakZnakZnak">
    <w:name w:val="Znak Znak Znak Znak Znak"/>
    <w:qFormat/>
    <w:locked/>
    <w:rsid w:val="003A2CD6"/>
    <w:rPr>
      <w:rFonts w:ascii="Arial" w:hAnsi="Arial"/>
      <w:sz w:val="18"/>
      <w:lang w:val="pl-PL" w:eastAsia="pl-PL" w:bidi="ar-SA"/>
    </w:rPr>
  </w:style>
  <w:style w:type="character" w:customStyle="1" w:styleId="Poziom12ZnakZnak">
    <w:name w:val="Poziom 12 Znak Znak"/>
    <w:qFormat/>
    <w:rsid w:val="003A2CD6"/>
    <w:rPr>
      <w:rFonts w:ascii="Arial" w:hAnsi="Arial"/>
      <w:sz w:val="22"/>
      <w:lang w:val="pl-PL" w:eastAsia="pl-PL" w:bidi="ar-SA"/>
    </w:rPr>
  </w:style>
  <w:style w:type="character" w:customStyle="1" w:styleId="ZnakZnak8">
    <w:name w:val="Znak Znak8"/>
    <w:qFormat/>
    <w:locked/>
    <w:rsid w:val="003A2CD6"/>
    <w:rPr>
      <w:rFonts w:ascii="Arial" w:hAnsi="Arial"/>
      <w:sz w:val="18"/>
    </w:rPr>
  </w:style>
  <w:style w:type="character" w:customStyle="1" w:styleId="WW8Num19z0">
    <w:name w:val="WW8Num19z0"/>
    <w:qFormat/>
    <w:rsid w:val="003A2CD6"/>
    <w:rPr>
      <w:rFonts w:ascii="Symbol" w:hAnsi="Symbol"/>
    </w:rPr>
  </w:style>
  <w:style w:type="character" w:customStyle="1" w:styleId="tablicaZnak">
    <w:name w:val="tablica Znak"/>
    <w:qFormat/>
    <w:locked/>
    <w:rsid w:val="003A2CD6"/>
    <w:rPr>
      <w:rFonts w:ascii="Arial" w:eastAsia="Times New Roman" w:hAnsi="Arial" w:cs="Times New Roman"/>
      <w:sz w:val="24"/>
      <w:szCs w:val="20"/>
      <w:lang w:eastAsia="pl-PL"/>
    </w:rPr>
  </w:style>
  <w:style w:type="character" w:customStyle="1" w:styleId="standtimZnak5">
    <w:name w:val="stand_tim Znak5"/>
    <w:qFormat/>
    <w:locked/>
    <w:rsid w:val="003A2CD6"/>
    <w:rPr>
      <w:rFonts w:ascii="Times New Roman" w:eastAsia="Times New Roman" w:hAnsi="Times New Roman" w:cs="Times New Roman"/>
      <w:sz w:val="24"/>
      <w:szCs w:val="24"/>
      <w:lang w:eastAsia="ar-SA"/>
    </w:rPr>
  </w:style>
  <w:style w:type="character" w:customStyle="1" w:styleId="EndnoteCharacters">
    <w:name w:val="Endnote Characters"/>
    <w:semiHidden/>
    <w:qFormat/>
    <w:rsid w:val="003A2CD6"/>
    <w:rPr>
      <w:vertAlign w:val="superscript"/>
    </w:rPr>
  </w:style>
  <w:style w:type="character" w:customStyle="1" w:styleId="EndnoteAnchor">
    <w:name w:val="Endnote Anchor"/>
    <w:rsid w:val="003A2CD6"/>
    <w:rPr>
      <w:vertAlign w:val="superscript"/>
    </w:rPr>
  </w:style>
  <w:style w:type="character" w:customStyle="1" w:styleId="ZnakZnak9">
    <w:name w:val="Znak Znak9"/>
    <w:qFormat/>
    <w:locked/>
    <w:rsid w:val="003A2CD6"/>
    <w:rPr>
      <w:rFonts w:ascii="Arial" w:hAnsi="Arial"/>
      <w:b/>
      <w:i/>
      <w:sz w:val="18"/>
    </w:rPr>
  </w:style>
  <w:style w:type="character" w:customStyle="1" w:styleId="ZnakZnakZnakZnak1">
    <w:name w:val="Znak Znak Znak Znak1"/>
    <w:qFormat/>
    <w:rsid w:val="003A2CD6"/>
    <w:rPr>
      <w:rFonts w:ascii="Arial" w:hAnsi="Arial"/>
      <w:sz w:val="18"/>
      <w:lang w:val="pl-PL" w:eastAsia="pl-PL" w:bidi="ar-SA"/>
    </w:rPr>
  </w:style>
  <w:style w:type="character" w:customStyle="1" w:styleId="ZnakZnakZnakZnak2">
    <w:name w:val="Znak Znak Znak Znak2"/>
    <w:qFormat/>
    <w:rsid w:val="003A2CD6"/>
    <w:rPr>
      <w:rFonts w:ascii="Arial" w:hAnsi="Arial"/>
      <w:sz w:val="18"/>
      <w:lang w:val="pl-PL" w:eastAsia="pl-PL" w:bidi="ar-SA"/>
    </w:rPr>
  </w:style>
  <w:style w:type="character" w:customStyle="1" w:styleId="ZnakZnak11">
    <w:name w:val="Znak Znak11"/>
    <w:qFormat/>
    <w:locked/>
    <w:rsid w:val="003A2CD6"/>
    <w:rPr>
      <w:rFonts w:ascii="Arial" w:hAnsi="Arial"/>
      <w:b/>
      <w:i/>
      <w:sz w:val="18"/>
      <w:lang w:val="pl-PL" w:eastAsia="pl-PL" w:bidi="ar-SA"/>
    </w:rPr>
  </w:style>
  <w:style w:type="character" w:customStyle="1" w:styleId="ZnakZnakZnakZnak3">
    <w:name w:val="Znak Znak Znak Znak3"/>
    <w:qFormat/>
    <w:rsid w:val="003A2CD6"/>
    <w:rPr>
      <w:rFonts w:ascii="Arial" w:hAnsi="Arial"/>
      <w:sz w:val="18"/>
      <w:lang w:val="pl-PL" w:eastAsia="pl-PL" w:bidi="ar-SA"/>
    </w:rPr>
  </w:style>
  <w:style w:type="character" w:customStyle="1" w:styleId="BalloonTextChar">
    <w:name w:val="Balloon Text Char"/>
    <w:semiHidden/>
    <w:qFormat/>
    <w:locked/>
    <w:rsid w:val="003A2CD6"/>
    <w:rPr>
      <w:rFonts w:ascii="Segoe UI" w:hAnsi="Segoe UI" w:cs="Segoe UI"/>
      <w:sz w:val="18"/>
      <w:szCs w:val="18"/>
      <w:lang w:val="pl-PL" w:eastAsia="pl-PL" w:bidi="ar-SA"/>
    </w:rPr>
  </w:style>
  <w:style w:type="character" w:customStyle="1" w:styleId="Poziom12pzZnak">
    <w:name w:val="Poziom 1.2 pz Znak"/>
    <w:link w:val="Poziom12pz"/>
    <w:uiPriority w:val="99"/>
    <w:qFormat/>
    <w:locked/>
    <w:rsid w:val="003A2CD6"/>
    <w:rPr>
      <w:rFonts w:ascii="Arial" w:hAnsi="Arial"/>
    </w:rPr>
  </w:style>
  <w:style w:type="character" w:customStyle="1" w:styleId="PodpispodrysunkiemZnak3">
    <w:name w:val="Podpis pod rysunkiem Znak3"/>
    <w:qFormat/>
    <w:locked/>
    <w:rsid w:val="003A2CD6"/>
    <w:rPr>
      <w:rFonts w:ascii="Arial" w:hAnsi="Arial"/>
    </w:rPr>
  </w:style>
  <w:style w:type="character" w:customStyle="1" w:styleId="CaptionChar">
    <w:name w:val="Caption Char"/>
    <w:qFormat/>
    <w:locked/>
    <w:rsid w:val="003A2CD6"/>
    <w:rPr>
      <w:rFonts w:ascii="Arial" w:hAnsi="Arial"/>
    </w:rPr>
  </w:style>
  <w:style w:type="character" w:customStyle="1" w:styleId="LegendaZnak2">
    <w:name w:val="Legenda Znak2"/>
    <w:uiPriority w:val="99"/>
    <w:qFormat/>
    <w:locked/>
    <w:rsid w:val="003A2CD6"/>
    <w:rPr>
      <w:rFonts w:ascii="Arial" w:hAnsi="Arial"/>
      <w:lang w:val="pl-PL" w:eastAsia="pl-PL" w:bidi="ar-SA"/>
    </w:rPr>
  </w:style>
  <w:style w:type="character" w:customStyle="1" w:styleId="S4pzZnak">
    <w:name w:val="S 4 pz Znak"/>
    <w:link w:val="S4pz"/>
    <w:uiPriority w:val="99"/>
    <w:qFormat/>
    <w:rsid w:val="003A2CD6"/>
    <w:rPr>
      <w:rFonts w:ascii="Arial" w:hAnsi="Arial"/>
      <w:lang w:val="x-none" w:eastAsia="x-none"/>
    </w:rPr>
  </w:style>
  <w:style w:type="character" w:customStyle="1" w:styleId="Poziom12pzPoziom1ZnakZnak2Poziom1ZnakZnakZnak2ZnakZnakPoziom1ZnakZnakZnakZnakZnakPoziom1ZnakZnakZnakZnak2ZnakZnakZnakZnakZnakZnakZnakZnak2ZnakZnakZnak2ZnakZnakZnak1Poziom12ZnakZnakZnakZnakZnakZnZnak">
    <w:name w:val="Poziom 1;2 pz;Poziom 1 Znak Znak;2;Poziom 1 Znak Znak Znak;2 Znak Znak;Poziom 1 Znak Znak Znak Znak Znak;Poziom 1 Znak Znak Znak Znak;2 Znak Znak Znak Znak Znak Znak Znak Znak;2 Znak Znak Znak;2 Znak Znak Znak1;Poziom1;2 Znak Znak Znak Znak Znak Zn Znak"/>
    <w:qFormat/>
    <w:rsid w:val="003A2CD6"/>
    <w:rPr>
      <w:rFonts w:ascii="Arial" w:hAnsi="Arial"/>
      <w:sz w:val="22"/>
    </w:rPr>
  </w:style>
  <w:style w:type="character" w:customStyle="1" w:styleId="adpis2Znak1">
    <w:name w:val="adpis 2 Znak1"/>
    <w:qFormat/>
    <w:rsid w:val="003A2CD6"/>
    <w:rPr>
      <w:rFonts w:ascii="Arial" w:hAnsi="Arial"/>
      <w:b/>
      <w:kern w:val="2"/>
      <w:sz w:val="26"/>
    </w:rPr>
  </w:style>
  <w:style w:type="character" w:customStyle="1" w:styleId="Poziom1Znak5">
    <w:name w:val="Poziom 1 Znak5"/>
    <w:link w:val="Poziom1"/>
    <w:qFormat/>
    <w:rsid w:val="003A2CD6"/>
    <w:rPr>
      <w:rFonts w:ascii="Arial" w:hAnsi="Arial"/>
    </w:rPr>
  </w:style>
  <w:style w:type="character" w:customStyle="1" w:styleId="tabela2Znak1">
    <w:name w:val="tabela 2 Znak1"/>
    <w:qFormat/>
    <w:rsid w:val="003A2CD6"/>
  </w:style>
  <w:style w:type="character" w:customStyle="1" w:styleId="highlightselected">
    <w:name w:val="highlight selected"/>
    <w:basedOn w:val="Domylnaczcionkaakapitu"/>
    <w:qFormat/>
    <w:rsid w:val="003A2CD6"/>
  </w:style>
  <w:style w:type="character" w:customStyle="1" w:styleId="Teksttreci8pt">
    <w:name w:val="Tekst treści + 8 pt"/>
    <w:qFormat/>
    <w:rsid w:val="003A2CD6"/>
    <w:rPr>
      <w:rFonts w:ascii="Calibri" w:eastAsia="Calibri" w:hAnsi="Calibri" w:cs="Calibri"/>
      <w:b w:val="0"/>
      <w:bCs w:val="0"/>
      <w:i w:val="0"/>
      <w:iCs w:val="0"/>
      <w:caps w:val="0"/>
      <w:smallCaps w:val="0"/>
      <w:strike w:val="0"/>
      <w:dstrike w:val="0"/>
      <w:color w:val="000000"/>
      <w:spacing w:val="0"/>
      <w:w w:val="100"/>
      <w:sz w:val="16"/>
      <w:szCs w:val="16"/>
      <w:u w:val="none"/>
      <w:lang w:val="pl-PL" w:eastAsia="pl-PL" w:bidi="pl-PL"/>
    </w:rPr>
  </w:style>
  <w:style w:type="character" w:customStyle="1" w:styleId="ListParagraphChar1">
    <w:name w:val="List Paragraph Char1"/>
    <w:qFormat/>
    <w:rsid w:val="003A2CD6"/>
    <w:rPr>
      <w:sz w:val="24"/>
      <w:szCs w:val="24"/>
      <w:lang w:val="x-none" w:eastAsia="ar-SA" w:bidi="ar-SA"/>
    </w:rPr>
  </w:style>
  <w:style w:type="character" w:customStyle="1" w:styleId="Poziom1ZnakZnakZnakZnakZnakZnakZnakZnakZnakZnakZnakZnakZnakZnak">
    <w:name w:val="Poziom 1 Znak Znak Znak Znak Znak Znak Znak Znak Znak Znak Znak Znak Znak Znak"/>
    <w:aliases w:val="2 Z... Znak Znak"/>
    <w:qFormat/>
    <w:rsid w:val="003A2CD6"/>
    <w:rPr>
      <w:rFonts w:ascii="Arial" w:hAnsi="Arial"/>
      <w:sz w:val="22"/>
      <w:lang w:val="pl-PL" w:eastAsia="pl-PL"/>
    </w:rPr>
  </w:style>
  <w:style w:type="character" w:customStyle="1" w:styleId="WW8Num2z2">
    <w:name w:val="WW8Num2z2"/>
    <w:qFormat/>
    <w:rsid w:val="003A2CD6"/>
  </w:style>
  <w:style w:type="character" w:customStyle="1" w:styleId="TekstpodstawowyzwciciemZnak1">
    <w:name w:val="Tekst podstawowy z wcięciem Znak1"/>
    <w:uiPriority w:val="99"/>
    <w:qFormat/>
    <w:rsid w:val="003A2CD6"/>
    <w:rPr>
      <w:rFonts w:ascii="Arial" w:eastAsia="Times New Roman" w:hAnsi="Arial" w:cs="Times New Roman"/>
      <w:sz w:val="18"/>
      <w:szCs w:val="20"/>
      <w:lang w:eastAsia="pl-PL"/>
    </w:rPr>
  </w:style>
  <w:style w:type="character" w:customStyle="1" w:styleId="Hipercze2">
    <w:name w:val="Hiperłącze2"/>
    <w:qFormat/>
    <w:rsid w:val="003A2CD6"/>
    <w:rPr>
      <w:color w:val="0000FF"/>
      <w:u w:val="none"/>
    </w:rPr>
  </w:style>
  <w:style w:type="paragraph" w:customStyle="1" w:styleId="Heading">
    <w:name w:val="Heading"/>
    <w:basedOn w:val="Normalny"/>
    <w:next w:val="Tekstpodstawowy"/>
    <w:qFormat/>
    <w:rsid w:val="003A2CD6"/>
    <w:pPr>
      <w:keepNext/>
      <w:suppressAutoHyphens/>
      <w:spacing w:before="240" w:after="120" w:line="240" w:lineRule="auto"/>
      <w:textAlignment w:val="baseline"/>
    </w:pPr>
    <w:rPr>
      <w:rFonts w:ascii="Liberation Sans" w:eastAsia="Microsoft YaHei" w:hAnsi="Liberation Sans" w:cs="Mangal"/>
      <w:sz w:val="28"/>
      <w:szCs w:val="28"/>
      <w:lang w:eastAsia="pl-PL"/>
    </w:rPr>
  </w:style>
  <w:style w:type="character" w:customStyle="1" w:styleId="TekstpodstawowyZnak2">
    <w:name w:val="Tekst podstawowy Znak2"/>
    <w:uiPriority w:val="99"/>
    <w:semiHidden/>
    <w:rsid w:val="003A2CD6"/>
    <w:rPr>
      <w:rFonts w:ascii="Arial" w:eastAsia="Times New Roman" w:hAnsi="Arial" w:cs="Times New Roman"/>
      <w:sz w:val="18"/>
      <w:szCs w:val="20"/>
      <w:lang w:eastAsia="pl-PL"/>
    </w:rPr>
  </w:style>
  <w:style w:type="paragraph" w:styleId="Lista">
    <w:name w:val="List"/>
    <w:basedOn w:val="Normalny"/>
    <w:uiPriority w:val="99"/>
    <w:rsid w:val="003A2CD6"/>
    <w:pPr>
      <w:suppressAutoHyphens/>
      <w:spacing w:after="0" w:line="240" w:lineRule="auto"/>
      <w:ind w:left="283" w:hanging="283"/>
      <w:textAlignment w:val="baseline"/>
    </w:pPr>
    <w:rPr>
      <w:rFonts w:eastAsia="Times New Roman" w:cs="Times New Roman"/>
      <w:sz w:val="20"/>
      <w:szCs w:val="20"/>
      <w:lang w:eastAsia="pl-PL"/>
    </w:rPr>
  </w:style>
  <w:style w:type="paragraph" w:customStyle="1" w:styleId="Index">
    <w:name w:val="Index"/>
    <w:basedOn w:val="Normalny"/>
    <w:qFormat/>
    <w:rsid w:val="003A2CD6"/>
    <w:pPr>
      <w:suppressLineNumbers/>
      <w:suppressAutoHyphens/>
      <w:spacing w:after="0" w:line="240" w:lineRule="auto"/>
      <w:textAlignment w:val="baseline"/>
    </w:pPr>
    <w:rPr>
      <w:rFonts w:eastAsia="Times New Roman" w:cs="Mangal"/>
      <w:sz w:val="18"/>
      <w:szCs w:val="20"/>
      <w:lang w:eastAsia="pl-PL"/>
    </w:rPr>
  </w:style>
  <w:style w:type="paragraph" w:customStyle="1" w:styleId="Poziom1">
    <w:name w:val="Poziom 1"/>
    <w:aliases w:val="2 pz,2,Poziom 1 Znak Znak Znak Znak Znak Znak Znak Znak,Poziom 1 Znak Znak Znak Znak Znak Znak Znak,2 Znak Znak Znak,Poziom 1 Znak Znak Znak Znak Znak Znak Znak Znak Znak Znak Znak Znak Znak,2 pz1,Poziom 1 Znak Znak"/>
    <w:basedOn w:val="Normalny"/>
    <w:link w:val="Poziom1Znak5"/>
    <w:qFormat/>
    <w:rsid w:val="003A2CD6"/>
    <w:pPr>
      <w:suppressAutoHyphens/>
      <w:spacing w:after="80" w:line="300" w:lineRule="exact"/>
      <w:ind w:firstLine="284"/>
      <w:jc w:val="both"/>
      <w:textAlignment w:val="baseline"/>
    </w:pPr>
    <w:rPr>
      <w:sz w:val="22"/>
    </w:rPr>
  </w:style>
  <w:style w:type="paragraph" w:customStyle="1" w:styleId="Poziom4pz">
    <w:name w:val="Poziom 4 pz"/>
    <w:basedOn w:val="Poziom3pz"/>
    <w:qFormat/>
    <w:rsid w:val="003A2CD6"/>
    <w:pPr>
      <w:suppressAutoHyphens/>
      <w:overflowPunct/>
      <w:autoSpaceDE/>
      <w:autoSpaceDN/>
      <w:adjustRightInd/>
      <w:ind w:left="567"/>
    </w:pPr>
    <w:rPr>
      <w:sz w:val="20"/>
      <w:lang w:val="pl-PL" w:eastAsia="pl-PL"/>
    </w:rPr>
  </w:style>
  <w:style w:type="paragraph" w:customStyle="1" w:styleId="Poziom5pz">
    <w:name w:val="Poziom 5 pz"/>
    <w:basedOn w:val="Poziom4pz"/>
    <w:qFormat/>
    <w:rsid w:val="003A2CD6"/>
    <w:pPr>
      <w:ind w:left="851"/>
    </w:pPr>
  </w:style>
  <w:style w:type="paragraph" w:customStyle="1" w:styleId="Poziom6pz">
    <w:name w:val="Poziom 6 pz"/>
    <w:basedOn w:val="Poziom5pz"/>
    <w:qFormat/>
    <w:rsid w:val="003A2CD6"/>
    <w:pPr>
      <w:ind w:left="1134"/>
    </w:pPr>
  </w:style>
  <w:style w:type="paragraph" w:customStyle="1" w:styleId="tabela">
    <w:name w:val="tabela"/>
    <w:basedOn w:val="Normalny"/>
    <w:qFormat/>
    <w:rsid w:val="003A2CD6"/>
    <w:pPr>
      <w:keepNext/>
      <w:keepLines/>
      <w:suppressAutoHyphens/>
      <w:spacing w:after="0" w:line="240" w:lineRule="auto"/>
      <w:textAlignment w:val="baseline"/>
    </w:pPr>
    <w:rPr>
      <w:rFonts w:eastAsia="Times New Roman" w:cs="Times New Roman"/>
      <w:sz w:val="18"/>
      <w:szCs w:val="20"/>
      <w:lang w:eastAsia="pl-PL"/>
    </w:rPr>
  </w:style>
  <w:style w:type="paragraph" w:customStyle="1" w:styleId="W1i2pz">
    <w:name w:val="W 1 i 2 pz"/>
    <w:basedOn w:val="Poziom1"/>
    <w:link w:val="W1i2pzZnak"/>
    <w:qFormat/>
    <w:rsid w:val="003A2CD6"/>
    <w:pPr>
      <w:ind w:firstLine="0"/>
    </w:pPr>
  </w:style>
  <w:style w:type="paragraph" w:customStyle="1" w:styleId="W4pz">
    <w:name w:val="W 4 pz"/>
    <w:basedOn w:val="W3pz"/>
    <w:uiPriority w:val="99"/>
    <w:qFormat/>
    <w:rsid w:val="003A2CD6"/>
    <w:pPr>
      <w:tabs>
        <w:tab w:val="clear" w:pos="360"/>
        <w:tab w:val="left" w:pos="851"/>
      </w:tabs>
      <w:suppressAutoHyphens/>
      <w:overflowPunct/>
      <w:autoSpaceDE/>
      <w:autoSpaceDN/>
      <w:adjustRightInd/>
      <w:ind w:left="851" w:hanging="284"/>
    </w:pPr>
    <w:rPr>
      <w:sz w:val="20"/>
    </w:rPr>
  </w:style>
  <w:style w:type="paragraph" w:customStyle="1" w:styleId="W5pz">
    <w:name w:val="W 5 pz"/>
    <w:basedOn w:val="W4pz"/>
    <w:qFormat/>
    <w:rsid w:val="003A2CD6"/>
    <w:pPr>
      <w:tabs>
        <w:tab w:val="clear" w:pos="851"/>
        <w:tab w:val="left" w:pos="1134"/>
      </w:tabs>
      <w:ind w:left="1134" w:hanging="283"/>
    </w:pPr>
  </w:style>
  <w:style w:type="paragraph" w:customStyle="1" w:styleId="W6pz">
    <w:name w:val="W 6 pz"/>
    <w:basedOn w:val="W5pz"/>
    <w:qFormat/>
    <w:rsid w:val="003A2CD6"/>
    <w:pPr>
      <w:tabs>
        <w:tab w:val="clear" w:pos="1134"/>
        <w:tab w:val="left" w:pos="1418"/>
      </w:tabs>
      <w:ind w:left="1418" w:hanging="284"/>
    </w:pPr>
  </w:style>
  <w:style w:type="paragraph" w:customStyle="1" w:styleId="N1i2pz">
    <w:name w:val="N 1 i 2 pz"/>
    <w:basedOn w:val="Poziom1"/>
    <w:qFormat/>
    <w:rsid w:val="003A2CD6"/>
    <w:pPr>
      <w:tabs>
        <w:tab w:val="left" w:pos="360"/>
      </w:tabs>
    </w:pPr>
  </w:style>
  <w:style w:type="paragraph" w:customStyle="1" w:styleId="N3pz">
    <w:name w:val="N 3 pz"/>
    <w:basedOn w:val="N1i2pz"/>
    <w:qFormat/>
    <w:rsid w:val="003A2CD6"/>
  </w:style>
  <w:style w:type="paragraph" w:customStyle="1" w:styleId="N4pz">
    <w:name w:val="N 4 pz"/>
    <w:basedOn w:val="N3pz"/>
    <w:qFormat/>
    <w:rsid w:val="003A2CD6"/>
    <w:pPr>
      <w:ind w:left="709"/>
    </w:pPr>
  </w:style>
  <w:style w:type="paragraph" w:customStyle="1" w:styleId="N5pz">
    <w:name w:val="N 5 pz"/>
    <w:basedOn w:val="N4pz"/>
    <w:qFormat/>
    <w:rsid w:val="003A2CD6"/>
    <w:pPr>
      <w:ind w:left="992"/>
    </w:pPr>
  </w:style>
  <w:style w:type="paragraph" w:customStyle="1" w:styleId="N6pz">
    <w:name w:val="N 6 pz"/>
    <w:basedOn w:val="N5pz"/>
    <w:qFormat/>
    <w:rsid w:val="003A2CD6"/>
    <w:pPr>
      <w:ind w:left="1276" w:hanging="425"/>
    </w:pPr>
  </w:style>
  <w:style w:type="paragraph" w:styleId="Spistreci6">
    <w:name w:val="toc 6"/>
    <w:basedOn w:val="Normalny"/>
    <w:next w:val="Normalny"/>
    <w:uiPriority w:val="39"/>
    <w:rsid w:val="003A2CD6"/>
    <w:pPr>
      <w:tabs>
        <w:tab w:val="right" w:pos="9922"/>
      </w:tabs>
      <w:suppressAutoHyphens/>
      <w:spacing w:after="0" w:line="240" w:lineRule="auto"/>
      <w:ind w:left="1457" w:right="567" w:hanging="357"/>
      <w:textAlignment w:val="baseline"/>
    </w:pPr>
    <w:rPr>
      <w:rFonts w:eastAsia="Times New Roman" w:cs="Times New Roman"/>
      <w:sz w:val="18"/>
      <w:szCs w:val="20"/>
      <w:lang w:eastAsia="pl-PL"/>
    </w:rPr>
  </w:style>
  <w:style w:type="paragraph" w:customStyle="1" w:styleId="HeaderandFooter">
    <w:name w:val="Header and Footer"/>
    <w:basedOn w:val="Normalny"/>
    <w:qFormat/>
    <w:rsid w:val="003A2CD6"/>
    <w:pPr>
      <w:suppressAutoHyphens/>
      <w:spacing w:after="0" w:line="240" w:lineRule="auto"/>
      <w:textAlignment w:val="baseline"/>
    </w:pPr>
    <w:rPr>
      <w:rFonts w:eastAsia="Times New Roman" w:cs="Times New Roman"/>
      <w:sz w:val="18"/>
      <w:szCs w:val="20"/>
      <w:lang w:eastAsia="pl-PL"/>
    </w:rPr>
  </w:style>
  <w:style w:type="paragraph" w:styleId="Spisilustracji">
    <w:name w:val="table of figures"/>
    <w:aliases w:val="Spis tabel"/>
    <w:basedOn w:val="Normalny"/>
    <w:next w:val="Normalny"/>
    <w:autoRedefine/>
    <w:uiPriority w:val="99"/>
    <w:qFormat/>
    <w:rsid w:val="003A2CD6"/>
    <w:pPr>
      <w:tabs>
        <w:tab w:val="right" w:pos="9923"/>
      </w:tabs>
      <w:suppressAutoHyphens/>
      <w:spacing w:before="120" w:after="0" w:line="240" w:lineRule="auto"/>
      <w:ind w:left="1247" w:right="567" w:hanging="1247"/>
      <w:textAlignment w:val="baseline"/>
    </w:pPr>
    <w:rPr>
      <w:rFonts w:eastAsia="Times New Roman" w:cs="Times New Roman"/>
      <w:sz w:val="20"/>
      <w:szCs w:val="20"/>
      <w:lang w:eastAsia="pl-PL"/>
    </w:rPr>
  </w:style>
  <w:style w:type="character" w:customStyle="1" w:styleId="StopkaZnak2">
    <w:name w:val="Stopka Znak2"/>
    <w:uiPriority w:val="99"/>
    <w:semiHidden/>
    <w:rsid w:val="003A2CD6"/>
    <w:rPr>
      <w:rFonts w:ascii="Arial" w:eastAsia="Times New Roman" w:hAnsi="Arial" w:cs="Times New Roman"/>
      <w:sz w:val="18"/>
      <w:szCs w:val="20"/>
      <w:lang w:eastAsia="pl-PL"/>
    </w:rPr>
  </w:style>
  <w:style w:type="paragraph" w:customStyle="1" w:styleId="W7pz">
    <w:name w:val="W 7 pz"/>
    <w:basedOn w:val="W6pz"/>
    <w:qFormat/>
    <w:rsid w:val="003A2CD6"/>
    <w:pPr>
      <w:tabs>
        <w:tab w:val="clear" w:pos="1418"/>
        <w:tab w:val="left" w:pos="1701"/>
      </w:tabs>
      <w:ind w:left="1701" w:hanging="283"/>
    </w:pPr>
  </w:style>
  <w:style w:type="paragraph" w:customStyle="1" w:styleId="N7pz">
    <w:name w:val="N 7 pz"/>
    <w:basedOn w:val="N6pz"/>
    <w:qFormat/>
    <w:rsid w:val="003A2CD6"/>
    <w:pPr>
      <w:ind w:left="1559"/>
    </w:pPr>
  </w:style>
  <w:style w:type="paragraph" w:customStyle="1" w:styleId="L1i2pz">
    <w:name w:val="L 1 i 2 pz"/>
    <w:basedOn w:val="Poziom1"/>
    <w:qFormat/>
    <w:rsid w:val="003A2CD6"/>
    <w:pPr>
      <w:tabs>
        <w:tab w:val="left" w:pos="360"/>
      </w:tabs>
    </w:pPr>
  </w:style>
  <w:style w:type="paragraph" w:customStyle="1" w:styleId="L3pz">
    <w:name w:val="L 3 pz"/>
    <w:basedOn w:val="Poziom1"/>
    <w:qFormat/>
    <w:rsid w:val="003A2CD6"/>
  </w:style>
  <w:style w:type="paragraph" w:customStyle="1" w:styleId="L4pz">
    <w:name w:val="L 4 pz"/>
    <w:basedOn w:val="L3pz"/>
    <w:qFormat/>
    <w:rsid w:val="003A2CD6"/>
  </w:style>
  <w:style w:type="paragraph" w:customStyle="1" w:styleId="L5pz">
    <w:name w:val="L 5 pz"/>
    <w:basedOn w:val="L4pz"/>
    <w:qFormat/>
    <w:rsid w:val="003A2CD6"/>
  </w:style>
  <w:style w:type="paragraph" w:customStyle="1" w:styleId="L6pz">
    <w:name w:val="L 6 pz"/>
    <w:basedOn w:val="L5pz"/>
    <w:qFormat/>
    <w:rsid w:val="003A2CD6"/>
  </w:style>
  <w:style w:type="paragraph" w:customStyle="1" w:styleId="L7pz">
    <w:name w:val="L 7 pz"/>
    <w:basedOn w:val="L1i2pz"/>
    <w:qFormat/>
    <w:rsid w:val="003A2CD6"/>
  </w:style>
  <w:style w:type="paragraph" w:customStyle="1" w:styleId="S4pz">
    <w:name w:val="S 4 pz"/>
    <w:basedOn w:val="S1i2pz"/>
    <w:link w:val="S4pzZnak"/>
    <w:qFormat/>
    <w:rsid w:val="003A2CD6"/>
    <w:pPr>
      <w:numPr>
        <w:numId w:val="0"/>
      </w:numPr>
      <w:tabs>
        <w:tab w:val="clear" w:pos="284"/>
        <w:tab w:val="left" w:pos="851"/>
      </w:tabs>
      <w:suppressAutoHyphens/>
      <w:overflowPunct/>
      <w:autoSpaceDE/>
      <w:autoSpaceDN/>
      <w:adjustRightInd/>
      <w:ind w:firstLine="284"/>
    </w:pPr>
    <w:rPr>
      <w:rFonts w:eastAsiaTheme="minorHAnsi" w:cstheme="minorBidi"/>
      <w:szCs w:val="22"/>
      <w:lang w:val="x-none" w:eastAsia="x-none"/>
    </w:rPr>
  </w:style>
  <w:style w:type="paragraph" w:customStyle="1" w:styleId="S5pz">
    <w:name w:val="S 5 pz"/>
    <w:basedOn w:val="S1i2pz"/>
    <w:qFormat/>
    <w:rsid w:val="003A2CD6"/>
    <w:pPr>
      <w:numPr>
        <w:numId w:val="0"/>
      </w:numPr>
      <w:tabs>
        <w:tab w:val="clear" w:pos="284"/>
        <w:tab w:val="left" w:pos="1134"/>
      </w:tabs>
      <w:suppressAutoHyphens/>
      <w:overflowPunct/>
      <w:autoSpaceDE/>
      <w:autoSpaceDN/>
      <w:adjustRightInd/>
      <w:ind w:left="1134" w:hanging="283"/>
    </w:pPr>
    <w:rPr>
      <w:sz w:val="20"/>
    </w:rPr>
  </w:style>
  <w:style w:type="paragraph" w:customStyle="1" w:styleId="S6pz">
    <w:name w:val="S 6 pz"/>
    <w:basedOn w:val="S1i2pz"/>
    <w:qFormat/>
    <w:rsid w:val="003A2CD6"/>
    <w:pPr>
      <w:numPr>
        <w:numId w:val="0"/>
      </w:numPr>
      <w:tabs>
        <w:tab w:val="clear" w:pos="284"/>
        <w:tab w:val="left" w:pos="1418"/>
      </w:tabs>
      <w:suppressAutoHyphens/>
      <w:overflowPunct/>
      <w:autoSpaceDE/>
      <w:autoSpaceDN/>
      <w:adjustRightInd/>
      <w:ind w:left="1418" w:firstLine="284"/>
    </w:pPr>
    <w:rPr>
      <w:sz w:val="20"/>
    </w:rPr>
  </w:style>
  <w:style w:type="paragraph" w:customStyle="1" w:styleId="S7pz">
    <w:name w:val="S 7 pz"/>
    <w:basedOn w:val="S1i2pz"/>
    <w:qFormat/>
    <w:rsid w:val="003A2CD6"/>
    <w:pPr>
      <w:numPr>
        <w:numId w:val="0"/>
      </w:numPr>
      <w:tabs>
        <w:tab w:val="clear" w:pos="284"/>
        <w:tab w:val="left" w:pos="1701"/>
      </w:tabs>
      <w:suppressAutoHyphens/>
      <w:overflowPunct/>
      <w:autoSpaceDE/>
      <w:autoSpaceDN/>
      <w:adjustRightInd/>
      <w:ind w:left="1701" w:hanging="283"/>
    </w:pPr>
    <w:rPr>
      <w:sz w:val="20"/>
    </w:rPr>
  </w:style>
  <w:style w:type="paragraph" w:customStyle="1" w:styleId="Poziom6pzZnak">
    <w:name w:val="Poziom 6 pz Znak"/>
    <w:basedOn w:val="Normalny"/>
    <w:qFormat/>
    <w:rsid w:val="003A2CD6"/>
    <w:pPr>
      <w:suppressAutoHyphens/>
      <w:spacing w:after="80" w:line="300" w:lineRule="exact"/>
      <w:ind w:left="1134" w:firstLine="284"/>
      <w:jc w:val="both"/>
      <w:textAlignment w:val="baseline"/>
    </w:pPr>
    <w:rPr>
      <w:rFonts w:eastAsia="Times New Roman" w:cs="Times New Roman"/>
      <w:sz w:val="22"/>
      <w:szCs w:val="20"/>
      <w:lang w:eastAsia="pl-PL"/>
    </w:rPr>
  </w:style>
  <w:style w:type="paragraph" w:customStyle="1" w:styleId="importTXT">
    <w:name w:val="import TXT"/>
    <w:basedOn w:val="Normalny"/>
    <w:qFormat/>
    <w:rsid w:val="003A2CD6"/>
    <w:pPr>
      <w:suppressAutoHyphens/>
      <w:spacing w:after="0" w:line="240" w:lineRule="auto"/>
      <w:textAlignment w:val="baseline"/>
    </w:pPr>
    <w:rPr>
      <w:rFonts w:ascii="Courier New" w:eastAsia="Times New Roman" w:hAnsi="Courier New" w:cs="Times New Roman"/>
      <w:sz w:val="18"/>
      <w:szCs w:val="20"/>
      <w:lang w:eastAsia="pl-PL"/>
    </w:rPr>
  </w:style>
  <w:style w:type="character" w:customStyle="1" w:styleId="ZwykytekstZnak1">
    <w:name w:val="Zwykły tekst Znak1"/>
    <w:uiPriority w:val="99"/>
    <w:semiHidden/>
    <w:rsid w:val="003A2CD6"/>
    <w:rPr>
      <w:rFonts w:ascii="Courier New" w:hAnsi="Courier New" w:cs="Courier New"/>
      <w:lang w:eastAsia="en-US"/>
    </w:rPr>
  </w:style>
  <w:style w:type="paragraph" w:customStyle="1" w:styleId="zwyk3y">
    <w:name w:val="zwyk3y"/>
    <w:basedOn w:val="Normalny"/>
    <w:qFormat/>
    <w:rsid w:val="003A2CD6"/>
    <w:pPr>
      <w:suppressAutoHyphens/>
      <w:spacing w:after="60" w:line="360" w:lineRule="auto"/>
      <w:jc w:val="both"/>
      <w:textAlignment w:val="baseline"/>
    </w:pPr>
    <w:rPr>
      <w:rFonts w:eastAsia="Times New Roman" w:cs="Arial"/>
      <w:sz w:val="22"/>
      <w:lang w:eastAsia="pl-PL"/>
    </w:rPr>
  </w:style>
  <w:style w:type="character" w:customStyle="1" w:styleId="Tekstpodstawowywcity2Znak1">
    <w:name w:val="Tekst podstawowy wcięty 2 Znak1"/>
    <w:uiPriority w:val="99"/>
    <w:semiHidden/>
    <w:rsid w:val="003A2CD6"/>
    <w:rPr>
      <w:sz w:val="22"/>
      <w:szCs w:val="22"/>
      <w:lang w:eastAsia="en-US"/>
    </w:rPr>
  </w:style>
  <w:style w:type="paragraph" w:customStyle="1" w:styleId="StandardowyStandardowy1">
    <w:name w:val="Standardowy.Standardowy1"/>
    <w:qFormat/>
    <w:rsid w:val="003A2CD6"/>
    <w:pPr>
      <w:suppressAutoHyphens/>
      <w:spacing w:after="0" w:line="240" w:lineRule="auto"/>
    </w:pPr>
    <w:rPr>
      <w:rFonts w:ascii="Arial" w:eastAsia="Times New Roman" w:hAnsi="Arial" w:cs="Arial"/>
      <w:sz w:val="18"/>
      <w:szCs w:val="18"/>
      <w:lang w:eastAsia="pl-PL"/>
    </w:rPr>
  </w:style>
  <w:style w:type="character" w:customStyle="1" w:styleId="TekstkomentarzaZnak1">
    <w:name w:val="Tekst komentarza Znak1"/>
    <w:uiPriority w:val="99"/>
    <w:semiHidden/>
    <w:rsid w:val="003A2CD6"/>
    <w:rPr>
      <w:lang w:eastAsia="en-US"/>
    </w:rPr>
  </w:style>
  <w:style w:type="paragraph" w:customStyle="1" w:styleId="wyliczanie">
    <w:name w:val="– wyliczanie"/>
    <w:basedOn w:val="Normalny"/>
    <w:qFormat/>
    <w:rsid w:val="003A2CD6"/>
    <w:pPr>
      <w:widowControl w:val="0"/>
      <w:suppressAutoHyphens/>
      <w:spacing w:after="60" w:line="360" w:lineRule="auto"/>
      <w:ind w:left="60"/>
      <w:jc w:val="both"/>
      <w:textAlignment w:val="baseline"/>
    </w:pPr>
    <w:rPr>
      <w:rFonts w:eastAsia="Times New Roman" w:cs="Times New Roman"/>
      <w:sz w:val="22"/>
      <w:szCs w:val="20"/>
      <w:lang w:eastAsia="pl-PL"/>
    </w:rPr>
  </w:style>
  <w:style w:type="paragraph" w:customStyle="1" w:styleId="zwykywcity">
    <w:name w:val="zwykły wcięty"/>
    <w:basedOn w:val="Normalny"/>
    <w:qFormat/>
    <w:rsid w:val="003A2CD6"/>
    <w:pPr>
      <w:suppressAutoHyphens/>
      <w:spacing w:after="60" w:line="360" w:lineRule="auto"/>
      <w:ind w:firstLine="396"/>
      <w:jc w:val="both"/>
      <w:textAlignment w:val="baseline"/>
    </w:pPr>
    <w:rPr>
      <w:rFonts w:eastAsia="Times New Roman" w:cs="Times New Roman"/>
      <w:sz w:val="22"/>
      <w:szCs w:val="20"/>
      <w:lang w:eastAsia="pl-PL"/>
    </w:rPr>
  </w:style>
  <w:style w:type="paragraph" w:customStyle="1" w:styleId="zwyk3ywciety">
    <w:name w:val="zwyk3y wciety"/>
    <w:basedOn w:val="Normalny"/>
    <w:qFormat/>
    <w:rsid w:val="003A2CD6"/>
    <w:pPr>
      <w:suppressAutoHyphens/>
      <w:spacing w:after="60" w:line="360" w:lineRule="auto"/>
      <w:ind w:firstLine="396"/>
      <w:jc w:val="both"/>
      <w:textAlignment w:val="baseline"/>
    </w:pPr>
    <w:rPr>
      <w:rFonts w:eastAsia="Times New Roman" w:cs="Times New Roman"/>
      <w:sz w:val="22"/>
      <w:szCs w:val="20"/>
      <w:lang w:eastAsia="pl-PL"/>
    </w:rPr>
  </w:style>
  <w:style w:type="paragraph" w:customStyle="1" w:styleId="xl24">
    <w:name w:val="xl24"/>
    <w:basedOn w:val="Normalny"/>
    <w:qFormat/>
    <w:rsid w:val="003A2CD6"/>
    <w:pPr>
      <w:pBdr>
        <w:top w:val="single" w:sz="4" w:space="0" w:color="000000"/>
        <w:left w:val="single" w:sz="4" w:space="0" w:color="000000"/>
        <w:bottom w:val="single" w:sz="4" w:space="0" w:color="000000"/>
        <w:right w:val="single" w:sz="4" w:space="0" w:color="000000"/>
      </w:pBdr>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25">
    <w:name w:val="xl25"/>
    <w:basedOn w:val="Normalny"/>
    <w:qFormat/>
    <w:rsid w:val="003A2CD6"/>
    <w:pPr>
      <w:pBdr>
        <w:top w:val="single" w:sz="4" w:space="0" w:color="000000"/>
        <w:left w:val="single" w:sz="4" w:space="0" w:color="000000"/>
        <w:bottom w:val="single" w:sz="4" w:space="0" w:color="000000"/>
        <w:right w:val="single" w:sz="4" w:space="0" w:color="000000"/>
      </w:pBdr>
      <w:suppressAutoHyphens/>
      <w:overflowPunct w:val="0"/>
      <w:spacing w:beforeAutospacing="1" w:after="0" w:afterAutospacing="1" w:line="240" w:lineRule="auto"/>
      <w:jc w:val="center"/>
    </w:pPr>
    <w:rPr>
      <w:rFonts w:ascii="Arial Unicode MS" w:eastAsia="Arial Unicode MS" w:hAnsi="Arial Unicode MS" w:cs="MS Serif"/>
      <w:b/>
      <w:bCs/>
      <w:szCs w:val="24"/>
      <w:lang w:eastAsia="pl-PL"/>
    </w:rPr>
  </w:style>
  <w:style w:type="paragraph" w:customStyle="1" w:styleId="xl66">
    <w:name w:val="xl66"/>
    <w:basedOn w:val="Normalny"/>
    <w:qFormat/>
    <w:rsid w:val="003A2CD6"/>
    <w:pPr>
      <w:pBdr>
        <w:top w:val="single" w:sz="4" w:space="0" w:color="000000"/>
        <w:left w:val="single" w:sz="4" w:space="0" w:color="000000"/>
        <w:bottom w:val="single" w:sz="4" w:space="0" w:color="000000"/>
        <w:right w:val="single" w:sz="4" w:space="0" w:color="000000"/>
      </w:pBdr>
      <w:shd w:val="clear" w:color="auto" w:fill="CCFFFF"/>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67">
    <w:name w:val="xl67"/>
    <w:basedOn w:val="Normalny"/>
    <w:qFormat/>
    <w:rsid w:val="003A2CD6"/>
    <w:pPr>
      <w:pBdr>
        <w:top w:val="single" w:sz="4" w:space="0" w:color="000000"/>
        <w:left w:val="single" w:sz="4" w:space="0" w:color="000000"/>
        <w:bottom w:val="single" w:sz="4" w:space="0" w:color="000000"/>
        <w:right w:val="single" w:sz="4" w:space="0" w:color="000000"/>
      </w:pBdr>
      <w:shd w:val="clear" w:color="auto" w:fill="CCFFFF"/>
      <w:suppressAutoHyphens/>
      <w:overflowPunct w:val="0"/>
      <w:spacing w:beforeAutospacing="1" w:after="0" w:afterAutospacing="1" w:line="240" w:lineRule="auto"/>
    </w:pPr>
    <w:rPr>
      <w:rFonts w:ascii="Arial Unicode MS" w:eastAsia="Arial Unicode MS" w:hAnsi="Arial Unicode MS" w:cs="MS Serif"/>
      <w:szCs w:val="24"/>
      <w:lang w:eastAsia="pl-PL"/>
    </w:rPr>
  </w:style>
  <w:style w:type="paragraph" w:customStyle="1" w:styleId="xl68">
    <w:name w:val="xl68"/>
    <w:basedOn w:val="Normalny"/>
    <w:qFormat/>
    <w:rsid w:val="003A2CD6"/>
    <w:pPr>
      <w:pBdr>
        <w:top w:val="single" w:sz="4" w:space="0" w:color="000000"/>
        <w:left w:val="single" w:sz="4" w:space="0" w:color="000000"/>
        <w:bottom w:val="single" w:sz="4" w:space="0" w:color="000000"/>
        <w:right w:val="single" w:sz="4" w:space="0" w:color="000000"/>
      </w:pBdr>
      <w:shd w:val="clear" w:color="auto" w:fill="CCFFFF"/>
      <w:suppressAutoHyphens/>
      <w:overflowPunct w:val="0"/>
      <w:spacing w:beforeAutospacing="1" w:after="0" w:afterAutospacing="1" w:line="240" w:lineRule="auto"/>
    </w:pPr>
    <w:rPr>
      <w:rFonts w:ascii="Arial Unicode MS" w:eastAsia="Arial Unicode MS" w:hAnsi="Arial Unicode MS" w:cs="MS Serif"/>
      <w:szCs w:val="24"/>
      <w:lang w:eastAsia="pl-PL"/>
    </w:rPr>
  </w:style>
  <w:style w:type="paragraph" w:customStyle="1" w:styleId="xl69">
    <w:name w:val="xl69"/>
    <w:basedOn w:val="Normalny"/>
    <w:qFormat/>
    <w:rsid w:val="003A2CD6"/>
    <w:pPr>
      <w:pBdr>
        <w:top w:val="single" w:sz="4" w:space="0" w:color="000000"/>
        <w:left w:val="single" w:sz="4" w:space="0" w:color="000000"/>
        <w:bottom w:val="single" w:sz="4" w:space="0" w:color="000000"/>
        <w:right w:val="single" w:sz="4" w:space="0" w:color="000000"/>
      </w:pBdr>
      <w:shd w:val="clear" w:color="auto" w:fill="FFCC99"/>
      <w:suppressAutoHyphens/>
      <w:overflowPunct w:val="0"/>
      <w:spacing w:beforeAutospacing="1" w:after="0" w:afterAutospacing="1" w:line="240" w:lineRule="auto"/>
    </w:pPr>
    <w:rPr>
      <w:rFonts w:ascii="Arial Unicode MS" w:eastAsia="Arial Unicode MS" w:hAnsi="Arial Unicode MS" w:cs="MS Serif"/>
      <w:szCs w:val="24"/>
      <w:lang w:eastAsia="pl-PL"/>
    </w:rPr>
  </w:style>
  <w:style w:type="paragraph" w:customStyle="1" w:styleId="xl70">
    <w:name w:val="xl70"/>
    <w:basedOn w:val="Normalny"/>
    <w:qFormat/>
    <w:rsid w:val="003A2CD6"/>
    <w:pPr>
      <w:pBdr>
        <w:top w:val="single" w:sz="4" w:space="0" w:color="000000"/>
        <w:left w:val="single" w:sz="4" w:space="0" w:color="000000"/>
        <w:bottom w:val="single" w:sz="4" w:space="0" w:color="000000"/>
        <w:right w:val="single" w:sz="4" w:space="0" w:color="000000"/>
      </w:pBdr>
      <w:shd w:val="clear" w:color="auto" w:fill="CCFFFF"/>
      <w:suppressAutoHyphens/>
      <w:overflowPunct w:val="0"/>
      <w:spacing w:beforeAutospacing="1" w:after="0" w:afterAutospacing="1" w:line="240" w:lineRule="auto"/>
      <w:jc w:val="center"/>
    </w:pPr>
    <w:rPr>
      <w:rFonts w:eastAsia="Arial Unicode MS" w:cs="MS Serif"/>
      <w:sz w:val="20"/>
      <w:szCs w:val="20"/>
      <w:lang w:eastAsia="pl-PL"/>
    </w:rPr>
  </w:style>
  <w:style w:type="paragraph" w:customStyle="1" w:styleId="xl71">
    <w:name w:val="xl71"/>
    <w:basedOn w:val="Normalny"/>
    <w:qFormat/>
    <w:rsid w:val="003A2CD6"/>
    <w:pPr>
      <w:pBdr>
        <w:top w:val="single" w:sz="4" w:space="0" w:color="000000"/>
        <w:left w:val="single" w:sz="4" w:space="0" w:color="000000"/>
        <w:bottom w:val="single" w:sz="4" w:space="0" w:color="000000"/>
        <w:right w:val="single" w:sz="4" w:space="0" w:color="000000"/>
      </w:pBdr>
      <w:shd w:val="clear" w:color="auto" w:fill="CCFFFF"/>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72">
    <w:name w:val="xl72"/>
    <w:basedOn w:val="Normalny"/>
    <w:qFormat/>
    <w:rsid w:val="003A2CD6"/>
    <w:pPr>
      <w:pBdr>
        <w:top w:val="single" w:sz="4" w:space="0" w:color="000000"/>
        <w:left w:val="single" w:sz="4" w:space="0" w:color="000000"/>
        <w:bottom w:val="single" w:sz="4" w:space="0" w:color="000000"/>
        <w:right w:val="single" w:sz="4" w:space="0" w:color="000000"/>
      </w:pBdr>
      <w:shd w:val="clear" w:color="auto" w:fill="FFCC99"/>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73">
    <w:name w:val="xl73"/>
    <w:basedOn w:val="Normalny"/>
    <w:qFormat/>
    <w:rsid w:val="003A2CD6"/>
    <w:pPr>
      <w:pBdr>
        <w:top w:val="single" w:sz="4" w:space="0" w:color="000000"/>
        <w:left w:val="single" w:sz="4" w:space="0" w:color="000000"/>
        <w:bottom w:val="single" w:sz="4" w:space="0" w:color="000000"/>
        <w:right w:val="single" w:sz="4" w:space="0" w:color="000000"/>
      </w:pBdr>
      <w:shd w:val="clear" w:color="auto" w:fill="00FFFF"/>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74">
    <w:name w:val="xl74"/>
    <w:basedOn w:val="Normalny"/>
    <w:qFormat/>
    <w:rsid w:val="003A2CD6"/>
    <w:pPr>
      <w:pBdr>
        <w:top w:val="single" w:sz="4" w:space="0" w:color="000000"/>
        <w:left w:val="single" w:sz="4" w:space="0" w:color="000000"/>
        <w:bottom w:val="single" w:sz="4" w:space="0" w:color="000000"/>
        <w:right w:val="single" w:sz="4" w:space="0" w:color="000000"/>
      </w:pBdr>
      <w:shd w:val="clear" w:color="auto" w:fill="FFCC99"/>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75">
    <w:name w:val="xl75"/>
    <w:basedOn w:val="Normalny"/>
    <w:qFormat/>
    <w:rsid w:val="003A2CD6"/>
    <w:pPr>
      <w:pBdr>
        <w:top w:val="single" w:sz="4" w:space="0" w:color="000000"/>
        <w:left w:val="single" w:sz="4" w:space="0" w:color="000000"/>
        <w:bottom w:val="single" w:sz="4" w:space="0" w:color="000000"/>
        <w:right w:val="single" w:sz="4" w:space="0" w:color="000000"/>
      </w:pBdr>
      <w:shd w:val="clear" w:color="auto" w:fill="FFCC99"/>
      <w:suppressAutoHyphens/>
      <w:overflowPunct w:val="0"/>
      <w:spacing w:beforeAutospacing="1" w:after="0" w:afterAutospacing="1" w:line="240" w:lineRule="auto"/>
      <w:jc w:val="center"/>
    </w:pPr>
    <w:rPr>
      <w:rFonts w:eastAsia="Arial Unicode MS" w:cs="MS Serif"/>
      <w:sz w:val="20"/>
      <w:szCs w:val="20"/>
      <w:lang w:eastAsia="pl-PL"/>
    </w:rPr>
  </w:style>
  <w:style w:type="paragraph" w:customStyle="1" w:styleId="xl76">
    <w:name w:val="xl76"/>
    <w:basedOn w:val="Normalny"/>
    <w:qFormat/>
    <w:rsid w:val="003A2CD6"/>
    <w:pPr>
      <w:pBdr>
        <w:top w:val="single" w:sz="4" w:space="0" w:color="000000"/>
        <w:left w:val="single" w:sz="4" w:space="0" w:color="000000"/>
        <w:bottom w:val="single" w:sz="4" w:space="0" w:color="000000"/>
        <w:right w:val="single" w:sz="4" w:space="0" w:color="000000"/>
      </w:pBdr>
      <w:shd w:val="clear" w:color="auto" w:fill="FFCC99"/>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character" w:customStyle="1" w:styleId="TekstdymkaZnak1">
    <w:name w:val="Tekst dymka Znak1"/>
    <w:uiPriority w:val="99"/>
    <w:semiHidden/>
    <w:rsid w:val="003A2CD6"/>
    <w:rPr>
      <w:rFonts w:ascii="Segoe UI" w:eastAsia="Times New Roman" w:hAnsi="Segoe UI" w:cs="Segoe UI"/>
      <w:sz w:val="18"/>
      <w:szCs w:val="18"/>
      <w:lang w:eastAsia="pl-PL"/>
    </w:rPr>
  </w:style>
  <w:style w:type="paragraph" w:customStyle="1" w:styleId="poziom10">
    <w:name w:val="poziom1"/>
    <w:basedOn w:val="Normalny"/>
    <w:qFormat/>
    <w:rsid w:val="003A2CD6"/>
    <w:pPr>
      <w:suppressAutoHyphens/>
      <w:overflowPunct w:val="0"/>
      <w:spacing w:beforeAutospacing="1" w:after="0" w:afterAutospacing="1" w:line="240" w:lineRule="auto"/>
    </w:pPr>
    <w:rPr>
      <w:rFonts w:ascii="Arial Unicode MS" w:eastAsia="Arial Unicode MS" w:hAnsi="Arial Unicode MS" w:cs="MS Serif"/>
      <w:szCs w:val="24"/>
      <w:lang w:eastAsia="pl-PL"/>
    </w:rPr>
  </w:style>
  <w:style w:type="paragraph" w:customStyle="1" w:styleId="w1i2pz0">
    <w:name w:val="w1i2pz"/>
    <w:basedOn w:val="Normalny"/>
    <w:qFormat/>
    <w:rsid w:val="003A2CD6"/>
    <w:pPr>
      <w:suppressAutoHyphens/>
      <w:overflowPunct w:val="0"/>
      <w:spacing w:beforeAutospacing="1" w:after="0" w:afterAutospacing="1" w:line="240" w:lineRule="auto"/>
    </w:pPr>
    <w:rPr>
      <w:rFonts w:ascii="Arial Unicode MS" w:eastAsia="Arial Unicode MS" w:hAnsi="Arial Unicode MS" w:cs="MS Serif"/>
      <w:szCs w:val="24"/>
      <w:lang w:eastAsia="pl-PL"/>
    </w:rPr>
  </w:style>
  <w:style w:type="paragraph" w:customStyle="1" w:styleId="Tekstpodstawowywcity22">
    <w:name w:val="Tekst podstawowy wcięty 22"/>
    <w:basedOn w:val="Normalny"/>
    <w:qFormat/>
    <w:rsid w:val="003A2CD6"/>
    <w:pPr>
      <w:suppressAutoHyphens/>
      <w:overflowPunct w:val="0"/>
      <w:spacing w:after="0" w:line="240" w:lineRule="auto"/>
      <w:ind w:firstLine="360"/>
      <w:jc w:val="both"/>
    </w:pPr>
    <w:rPr>
      <w:rFonts w:ascii="Times New Roman" w:eastAsia="Times New Roman" w:hAnsi="Times New Roman" w:cs="Times New Roman"/>
      <w:szCs w:val="24"/>
      <w:lang w:eastAsia="ar-SA"/>
    </w:rPr>
  </w:style>
  <w:style w:type="paragraph" w:styleId="Spistreci8">
    <w:name w:val="toc 8"/>
    <w:basedOn w:val="Normalny"/>
    <w:next w:val="Normalny"/>
    <w:autoRedefine/>
    <w:uiPriority w:val="39"/>
    <w:rsid w:val="003A2CD6"/>
    <w:pPr>
      <w:suppressAutoHyphens/>
      <w:overflowPunct w:val="0"/>
      <w:spacing w:after="0" w:line="240" w:lineRule="auto"/>
      <w:ind w:left="1680"/>
    </w:pPr>
    <w:rPr>
      <w:rFonts w:ascii="Times New Roman" w:eastAsia="Times New Roman" w:hAnsi="Times New Roman" w:cs="Times New Roman"/>
      <w:szCs w:val="24"/>
      <w:lang w:eastAsia="pl-PL"/>
    </w:rPr>
  </w:style>
  <w:style w:type="paragraph" w:styleId="Spistreci9">
    <w:name w:val="toc 9"/>
    <w:basedOn w:val="Normalny"/>
    <w:next w:val="Normalny"/>
    <w:autoRedefine/>
    <w:uiPriority w:val="39"/>
    <w:rsid w:val="003A2CD6"/>
    <w:pPr>
      <w:suppressAutoHyphens/>
      <w:overflowPunct w:val="0"/>
      <w:spacing w:after="0" w:line="240" w:lineRule="auto"/>
      <w:ind w:left="1920"/>
    </w:pPr>
    <w:rPr>
      <w:rFonts w:ascii="Times New Roman" w:eastAsia="Times New Roman" w:hAnsi="Times New Roman" w:cs="Times New Roman"/>
      <w:szCs w:val="24"/>
      <w:lang w:eastAsia="pl-PL"/>
    </w:rPr>
  </w:style>
  <w:style w:type="paragraph" w:styleId="Mapadokumentu">
    <w:name w:val="Document Map"/>
    <w:basedOn w:val="Normalny"/>
    <w:link w:val="MapadokumentuZnak"/>
    <w:uiPriority w:val="99"/>
    <w:qFormat/>
    <w:rsid w:val="003A2CD6"/>
    <w:pPr>
      <w:shd w:val="clear" w:color="auto" w:fill="000080"/>
      <w:suppressAutoHyphens/>
      <w:spacing w:after="0" w:line="240" w:lineRule="auto"/>
      <w:textAlignment w:val="baseline"/>
    </w:pPr>
    <w:rPr>
      <w:rFonts w:ascii="Tahoma" w:hAnsi="Tahoma" w:cs="Helvetica"/>
      <w:sz w:val="18"/>
    </w:rPr>
  </w:style>
  <w:style w:type="character" w:customStyle="1" w:styleId="MapadokumentuZnak1">
    <w:name w:val="Mapa dokumentu Znak1"/>
    <w:basedOn w:val="Domylnaczcionkaakapitu"/>
    <w:uiPriority w:val="99"/>
    <w:rsid w:val="003A2CD6"/>
    <w:rPr>
      <w:rFonts w:ascii="Segoe UI" w:hAnsi="Segoe UI" w:cs="Segoe UI"/>
      <w:sz w:val="16"/>
      <w:szCs w:val="16"/>
    </w:rPr>
  </w:style>
  <w:style w:type="character" w:customStyle="1" w:styleId="HTML-wstpniesformatowanyZnak1">
    <w:name w:val="HTML - wstępnie sformatowany Znak1"/>
    <w:basedOn w:val="Domylnaczcionkaakapitu"/>
    <w:rsid w:val="003A2CD6"/>
    <w:rPr>
      <w:rFonts w:ascii="Arial Unicode MS" w:eastAsia="Courier New" w:hAnsi="Arial Unicode MS" w:cs="Wingdings"/>
    </w:rPr>
  </w:style>
  <w:style w:type="character" w:customStyle="1" w:styleId="TekstprzypisukocowegoZnak1">
    <w:name w:val="Tekst przypisu końcowego Znak1"/>
    <w:uiPriority w:val="99"/>
    <w:semiHidden/>
    <w:rsid w:val="003A2CD6"/>
    <w:rPr>
      <w:lang w:eastAsia="en-US"/>
    </w:rPr>
  </w:style>
  <w:style w:type="paragraph" w:customStyle="1" w:styleId="zwyk">
    <w:name w:val="zwyk"/>
    <w:basedOn w:val="Normalny"/>
    <w:qFormat/>
    <w:rsid w:val="003A2CD6"/>
    <w:pPr>
      <w:suppressAutoHyphens/>
      <w:overflowPunct w:val="0"/>
      <w:spacing w:after="60" w:line="360" w:lineRule="auto"/>
      <w:jc w:val="both"/>
    </w:pPr>
    <w:rPr>
      <w:rFonts w:eastAsia="Times New Roman" w:cs="Times New Roman"/>
      <w:sz w:val="22"/>
      <w:szCs w:val="20"/>
      <w:lang w:eastAsia="pl-PL"/>
    </w:rPr>
  </w:style>
  <w:style w:type="paragraph" w:customStyle="1" w:styleId="xl65">
    <w:name w:val="xl65"/>
    <w:basedOn w:val="Normalny"/>
    <w:qFormat/>
    <w:rsid w:val="003A2CD6"/>
    <w:pPr>
      <w:pBdr>
        <w:top w:val="single" w:sz="12" w:space="0" w:color="000000"/>
        <w:right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77">
    <w:name w:val="xl77"/>
    <w:basedOn w:val="Normalny"/>
    <w:qFormat/>
    <w:rsid w:val="003A2CD6"/>
    <w:pPr>
      <w:pBdr>
        <w:bottom w:val="single" w:sz="12" w:space="0" w:color="000000"/>
        <w:right w:val="single" w:sz="4" w:space="0" w:color="000000"/>
      </w:pBdr>
      <w:suppressAutoHyphens/>
      <w:overflowPunct w:val="0"/>
      <w:spacing w:beforeAutospacing="1" w:after="0" w:afterAutospacing="1" w:line="240" w:lineRule="auto"/>
    </w:pPr>
    <w:rPr>
      <w:rFonts w:eastAsia="Arial Unicode MS" w:cs="Arial"/>
      <w:szCs w:val="24"/>
      <w:lang w:eastAsia="pl-PL"/>
    </w:rPr>
  </w:style>
  <w:style w:type="paragraph" w:customStyle="1" w:styleId="xl78">
    <w:name w:val="xl78"/>
    <w:basedOn w:val="Normalny"/>
    <w:qFormat/>
    <w:rsid w:val="003A2CD6"/>
    <w:pPr>
      <w:pBdr>
        <w:top w:val="single" w:sz="12" w:space="0" w:color="000000"/>
        <w:left w:val="single" w:sz="12" w:space="0" w:color="000000"/>
        <w:right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79">
    <w:name w:val="xl79"/>
    <w:basedOn w:val="Normalny"/>
    <w:qFormat/>
    <w:rsid w:val="003A2CD6"/>
    <w:pPr>
      <w:pBdr>
        <w:left w:val="single" w:sz="12" w:space="0" w:color="000000"/>
        <w:bottom w:val="single" w:sz="12" w:space="0" w:color="000000"/>
        <w:right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80">
    <w:name w:val="xl80"/>
    <w:basedOn w:val="Normalny"/>
    <w:qFormat/>
    <w:rsid w:val="003A2CD6"/>
    <w:pPr>
      <w:pBdr>
        <w:top w:val="single" w:sz="12" w:space="0" w:color="000000"/>
        <w:left w:val="single" w:sz="4" w:space="0" w:color="000000"/>
        <w:right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81">
    <w:name w:val="xl81"/>
    <w:basedOn w:val="Normalny"/>
    <w:qFormat/>
    <w:rsid w:val="003A2CD6"/>
    <w:pPr>
      <w:pBdr>
        <w:left w:val="single" w:sz="4" w:space="0" w:color="000000"/>
        <w:bottom w:val="single" w:sz="12" w:space="0" w:color="000000"/>
        <w:right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82">
    <w:name w:val="xl82"/>
    <w:basedOn w:val="Normalny"/>
    <w:qFormat/>
    <w:rsid w:val="003A2CD6"/>
    <w:pPr>
      <w:pBdr>
        <w:top w:val="single" w:sz="12" w:space="0" w:color="000000"/>
        <w:left w:val="single" w:sz="4" w:space="0" w:color="000000"/>
        <w:bottom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83">
    <w:name w:val="xl83"/>
    <w:basedOn w:val="Normalny"/>
    <w:qFormat/>
    <w:rsid w:val="003A2CD6"/>
    <w:pPr>
      <w:pBdr>
        <w:top w:val="single" w:sz="12" w:space="0" w:color="000000"/>
        <w:bottom w:val="single" w:sz="4" w:space="0" w:color="000000"/>
        <w:right w:val="single" w:sz="12"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84">
    <w:name w:val="xl84"/>
    <w:basedOn w:val="Normalny"/>
    <w:qFormat/>
    <w:rsid w:val="003A2CD6"/>
    <w:pPr>
      <w:pBdr>
        <w:top w:val="single" w:sz="12" w:space="0" w:color="000000"/>
        <w:left w:val="single" w:sz="12" w:space="0" w:color="000000"/>
        <w:bottom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85">
    <w:name w:val="xl85"/>
    <w:basedOn w:val="Normalny"/>
    <w:qFormat/>
    <w:rsid w:val="003A2CD6"/>
    <w:pPr>
      <w:pBdr>
        <w:top w:val="single" w:sz="12" w:space="0" w:color="000000"/>
        <w:bottom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86">
    <w:name w:val="xl86"/>
    <w:basedOn w:val="Normalny"/>
    <w:qFormat/>
    <w:rsid w:val="003A2CD6"/>
    <w:pPr>
      <w:pBdr>
        <w:top w:val="single" w:sz="12" w:space="0" w:color="000000"/>
        <w:bottom w:val="single" w:sz="12" w:space="0" w:color="000000"/>
        <w:right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87">
    <w:name w:val="xl87"/>
    <w:basedOn w:val="Normalny"/>
    <w:qFormat/>
    <w:rsid w:val="003A2CD6"/>
    <w:pPr>
      <w:pBdr>
        <w:left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88">
    <w:name w:val="xl88"/>
    <w:basedOn w:val="Normalny"/>
    <w:qFormat/>
    <w:rsid w:val="003A2CD6"/>
    <w:pPr>
      <w:pBdr>
        <w:top w:val="single" w:sz="12" w:space="0" w:color="000000"/>
        <w:left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89">
    <w:name w:val="xl89"/>
    <w:basedOn w:val="Normalny"/>
    <w:qFormat/>
    <w:rsid w:val="003A2CD6"/>
    <w:pPr>
      <w:pBdr>
        <w:left w:val="single" w:sz="12" w:space="0" w:color="000000"/>
        <w:bottom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0">
    <w:name w:val="xl90"/>
    <w:basedOn w:val="Normalny"/>
    <w:qFormat/>
    <w:rsid w:val="003A2CD6"/>
    <w:pPr>
      <w:pBdr>
        <w:top w:val="single" w:sz="12" w:space="0" w:color="000000"/>
        <w:left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1">
    <w:name w:val="xl91"/>
    <w:basedOn w:val="Normalny"/>
    <w:qFormat/>
    <w:rsid w:val="003A2CD6"/>
    <w:pPr>
      <w:pBdr>
        <w:left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2">
    <w:name w:val="xl92"/>
    <w:basedOn w:val="Normalny"/>
    <w:qFormat/>
    <w:rsid w:val="003A2CD6"/>
    <w:pPr>
      <w:pBdr>
        <w:left w:val="single" w:sz="4" w:space="0" w:color="000000"/>
        <w:bottom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3">
    <w:name w:val="xl93"/>
    <w:basedOn w:val="Normalny"/>
    <w:qFormat/>
    <w:rsid w:val="003A2CD6"/>
    <w:pPr>
      <w:pBdr>
        <w:top w:val="single" w:sz="12" w:space="0" w:color="000000"/>
        <w:left w:val="single" w:sz="4"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94">
    <w:name w:val="xl94"/>
    <w:basedOn w:val="Normalny"/>
    <w:qFormat/>
    <w:rsid w:val="003A2CD6"/>
    <w:pPr>
      <w:pBdr>
        <w:left w:val="single" w:sz="4"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95">
    <w:name w:val="xl95"/>
    <w:basedOn w:val="Normalny"/>
    <w:qFormat/>
    <w:rsid w:val="003A2CD6"/>
    <w:pPr>
      <w:pBdr>
        <w:left w:val="single" w:sz="4" w:space="0" w:color="000000"/>
        <w:bottom w:val="single" w:sz="4"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96">
    <w:name w:val="xl96"/>
    <w:basedOn w:val="Normalny"/>
    <w:qFormat/>
    <w:rsid w:val="003A2CD6"/>
    <w:pPr>
      <w:pBdr>
        <w:top w:val="single" w:sz="4" w:space="0" w:color="000000"/>
        <w:left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7">
    <w:name w:val="xl97"/>
    <w:basedOn w:val="Normalny"/>
    <w:qFormat/>
    <w:rsid w:val="003A2CD6"/>
    <w:pPr>
      <w:pBdr>
        <w:top w:val="single" w:sz="4" w:space="0" w:color="000000"/>
        <w:left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8">
    <w:name w:val="xl98"/>
    <w:basedOn w:val="Normalny"/>
    <w:qFormat/>
    <w:rsid w:val="003A2CD6"/>
    <w:pPr>
      <w:pBdr>
        <w:top w:val="single" w:sz="4" w:space="0" w:color="000000"/>
        <w:left w:val="single" w:sz="4"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99">
    <w:name w:val="xl99"/>
    <w:basedOn w:val="Normalny"/>
    <w:qFormat/>
    <w:rsid w:val="003A2CD6"/>
    <w:pPr>
      <w:pBdr>
        <w:left w:val="single" w:sz="12" w:space="0" w:color="000000"/>
        <w:bottom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100">
    <w:name w:val="xl100"/>
    <w:basedOn w:val="Normalny"/>
    <w:qFormat/>
    <w:rsid w:val="003A2CD6"/>
    <w:pPr>
      <w:pBdr>
        <w:left w:val="single" w:sz="4" w:space="0" w:color="000000"/>
        <w:bottom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101">
    <w:name w:val="xl101"/>
    <w:basedOn w:val="Normalny"/>
    <w:qFormat/>
    <w:rsid w:val="003A2CD6"/>
    <w:pPr>
      <w:pBdr>
        <w:left w:val="single" w:sz="4" w:space="0" w:color="000000"/>
        <w:bottom w:val="single" w:sz="12"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102">
    <w:name w:val="xl102"/>
    <w:basedOn w:val="Normalny"/>
    <w:qFormat/>
    <w:rsid w:val="003A2CD6"/>
    <w:pPr>
      <w:pBdr>
        <w:top w:val="single" w:sz="12" w:space="0" w:color="000000"/>
        <w:left w:val="single" w:sz="12" w:space="0" w:color="000000"/>
        <w:bottom w:val="single" w:sz="12"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xl103">
    <w:name w:val="xl103"/>
    <w:basedOn w:val="Normalny"/>
    <w:qFormat/>
    <w:rsid w:val="003A2CD6"/>
    <w:pPr>
      <w:pBdr>
        <w:top w:val="single" w:sz="12" w:space="0" w:color="000000"/>
        <w:bottom w:val="single" w:sz="12" w:space="0" w:color="000000"/>
        <w:right w:val="single" w:sz="4"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xl104">
    <w:name w:val="xl104"/>
    <w:basedOn w:val="Normalny"/>
    <w:qFormat/>
    <w:rsid w:val="003A2CD6"/>
    <w:pPr>
      <w:pBdr>
        <w:top w:val="single" w:sz="12" w:space="0" w:color="000000"/>
        <w:left w:val="single" w:sz="4" w:space="0" w:color="000000"/>
        <w:bottom w:val="single" w:sz="12"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xl105">
    <w:name w:val="xl105"/>
    <w:basedOn w:val="Normalny"/>
    <w:qFormat/>
    <w:rsid w:val="003A2CD6"/>
    <w:pPr>
      <w:pBdr>
        <w:top w:val="single" w:sz="12" w:space="0" w:color="000000"/>
        <w:left w:val="single" w:sz="12" w:space="0" w:color="000000"/>
        <w:bottom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106">
    <w:name w:val="xl106"/>
    <w:basedOn w:val="Normalny"/>
    <w:qFormat/>
    <w:rsid w:val="003A2CD6"/>
    <w:pPr>
      <w:pBdr>
        <w:top w:val="single" w:sz="12" w:space="0" w:color="000000"/>
        <w:bottom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107">
    <w:name w:val="xl107"/>
    <w:basedOn w:val="Normalny"/>
    <w:qFormat/>
    <w:rsid w:val="003A2CD6"/>
    <w:pPr>
      <w:pBdr>
        <w:top w:val="single" w:sz="12" w:space="0" w:color="000000"/>
        <w:bottom w:val="single" w:sz="12" w:space="0" w:color="000000"/>
        <w:right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108">
    <w:name w:val="xl108"/>
    <w:basedOn w:val="Normalny"/>
    <w:qFormat/>
    <w:rsid w:val="003A2CD6"/>
    <w:pPr>
      <w:pBdr>
        <w:top w:val="single" w:sz="12" w:space="0" w:color="000000"/>
        <w:left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109">
    <w:name w:val="xl109"/>
    <w:basedOn w:val="Normalny"/>
    <w:qFormat/>
    <w:rsid w:val="003A2CD6"/>
    <w:pPr>
      <w:pBdr>
        <w:top w:val="single" w:sz="12" w:space="0" w:color="000000"/>
        <w:left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110">
    <w:name w:val="xl110"/>
    <w:basedOn w:val="Normalny"/>
    <w:qFormat/>
    <w:rsid w:val="003A2CD6"/>
    <w:pPr>
      <w:pBdr>
        <w:top w:val="single" w:sz="12" w:space="0" w:color="000000"/>
        <w:left w:val="single" w:sz="4"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111">
    <w:name w:val="xl111"/>
    <w:basedOn w:val="Normalny"/>
    <w:qFormat/>
    <w:rsid w:val="003A2CD6"/>
    <w:pPr>
      <w:pBdr>
        <w:top w:val="single" w:sz="4" w:space="0" w:color="000000"/>
        <w:left w:val="single" w:sz="12" w:space="0" w:color="000000"/>
        <w:bottom w:val="single" w:sz="12"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xl112">
    <w:name w:val="xl112"/>
    <w:basedOn w:val="Normalny"/>
    <w:qFormat/>
    <w:rsid w:val="003A2CD6"/>
    <w:pPr>
      <w:pBdr>
        <w:top w:val="single" w:sz="4" w:space="0" w:color="000000"/>
        <w:bottom w:val="single" w:sz="12" w:space="0" w:color="000000"/>
        <w:right w:val="single" w:sz="4"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xl113">
    <w:name w:val="xl113"/>
    <w:basedOn w:val="Normalny"/>
    <w:qFormat/>
    <w:rsid w:val="003A2CD6"/>
    <w:pPr>
      <w:pBdr>
        <w:top w:val="single" w:sz="4" w:space="0" w:color="000000"/>
        <w:left w:val="single" w:sz="4" w:space="0" w:color="000000"/>
        <w:bottom w:val="single" w:sz="12"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NORMALPODST">
    <w:name w:val="NORMAL_PODST"/>
    <w:basedOn w:val="Normalny"/>
    <w:qFormat/>
    <w:rsid w:val="003A2CD6"/>
    <w:pPr>
      <w:suppressAutoHyphens/>
      <w:overflowPunct w:val="0"/>
      <w:spacing w:before="60" w:after="40" w:line="240" w:lineRule="auto"/>
      <w:ind w:left="284"/>
    </w:pPr>
    <w:rPr>
      <w:rFonts w:eastAsia="Times New Roman" w:cs="Times New Roman"/>
      <w:sz w:val="20"/>
      <w:szCs w:val="24"/>
      <w:lang w:eastAsia="pl-PL"/>
    </w:rPr>
  </w:style>
  <w:style w:type="character" w:customStyle="1" w:styleId="TekstpodstawowywcityZnak1">
    <w:name w:val="Tekst podstawowy wcięty Znak1"/>
    <w:uiPriority w:val="99"/>
    <w:semiHidden/>
    <w:rsid w:val="003A2CD6"/>
    <w:rPr>
      <w:sz w:val="22"/>
      <w:szCs w:val="22"/>
      <w:lang w:eastAsia="en-US"/>
    </w:rPr>
  </w:style>
  <w:style w:type="paragraph" w:customStyle="1" w:styleId="zwyky0">
    <w:name w:val="zwyk³y"/>
    <w:basedOn w:val="Normalny"/>
    <w:qFormat/>
    <w:rsid w:val="003A2CD6"/>
    <w:pPr>
      <w:suppressAutoHyphens/>
      <w:spacing w:after="60" w:line="360" w:lineRule="auto"/>
      <w:jc w:val="both"/>
      <w:textAlignment w:val="baseline"/>
    </w:pPr>
    <w:rPr>
      <w:rFonts w:eastAsia="Times New Roman" w:cs="Times New Roman"/>
      <w:sz w:val="22"/>
      <w:szCs w:val="20"/>
      <w:lang w:eastAsia="pl-PL"/>
    </w:rPr>
  </w:style>
  <w:style w:type="paragraph" w:customStyle="1" w:styleId="Poziom5pzZnak">
    <w:name w:val="Poziom 5 pz Znak"/>
    <w:basedOn w:val="Normalny"/>
    <w:qFormat/>
    <w:rsid w:val="003A2CD6"/>
    <w:pPr>
      <w:suppressAutoHyphens/>
      <w:spacing w:after="80" w:line="300" w:lineRule="exact"/>
      <w:ind w:left="851" w:firstLine="284"/>
      <w:jc w:val="both"/>
      <w:textAlignment w:val="baseline"/>
    </w:pPr>
    <w:rPr>
      <w:rFonts w:eastAsia="Times New Roman" w:cs="Times New Roman"/>
      <w:sz w:val="22"/>
      <w:szCs w:val="20"/>
      <w:lang w:eastAsia="pl-PL"/>
    </w:rPr>
  </w:style>
  <w:style w:type="paragraph" w:customStyle="1" w:styleId="Poziom3pzZnakZnak">
    <w:name w:val="Poziom 3 pz Znak Znak"/>
    <w:basedOn w:val="Normalny"/>
    <w:link w:val="Poziom3pzZnakZnakZnak"/>
    <w:qFormat/>
    <w:rsid w:val="003A2CD6"/>
    <w:pPr>
      <w:suppressAutoHyphens/>
      <w:spacing w:after="80" w:line="300" w:lineRule="exact"/>
      <w:ind w:left="284" w:firstLine="284"/>
      <w:jc w:val="both"/>
      <w:textAlignment w:val="baseline"/>
    </w:pPr>
    <w:rPr>
      <w:sz w:val="22"/>
    </w:rPr>
  </w:style>
  <w:style w:type="paragraph" w:customStyle="1" w:styleId="21ZnakZnak">
    <w:name w:val="21 Znak Znak"/>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W3pzZnak">
    <w:name w:val="W 3 pz Znak"/>
    <w:basedOn w:val="W1i2pz"/>
    <w:qFormat/>
    <w:rsid w:val="003A2CD6"/>
    <w:pPr>
      <w:tabs>
        <w:tab w:val="left" w:pos="567"/>
      </w:tabs>
      <w:ind w:left="567" w:hanging="283"/>
    </w:pPr>
  </w:style>
  <w:style w:type="paragraph" w:customStyle="1" w:styleId="W4pzZnak">
    <w:name w:val="W 4 pz Znak"/>
    <w:basedOn w:val="W3pzZnak"/>
    <w:link w:val="W4pzZnakZnak"/>
    <w:qFormat/>
    <w:rsid w:val="003A2CD6"/>
    <w:pPr>
      <w:tabs>
        <w:tab w:val="clear" w:pos="567"/>
        <w:tab w:val="left" w:pos="851"/>
      </w:tabs>
      <w:ind w:left="851" w:hanging="284"/>
    </w:pPr>
  </w:style>
  <w:style w:type="paragraph" w:customStyle="1" w:styleId="Poziom3pzZnakZnak1Znak">
    <w:name w:val="Poziom 3 pz Znak Znak1 Znak"/>
    <w:basedOn w:val="Normalny"/>
    <w:link w:val="Poziom3pzZnakZnak1ZnakZnak"/>
    <w:uiPriority w:val="99"/>
    <w:qFormat/>
    <w:rsid w:val="003A2CD6"/>
    <w:pPr>
      <w:suppressAutoHyphens/>
      <w:spacing w:after="80" w:line="300" w:lineRule="exact"/>
      <w:ind w:left="284" w:firstLine="284"/>
      <w:jc w:val="both"/>
      <w:textAlignment w:val="baseline"/>
    </w:pPr>
    <w:rPr>
      <w:sz w:val="22"/>
    </w:rPr>
  </w:style>
  <w:style w:type="paragraph" w:customStyle="1" w:styleId="W3pzZnakZnak">
    <w:name w:val="W 3 pz Znak Znak"/>
    <w:basedOn w:val="W1i2pz"/>
    <w:qFormat/>
    <w:rsid w:val="003A2CD6"/>
    <w:pPr>
      <w:tabs>
        <w:tab w:val="left" w:pos="567"/>
      </w:tabs>
      <w:ind w:left="567" w:hanging="283"/>
    </w:pPr>
  </w:style>
  <w:style w:type="paragraph" w:customStyle="1" w:styleId="Poziom3pzZnakZnakZnakZnakZnak">
    <w:name w:val="Poziom 3 pz Znak Znak Znak Znak Znak"/>
    <w:basedOn w:val="Normalny"/>
    <w:qFormat/>
    <w:rsid w:val="003A2CD6"/>
    <w:pPr>
      <w:suppressAutoHyphens/>
      <w:spacing w:after="80" w:line="300" w:lineRule="exact"/>
      <w:ind w:left="284" w:firstLine="284"/>
      <w:jc w:val="both"/>
      <w:textAlignment w:val="baseline"/>
    </w:pPr>
    <w:rPr>
      <w:rFonts w:eastAsia="Times New Roman" w:cs="Times New Roman"/>
      <w:sz w:val="22"/>
      <w:szCs w:val="20"/>
      <w:lang w:eastAsia="pl-PL"/>
    </w:rPr>
  </w:style>
  <w:style w:type="paragraph" w:customStyle="1" w:styleId="Poziom3pzZnakZnakZnakZnakZnakZnakZnak">
    <w:name w:val="Poziom 3 pz Znak Znak Znak Znak Znak Znak Znak"/>
    <w:basedOn w:val="Normalny"/>
    <w:link w:val="Poziom3pzZnakZnakZnakZnakZnakZnakZnakZnak"/>
    <w:qFormat/>
    <w:rsid w:val="003A2CD6"/>
    <w:pPr>
      <w:suppressAutoHyphens/>
      <w:spacing w:after="80" w:line="300" w:lineRule="exact"/>
      <w:ind w:left="284" w:firstLine="284"/>
      <w:jc w:val="both"/>
      <w:textAlignment w:val="baseline"/>
    </w:pPr>
    <w:rPr>
      <w:sz w:val="22"/>
    </w:rPr>
  </w:style>
  <w:style w:type="paragraph" w:customStyle="1" w:styleId="Poziom5pzZnakZnakZnakZnak">
    <w:name w:val="Poziom 5 pz Znak Znak Znak Znak"/>
    <w:basedOn w:val="Normalny"/>
    <w:link w:val="Poziom5pzZnakZnakZnakZnakZnak"/>
    <w:qFormat/>
    <w:rsid w:val="003A2CD6"/>
    <w:pPr>
      <w:suppressAutoHyphens/>
      <w:spacing w:after="80" w:line="300" w:lineRule="exact"/>
      <w:ind w:left="851" w:firstLine="284"/>
      <w:jc w:val="both"/>
      <w:textAlignment w:val="baseline"/>
    </w:pPr>
    <w:rPr>
      <w:sz w:val="22"/>
    </w:rPr>
  </w:style>
  <w:style w:type="paragraph" w:customStyle="1" w:styleId="Poziom3pzZnakZnakZnakZnakZnakZnak">
    <w:name w:val="Poziom 3 pz Znak Znak Znak Znak Znak Znak"/>
    <w:basedOn w:val="Normalny"/>
    <w:qFormat/>
    <w:rsid w:val="003A2CD6"/>
    <w:pPr>
      <w:suppressAutoHyphens/>
      <w:spacing w:after="80" w:line="300" w:lineRule="exact"/>
      <w:ind w:left="284" w:firstLine="284"/>
      <w:jc w:val="both"/>
      <w:textAlignment w:val="baseline"/>
    </w:pPr>
    <w:rPr>
      <w:rFonts w:eastAsia="Times New Roman" w:cs="Times New Roman"/>
      <w:sz w:val="22"/>
      <w:szCs w:val="20"/>
      <w:lang w:eastAsia="pl-PL"/>
    </w:rPr>
  </w:style>
  <w:style w:type="paragraph" w:customStyle="1" w:styleId="S1i2pzZnakZnak">
    <w:name w:val="S 1 i 2 pz Znak Znak"/>
    <w:basedOn w:val="Normalny"/>
    <w:link w:val="S1i2pzZnakZnakZnak"/>
    <w:qFormat/>
    <w:rsid w:val="003A2CD6"/>
    <w:pPr>
      <w:tabs>
        <w:tab w:val="left" w:pos="284"/>
      </w:tabs>
      <w:suppressAutoHyphens/>
      <w:spacing w:after="80" w:line="300" w:lineRule="exact"/>
      <w:ind w:left="284" w:hanging="284"/>
      <w:jc w:val="both"/>
      <w:textAlignment w:val="baseline"/>
    </w:pPr>
    <w:rPr>
      <w:sz w:val="22"/>
    </w:rPr>
  </w:style>
  <w:style w:type="paragraph" w:customStyle="1" w:styleId="Poziom3pzZnak3">
    <w:name w:val="Poziom 3 pz Znak3"/>
    <w:basedOn w:val="Normalny"/>
    <w:uiPriority w:val="99"/>
    <w:qFormat/>
    <w:rsid w:val="003A2CD6"/>
    <w:pPr>
      <w:suppressAutoHyphens/>
      <w:spacing w:after="80" w:line="300" w:lineRule="exact"/>
      <w:ind w:left="284" w:firstLine="284"/>
      <w:jc w:val="both"/>
      <w:textAlignment w:val="baseline"/>
    </w:pPr>
    <w:rPr>
      <w:rFonts w:eastAsia="Times New Roman" w:cs="Times New Roman"/>
      <w:sz w:val="22"/>
      <w:szCs w:val="20"/>
      <w:lang w:eastAsia="pl-PL"/>
    </w:rPr>
  </w:style>
  <w:style w:type="paragraph" w:customStyle="1" w:styleId="N1i2pzZnakZnak">
    <w:name w:val="N 1 i 2 pz Znak Znak"/>
    <w:basedOn w:val="Normalny"/>
    <w:link w:val="N1i2pzZnakZnakZnak"/>
    <w:qFormat/>
    <w:rsid w:val="003A2CD6"/>
    <w:pPr>
      <w:tabs>
        <w:tab w:val="left" w:pos="425"/>
      </w:tabs>
      <w:suppressAutoHyphens/>
      <w:spacing w:after="80" w:line="300" w:lineRule="exact"/>
      <w:ind w:left="425" w:hanging="425"/>
      <w:jc w:val="both"/>
      <w:textAlignment w:val="baseline"/>
    </w:pPr>
    <w:rPr>
      <w:sz w:val="22"/>
    </w:rPr>
  </w:style>
  <w:style w:type="paragraph" w:customStyle="1" w:styleId="Poziom4pzZnakZnak">
    <w:name w:val="Poziom 4 pz Znak Znak"/>
    <w:basedOn w:val="Poziom3pzZnak3"/>
    <w:link w:val="Poziom4pzZnakZnakZnak"/>
    <w:qFormat/>
    <w:rsid w:val="003A2CD6"/>
    <w:pPr>
      <w:ind w:left="567"/>
    </w:pPr>
    <w:rPr>
      <w:rFonts w:eastAsiaTheme="minorHAnsi" w:cstheme="minorBidi"/>
      <w:szCs w:val="22"/>
      <w:lang w:eastAsia="en-US"/>
    </w:rPr>
  </w:style>
  <w:style w:type="paragraph" w:customStyle="1" w:styleId="W3pzZnakZnakZnak">
    <w:name w:val="W 3 pz Znak Znak Znak"/>
    <w:basedOn w:val="Normalny"/>
    <w:link w:val="W3pzZnakZnakZnakZnak"/>
    <w:qFormat/>
    <w:rsid w:val="003A2CD6"/>
    <w:pPr>
      <w:tabs>
        <w:tab w:val="left" w:pos="567"/>
      </w:tabs>
      <w:suppressAutoHyphens/>
      <w:spacing w:after="80" w:line="300" w:lineRule="exact"/>
      <w:ind w:left="567" w:hanging="283"/>
      <w:jc w:val="both"/>
      <w:textAlignment w:val="baseline"/>
    </w:pPr>
    <w:rPr>
      <w:sz w:val="22"/>
    </w:rPr>
  </w:style>
  <w:style w:type="paragraph" w:customStyle="1" w:styleId="Poziom5pzZnakZnakZnak">
    <w:name w:val="Poziom 5 pz Znak Znak Znak"/>
    <w:basedOn w:val="Normalny"/>
    <w:qFormat/>
    <w:rsid w:val="003A2CD6"/>
    <w:pPr>
      <w:suppressAutoHyphens/>
      <w:spacing w:after="80" w:line="300" w:lineRule="exact"/>
      <w:ind w:left="851" w:firstLine="284"/>
      <w:jc w:val="both"/>
      <w:textAlignment w:val="baseline"/>
    </w:pPr>
    <w:rPr>
      <w:rFonts w:eastAsia="Times New Roman" w:cs="Times New Roman"/>
      <w:sz w:val="22"/>
      <w:szCs w:val="20"/>
      <w:lang w:eastAsia="pl-PL"/>
    </w:rPr>
  </w:style>
  <w:style w:type="paragraph" w:customStyle="1" w:styleId="W4pzZnakZnakZnakZnak">
    <w:name w:val="W 4 pz Znak Znak Znak Znak"/>
    <w:basedOn w:val="Normalny"/>
    <w:link w:val="W4pzZnakZnakZnakZnakZnak"/>
    <w:qFormat/>
    <w:rsid w:val="003A2CD6"/>
    <w:pPr>
      <w:tabs>
        <w:tab w:val="left" w:pos="851"/>
      </w:tabs>
      <w:suppressAutoHyphens/>
      <w:spacing w:after="80" w:line="300" w:lineRule="exact"/>
      <w:ind w:left="851" w:hanging="284"/>
      <w:jc w:val="both"/>
      <w:textAlignment w:val="baseline"/>
    </w:pPr>
    <w:rPr>
      <w:sz w:val="22"/>
    </w:rPr>
  </w:style>
  <w:style w:type="paragraph" w:customStyle="1" w:styleId="Poziom5pzZnakZnak1">
    <w:name w:val="Poziom 5 pz Znak Znak1"/>
    <w:basedOn w:val="Normalny"/>
    <w:link w:val="Poziom5pzZnakZnak1Znak"/>
    <w:qFormat/>
    <w:rsid w:val="003A2CD6"/>
    <w:pPr>
      <w:suppressAutoHyphens/>
      <w:spacing w:after="80" w:line="300" w:lineRule="exact"/>
      <w:ind w:left="851" w:firstLine="284"/>
      <w:jc w:val="both"/>
      <w:textAlignment w:val="baseline"/>
    </w:pPr>
    <w:rPr>
      <w:sz w:val="22"/>
    </w:rPr>
  </w:style>
  <w:style w:type="paragraph" w:customStyle="1" w:styleId="zwyky1">
    <w:name w:val="zwyky"/>
    <w:basedOn w:val="Normalny"/>
    <w:qFormat/>
    <w:rsid w:val="003A2CD6"/>
    <w:pPr>
      <w:suppressAutoHyphens/>
      <w:overflowPunct w:val="0"/>
      <w:spacing w:beforeAutospacing="1" w:after="0" w:afterAutospacing="1" w:line="240" w:lineRule="auto"/>
    </w:pPr>
    <w:rPr>
      <w:rFonts w:ascii="Times New Roman" w:eastAsia="Times New Roman" w:hAnsi="Times New Roman" w:cs="Times New Roman"/>
      <w:szCs w:val="24"/>
      <w:lang w:eastAsia="pl-PL"/>
    </w:rPr>
  </w:style>
  <w:style w:type="paragraph" w:customStyle="1" w:styleId="POStext">
    <w:name w:val="POS text"/>
    <w:basedOn w:val="Normalny"/>
    <w:qFormat/>
    <w:rsid w:val="003A2CD6"/>
    <w:pPr>
      <w:suppressAutoHyphens/>
      <w:spacing w:after="0" w:line="240" w:lineRule="auto"/>
      <w:ind w:firstLine="567"/>
      <w:jc w:val="both"/>
      <w:textAlignment w:val="baseline"/>
    </w:pPr>
    <w:rPr>
      <w:rFonts w:eastAsia="Times New Roman" w:cs="Times New Roman"/>
      <w:kern w:val="2"/>
      <w:sz w:val="20"/>
      <w:szCs w:val="20"/>
      <w:lang w:eastAsia="pl-PL"/>
    </w:rPr>
  </w:style>
  <w:style w:type="paragraph" w:customStyle="1" w:styleId="Zawartotabeli">
    <w:name w:val="Zawartość tabeli"/>
    <w:basedOn w:val="Domylnie"/>
    <w:qFormat/>
    <w:rsid w:val="003A2CD6"/>
    <w:pPr>
      <w:suppressAutoHyphens/>
      <w:snapToGrid/>
    </w:pPr>
    <w:rPr>
      <w:color w:val="000000"/>
      <w:szCs w:val="24"/>
      <w:lang w:eastAsia="en-US"/>
    </w:rPr>
  </w:style>
  <w:style w:type="paragraph" w:customStyle="1" w:styleId="-W1i2pz">
    <w:name w:val="- W 1 i 2 pz"/>
    <w:basedOn w:val="Normalny"/>
    <w:qFormat/>
    <w:rsid w:val="003A2CD6"/>
    <w:pPr>
      <w:tabs>
        <w:tab w:val="left" w:pos="284"/>
      </w:tabs>
      <w:suppressAutoHyphens/>
      <w:spacing w:after="80" w:line="300" w:lineRule="exact"/>
      <w:ind w:left="284" w:hanging="284"/>
      <w:jc w:val="both"/>
      <w:textAlignment w:val="baseline"/>
    </w:pPr>
    <w:rPr>
      <w:rFonts w:eastAsia="Times New Roman" w:cs="Times New Roman"/>
      <w:sz w:val="22"/>
      <w:szCs w:val="20"/>
      <w:lang w:eastAsia="pl-PL"/>
    </w:rPr>
  </w:style>
  <w:style w:type="paragraph" w:customStyle="1" w:styleId="-W3pz">
    <w:name w:val="- W 3 pz"/>
    <w:basedOn w:val="-W1i2pz"/>
    <w:qFormat/>
    <w:rsid w:val="003A2CD6"/>
    <w:pPr>
      <w:tabs>
        <w:tab w:val="clear" w:pos="284"/>
        <w:tab w:val="left" w:pos="567"/>
      </w:tabs>
      <w:ind w:left="567" w:hanging="283"/>
    </w:pPr>
  </w:style>
  <w:style w:type="paragraph" w:customStyle="1" w:styleId="-W4pz">
    <w:name w:val="- W 4 pz"/>
    <w:basedOn w:val="-W3pz"/>
    <w:qFormat/>
    <w:rsid w:val="003A2CD6"/>
    <w:pPr>
      <w:tabs>
        <w:tab w:val="clear" w:pos="567"/>
        <w:tab w:val="left" w:pos="851"/>
      </w:tabs>
      <w:ind w:left="851" w:hanging="284"/>
    </w:pPr>
  </w:style>
  <w:style w:type="paragraph" w:customStyle="1" w:styleId="zwyk3y4">
    <w:name w:val="zwyk3y4"/>
    <w:basedOn w:val="Normalny"/>
    <w:qFormat/>
    <w:rsid w:val="003A2CD6"/>
    <w:pPr>
      <w:suppressAutoHyphens/>
      <w:spacing w:after="60" w:line="360" w:lineRule="auto"/>
      <w:jc w:val="both"/>
      <w:textAlignment w:val="baseline"/>
    </w:pPr>
    <w:rPr>
      <w:rFonts w:eastAsia="Times New Roman" w:cs="Times New Roman"/>
      <w:sz w:val="22"/>
      <w:szCs w:val="20"/>
      <w:lang w:eastAsia="pl-PL"/>
    </w:rPr>
  </w:style>
  <w:style w:type="paragraph" w:customStyle="1" w:styleId="opissymboli">
    <w:name w:val="opis symboli"/>
    <w:basedOn w:val="Normalny"/>
    <w:qFormat/>
    <w:rsid w:val="003A2CD6"/>
    <w:pPr>
      <w:keepLines/>
      <w:tabs>
        <w:tab w:val="left" w:pos="1134"/>
        <w:tab w:val="left" w:pos="1701"/>
      </w:tabs>
      <w:suppressAutoHyphens/>
      <w:spacing w:before="60" w:after="120" w:line="320" w:lineRule="exact"/>
      <w:ind w:left="1702" w:right="284" w:hanging="1418"/>
      <w:jc w:val="both"/>
      <w:textAlignment w:val="baseline"/>
    </w:pPr>
    <w:rPr>
      <w:rFonts w:eastAsia="Times New Roman" w:cs="Times New Roman"/>
      <w:sz w:val="22"/>
      <w:szCs w:val="20"/>
      <w:lang w:eastAsia="pl-PL"/>
    </w:rPr>
  </w:style>
  <w:style w:type="paragraph" w:customStyle="1" w:styleId="zwyk3ywciety3">
    <w:name w:val="zwyk3y wciety3"/>
    <w:basedOn w:val="Normalny"/>
    <w:qFormat/>
    <w:rsid w:val="003A2CD6"/>
    <w:pPr>
      <w:suppressAutoHyphens/>
      <w:spacing w:after="60" w:line="360" w:lineRule="auto"/>
      <w:ind w:firstLine="396"/>
      <w:jc w:val="both"/>
      <w:textAlignment w:val="baseline"/>
    </w:pPr>
    <w:rPr>
      <w:rFonts w:eastAsia="Times New Roman" w:cs="Times New Roman"/>
      <w:sz w:val="22"/>
      <w:szCs w:val="20"/>
      <w:lang w:eastAsia="pl-PL"/>
    </w:rPr>
  </w:style>
  <w:style w:type="paragraph" w:customStyle="1" w:styleId="Polerwnania">
    <w:name w:val="Pole równania"/>
    <w:basedOn w:val="Normalny"/>
    <w:qFormat/>
    <w:rsid w:val="003A2CD6"/>
    <w:pPr>
      <w:suppressAutoHyphens/>
      <w:spacing w:before="120" w:after="120" w:line="360" w:lineRule="auto"/>
      <w:jc w:val="center"/>
      <w:textAlignment w:val="baseline"/>
    </w:pPr>
    <w:rPr>
      <w:rFonts w:eastAsia="Times New Roman" w:cs="Times New Roman"/>
      <w:shadow/>
      <w:szCs w:val="20"/>
      <w:lang w:eastAsia="pl-PL"/>
    </w:rPr>
  </w:style>
  <w:style w:type="paragraph" w:customStyle="1" w:styleId="OrdTytu3">
    <w:name w:val="OródTytu3"/>
    <w:basedOn w:val="zwyk3y"/>
    <w:next w:val="zwyk3y"/>
    <w:qFormat/>
    <w:rsid w:val="003A2CD6"/>
    <w:pPr>
      <w:jc w:val="center"/>
    </w:pPr>
    <w:rPr>
      <w:rFonts w:cs="Times New Roman"/>
      <w:b/>
      <w:sz w:val="40"/>
      <w:szCs w:val="20"/>
    </w:rPr>
  </w:style>
  <w:style w:type="paragraph" w:customStyle="1" w:styleId="Reference">
    <w:name w:val="Reference"/>
    <w:basedOn w:val="Normalny"/>
    <w:qFormat/>
    <w:rsid w:val="003A2CD6"/>
    <w:pPr>
      <w:tabs>
        <w:tab w:val="left" w:pos="432"/>
      </w:tabs>
      <w:suppressAutoHyphens/>
      <w:spacing w:after="0" w:line="360" w:lineRule="auto"/>
      <w:ind w:left="432" w:hanging="432"/>
      <w:jc w:val="both"/>
      <w:textAlignment w:val="baseline"/>
    </w:pPr>
    <w:rPr>
      <w:rFonts w:eastAsia="Times New Roman" w:cs="Times New Roman"/>
      <w:sz w:val="22"/>
      <w:szCs w:val="20"/>
      <w:lang w:val="en-US" w:eastAsia="pl-PL"/>
    </w:rPr>
  </w:style>
  <w:style w:type="paragraph" w:customStyle="1" w:styleId="Nag3wek6TabelaNag3wek6TabelaNag3wek6TabelaNaglwek6TabelaNaglwek6TabelaNag3wek6Tabela">
    <w:name w:val="Nag3ówek 6.Tabela.Nag3ówek 6 Tabela.Nag3ówek6 Tabela.Naglówek 6 Tabela.Naglówek6 Tabela.Nag3ówek 6 Tabela"/>
    <w:basedOn w:val="Normalny"/>
    <w:next w:val="Normalny"/>
    <w:qFormat/>
    <w:rsid w:val="003A2CD6"/>
    <w:pPr>
      <w:tabs>
        <w:tab w:val="left" w:pos="1152"/>
      </w:tabs>
      <w:suppressAutoHyphens/>
      <w:spacing w:before="240" w:after="60" w:line="240" w:lineRule="auto"/>
      <w:ind w:left="1152" w:hanging="1152"/>
      <w:textAlignment w:val="baseline"/>
    </w:pPr>
    <w:rPr>
      <w:rFonts w:eastAsia="Times New Roman" w:cs="Times New Roman"/>
      <w:i/>
      <w:sz w:val="22"/>
      <w:szCs w:val="20"/>
      <w:lang w:eastAsia="pl-PL"/>
    </w:rPr>
  </w:style>
  <w:style w:type="paragraph" w:customStyle="1" w:styleId="PodpispodobiektemPodpispodrysunkiemNag3wekTabeliNaglwekTabeliNag3wekTabeli">
    <w:name w:val="Podpis pod obiektem.Podpis pod rysunkiem.Nag3ówek Tabeli.Naglówek Tabeli.Nag3ówek Tabeli"/>
    <w:basedOn w:val="Normalny"/>
    <w:next w:val="zwyk3y"/>
    <w:qFormat/>
    <w:rsid w:val="003A2CD6"/>
    <w:pPr>
      <w:keepNext/>
      <w:suppressAutoHyphens/>
      <w:spacing w:before="120" w:after="120" w:line="240" w:lineRule="atLeast"/>
      <w:ind w:left="1418" w:right="113" w:hanging="1418"/>
      <w:textAlignment w:val="baseline"/>
    </w:pPr>
    <w:rPr>
      <w:rFonts w:eastAsia="Times New Roman" w:cs="Times New Roman"/>
      <w:sz w:val="22"/>
      <w:szCs w:val="20"/>
      <w:lang w:eastAsia="pl-PL"/>
    </w:rPr>
  </w:style>
  <w:style w:type="paragraph" w:customStyle="1" w:styleId="Nag3wek6TabelaNag3wek6TabelaNag3wek6Tabela">
    <w:name w:val="Nag3ówek 6.Tabela.Nag3ówek 6 Tabela.Nag3ówek6 Tabela"/>
    <w:basedOn w:val="Normalny"/>
    <w:next w:val="Normalny"/>
    <w:qFormat/>
    <w:rsid w:val="003A2CD6"/>
    <w:pPr>
      <w:suppressAutoHyphens/>
      <w:spacing w:before="240" w:after="60" w:line="240" w:lineRule="auto"/>
      <w:textAlignment w:val="baseline"/>
    </w:pPr>
    <w:rPr>
      <w:rFonts w:eastAsia="Times New Roman" w:cs="Times New Roman"/>
      <w:i/>
      <w:sz w:val="22"/>
      <w:szCs w:val="20"/>
      <w:lang w:eastAsia="pl-PL"/>
    </w:rPr>
  </w:style>
  <w:style w:type="paragraph" w:customStyle="1" w:styleId="PodpispodobiektemPodpispodrysunkiemNag3wekTabeliNag3wekTabeliNaglwekTabeli">
    <w:name w:val="Podpis pod obiektem.Podpis pod rysunkiem.Nag3ówek Tabeli.Nag3ówek Tabeli.Naglówek Tabeli"/>
    <w:basedOn w:val="Normalny"/>
    <w:next w:val="zwyk3y"/>
    <w:qFormat/>
    <w:rsid w:val="003A2CD6"/>
    <w:pPr>
      <w:keepNext/>
      <w:suppressAutoHyphens/>
      <w:spacing w:before="120" w:after="120" w:line="240" w:lineRule="atLeast"/>
      <w:ind w:left="1418" w:right="113" w:hanging="1418"/>
      <w:textAlignment w:val="baseline"/>
    </w:pPr>
    <w:rPr>
      <w:rFonts w:eastAsia="Times New Roman" w:cs="Times New Roman"/>
      <w:sz w:val="20"/>
      <w:szCs w:val="20"/>
      <w:lang w:eastAsia="pl-PL"/>
    </w:rPr>
  </w:style>
  <w:style w:type="paragraph" w:customStyle="1" w:styleId="PodpispodobiektemPodpispodrysunkiemNag3wekTabeli">
    <w:name w:val="Podpis pod obiektem.Podpis pod rysunkiem.Nag3ówek Tabeli"/>
    <w:basedOn w:val="Normalny"/>
    <w:next w:val="zwyk3y"/>
    <w:qFormat/>
    <w:rsid w:val="003A2CD6"/>
    <w:pPr>
      <w:keepNext/>
      <w:suppressAutoHyphens/>
      <w:spacing w:before="120" w:after="120" w:line="240" w:lineRule="atLeast"/>
      <w:ind w:left="1418" w:right="113" w:hanging="1418"/>
      <w:textAlignment w:val="baseline"/>
    </w:pPr>
    <w:rPr>
      <w:rFonts w:eastAsia="Times New Roman" w:cs="Times New Roman"/>
      <w:sz w:val="20"/>
      <w:szCs w:val="20"/>
      <w:lang w:eastAsia="pl-PL"/>
    </w:rPr>
  </w:style>
  <w:style w:type="paragraph" w:customStyle="1" w:styleId="PodpispodobiektemPodpispodrysunkiemNag3wekTabeliNag3wekTabeliNaglwekTabeli2">
    <w:name w:val="Podpis pod obiektem.Podpis pod rysunkiem.Nag3ówek Tabeli.Nag3ówek Tabeli.Naglówek Tabeli2"/>
    <w:basedOn w:val="Normalny"/>
    <w:next w:val="zwyk3y"/>
    <w:qFormat/>
    <w:rsid w:val="003A2CD6"/>
    <w:pPr>
      <w:keepNext/>
      <w:suppressAutoHyphens/>
      <w:spacing w:before="120" w:after="120" w:line="240" w:lineRule="atLeast"/>
      <w:ind w:left="1418" w:right="113" w:hanging="1418"/>
      <w:textAlignment w:val="baseline"/>
    </w:pPr>
    <w:rPr>
      <w:rFonts w:eastAsia="Times New Roman" w:cs="Times New Roman"/>
      <w:sz w:val="20"/>
      <w:szCs w:val="20"/>
      <w:lang w:eastAsia="pl-PL"/>
    </w:rPr>
  </w:style>
  <w:style w:type="paragraph" w:customStyle="1" w:styleId="zwyky2">
    <w:name w:val="zwyk?y"/>
    <w:basedOn w:val="Normalny"/>
    <w:qFormat/>
    <w:rsid w:val="003A2CD6"/>
    <w:pPr>
      <w:suppressAutoHyphens/>
      <w:spacing w:after="60" w:line="360" w:lineRule="auto"/>
      <w:jc w:val="both"/>
      <w:textAlignment w:val="baseline"/>
    </w:pPr>
    <w:rPr>
      <w:rFonts w:ascii="Times New Roman" w:eastAsia="Times New Roman" w:hAnsi="Times New Roman" w:cs="Times New Roman"/>
      <w:sz w:val="22"/>
      <w:szCs w:val="20"/>
      <w:lang w:eastAsia="pl-PL"/>
    </w:rPr>
  </w:style>
  <w:style w:type="paragraph" w:customStyle="1" w:styleId="wyliczanie0">
    <w:name w:val="·wyliczanie"/>
    <w:basedOn w:val="Normalny"/>
    <w:qFormat/>
    <w:rsid w:val="003A2CD6"/>
    <w:pPr>
      <w:widowControl w:val="0"/>
      <w:suppressAutoHyphens/>
      <w:spacing w:after="60" w:line="360" w:lineRule="auto"/>
      <w:ind w:left="60"/>
      <w:jc w:val="both"/>
      <w:textAlignment w:val="baseline"/>
    </w:pPr>
    <w:rPr>
      <w:rFonts w:ascii="Times New Roman" w:eastAsia="Times New Roman" w:hAnsi="Times New Roman" w:cs="Times New Roman"/>
      <w:sz w:val="22"/>
      <w:szCs w:val="20"/>
      <w:lang w:eastAsia="pl-PL"/>
    </w:rPr>
  </w:style>
  <w:style w:type="paragraph" w:customStyle="1" w:styleId="zwykywciy">
    <w:name w:val="zwyk?y wci?y"/>
    <w:basedOn w:val="Normalny"/>
    <w:qFormat/>
    <w:rsid w:val="003A2CD6"/>
    <w:pPr>
      <w:suppressAutoHyphens/>
      <w:spacing w:after="60" w:line="360" w:lineRule="auto"/>
      <w:ind w:firstLine="396"/>
      <w:jc w:val="both"/>
      <w:textAlignment w:val="baseline"/>
    </w:pPr>
    <w:rPr>
      <w:rFonts w:ascii="Times New Roman" w:eastAsia="Times New Roman" w:hAnsi="Times New Roman" w:cs="Times New Roman"/>
      <w:sz w:val="22"/>
      <w:szCs w:val="20"/>
      <w:lang w:eastAsia="pl-PL"/>
    </w:rPr>
  </w:style>
  <w:style w:type="paragraph" w:customStyle="1" w:styleId="PodpispodobiektemPodpispodrysunkiemNagekTabeliNag3ekTabeliNaglekTabeli3">
    <w:name w:val="Podpis pod obiektem.Podpis pod rysunkiem.Nag??ek Tabeli.Nag3?ek Tabeli.Nagl?ek Tabeli3"/>
    <w:basedOn w:val="Normalny"/>
    <w:next w:val="zwyky2"/>
    <w:qFormat/>
    <w:rsid w:val="003A2CD6"/>
    <w:pPr>
      <w:keepNext/>
      <w:suppressAutoHyphens/>
      <w:spacing w:before="120" w:after="120" w:line="240" w:lineRule="atLeast"/>
      <w:ind w:left="1418" w:right="113" w:hanging="1418"/>
      <w:textAlignment w:val="baseline"/>
    </w:pPr>
    <w:rPr>
      <w:rFonts w:ascii="Times New Roman" w:eastAsia="Times New Roman" w:hAnsi="Times New Roman" w:cs="Times New Roman"/>
      <w:szCs w:val="20"/>
      <w:lang w:eastAsia="pl-PL"/>
    </w:rPr>
  </w:style>
  <w:style w:type="paragraph" w:customStyle="1" w:styleId="t4">
    <w:name w:val="t4"/>
    <w:basedOn w:val="Normalny"/>
    <w:qFormat/>
    <w:rsid w:val="003A2CD6"/>
    <w:pPr>
      <w:suppressAutoHyphens/>
      <w:spacing w:after="0" w:line="240" w:lineRule="auto"/>
      <w:ind w:firstLine="480"/>
      <w:jc w:val="both"/>
      <w:textAlignment w:val="baseline"/>
    </w:pPr>
    <w:rPr>
      <w:rFonts w:ascii="Arial Unicode MS" w:eastAsia="Arial Unicode MS" w:hAnsi="Arial Unicode MS" w:cs="Times New Roman"/>
      <w:szCs w:val="20"/>
      <w:lang w:eastAsia="pl-PL"/>
    </w:rPr>
  </w:style>
  <w:style w:type="paragraph" w:customStyle="1" w:styleId="tm">
    <w:name w:val="tm"/>
    <w:basedOn w:val="Normalny"/>
    <w:qFormat/>
    <w:rsid w:val="003A2CD6"/>
    <w:pPr>
      <w:suppressAutoHyphens/>
      <w:spacing w:after="0" w:line="240" w:lineRule="auto"/>
      <w:ind w:left="480" w:hanging="480"/>
      <w:jc w:val="both"/>
      <w:textAlignment w:val="baseline"/>
    </w:pPr>
    <w:rPr>
      <w:rFonts w:ascii="Arial Unicode MS" w:eastAsia="Arial Unicode MS" w:hAnsi="Arial Unicode MS" w:cs="Times New Roman"/>
      <w:szCs w:val="20"/>
      <w:lang w:eastAsia="pl-PL"/>
    </w:rPr>
  </w:style>
  <w:style w:type="paragraph" w:customStyle="1" w:styleId="tj">
    <w:name w:val="tj"/>
    <w:basedOn w:val="Normalny"/>
    <w:qFormat/>
    <w:rsid w:val="003A2CD6"/>
    <w:pPr>
      <w:suppressAutoHyphens/>
      <w:spacing w:after="0" w:line="240" w:lineRule="auto"/>
      <w:ind w:left="120"/>
      <w:textAlignment w:val="baseline"/>
    </w:pPr>
    <w:rPr>
      <w:rFonts w:ascii="Arial Unicode MS" w:eastAsia="Arial Unicode MS" w:hAnsi="Arial Unicode MS" w:cs="Times New Roman"/>
      <w:szCs w:val="20"/>
      <w:lang w:eastAsia="pl-PL"/>
    </w:rPr>
  </w:style>
  <w:style w:type="paragraph" w:customStyle="1" w:styleId="zwykywcity0">
    <w:name w:val="zwyk³y wciêty"/>
    <w:basedOn w:val="Normalny"/>
    <w:qFormat/>
    <w:rsid w:val="003A2CD6"/>
    <w:pPr>
      <w:suppressAutoHyphens/>
      <w:spacing w:after="60" w:line="360" w:lineRule="auto"/>
      <w:ind w:firstLine="396"/>
      <w:jc w:val="both"/>
      <w:textAlignment w:val="baseline"/>
    </w:pPr>
    <w:rPr>
      <w:rFonts w:eastAsia="Times New Roman" w:cs="Times New Roman"/>
      <w:sz w:val="22"/>
      <w:szCs w:val="20"/>
      <w:lang w:eastAsia="pl-PL"/>
    </w:rPr>
  </w:style>
  <w:style w:type="paragraph" w:customStyle="1" w:styleId="rdTytu">
    <w:name w:val="ŒródTytu³"/>
    <w:basedOn w:val="zwyky0"/>
    <w:next w:val="zwyky0"/>
    <w:qFormat/>
    <w:rsid w:val="003A2CD6"/>
    <w:pPr>
      <w:jc w:val="center"/>
    </w:pPr>
    <w:rPr>
      <w:b/>
      <w:sz w:val="40"/>
    </w:rPr>
  </w:style>
  <w:style w:type="paragraph" w:customStyle="1" w:styleId="rdTytu0">
    <w:name w:val="ŚródTytuł"/>
    <w:basedOn w:val="zwyky"/>
    <w:next w:val="zwyky"/>
    <w:qFormat/>
    <w:rsid w:val="003A2CD6"/>
    <w:pPr>
      <w:suppressAutoHyphens/>
      <w:overflowPunct/>
      <w:autoSpaceDE/>
      <w:jc w:val="center"/>
    </w:pPr>
    <w:rPr>
      <w:b/>
      <w:sz w:val="40"/>
      <w:lang w:eastAsia="pl-PL"/>
    </w:rPr>
  </w:style>
  <w:style w:type="paragraph" w:customStyle="1" w:styleId="zwyk3y2">
    <w:name w:val="zwyk3y2"/>
    <w:basedOn w:val="Normalny"/>
    <w:qFormat/>
    <w:rsid w:val="003A2CD6"/>
    <w:pPr>
      <w:suppressAutoHyphens/>
      <w:spacing w:after="60" w:line="360" w:lineRule="auto"/>
      <w:jc w:val="both"/>
      <w:textAlignment w:val="baseline"/>
    </w:pPr>
    <w:rPr>
      <w:rFonts w:eastAsia="Times New Roman" w:cs="Times New Roman"/>
      <w:sz w:val="22"/>
      <w:szCs w:val="20"/>
      <w:lang w:eastAsia="pl-PL"/>
    </w:rPr>
  </w:style>
  <w:style w:type="paragraph" w:customStyle="1" w:styleId="scleg">
    <w:name w:val="scleg"/>
    <w:basedOn w:val="Normalny"/>
    <w:qFormat/>
    <w:rsid w:val="003A2CD6"/>
    <w:pPr>
      <w:suppressAutoHyphens/>
      <w:overflowPunct w:val="0"/>
      <w:spacing w:before="120" w:after="0" w:line="240" w:lineRule="auto"/>
      <w:ind w:left="120"/>
      <w:jc w:val="center"/>
    </w:pPr>
    <w:rPr>
      <w:rFonts w:ascii="Times New Roman" w:eastAsia="Times New Roman" w:hAnsi="Times New Roman" w:cs="Times New Roman"/>
      <w:b/>
      <w:bCs/>
      <w:szCs w:val="24"/>
      <w:lang w:eastAsia="pl-PL"/>
    </w:rPr>
  </w:style>
  <w:style w:type="paragraph" w:styleId="Lista-kontynuacja2">
    <w:name w:val="List Continue 2"/>
    <w:basedOn w:val="Normalny"/>
    <w:qFormat/>
    <w:rsid w:val="003A2CD6"/>
    <w:pPr>
      <w:suppressAutoHyphens/>
      <w:spacing w:after="120" w:line="240" w:lineRule="auto"/>
      <w:ind w:left="566"/>
      <w:textAlignment w:val="baseline"/>
    </w:pPr>
    <w:rPr>
      <w:rFonts w:eastAsia="Times New Roman" w:cs="Times New Roman"/>
      <w:sz w:val="20"/>
      <w:szCs w:val="20"/>
      <w:lang w:eastAsia="pl-PL"/>
    </w:rPr>
  </w:style>
  <w:style w:type="paragraph" w:customStyle="1" w:styleId="Equation">
    <w:name w:val="Equation"/>
    <w:basedOn w:val="Normalny"/>
    <w:next w:val="Normalny"/>
    <w:qFormat/>
    <w:rsid w:val="003A2CD6"/>
    <w:pPr>
      <w:keepLines/>
      <w:tabs>
        <w:tab w:val="center" w:pos="4320"/>
        <w:tab w:val="right" w:pos="8640"/>
      </w:tabs>
      <w:suppressAutoHyphens/>
      <w:spacing w:before="120" w:after="120" w:line="240" w:lineRule="auto"/>
      <w:ind w:firstLine="432"/>
      <w:textAlignment w:val="baseline"/>
    </w:pPr>
    <w:rPr>
      <w:rFonts w:eastAsia="Times New Roman" w:cs="Times New Roman"/>
      <w:sz w:val="22"/>
      <w:szCs w:val="20"/>
      <w:lang w:val="en-US" w:eastAsia="pl-PL"/>
    </w:rPr>
  </w:style>
  <w:style w:type="paragraph" w:customStyle="1" w:styleId="figure">
    <w:name w:val="figure"/>
    <w:basedOn w:val="Normalny"/>
    <w:qFormat/>
    <w:rsid w:val="003A2CD6"/>
    <w:pPr>
      <w:keepNext/>
      <w:keepLines/>
      <w:suppressAutoHyphens/>
      <w:spacing w:before="240" w:after="0" w:line="240" w:lineRule="atLeast"/>
      <w:jc w:val="center"/>
      <w:textAlignment w:val="baseline"/>
    </w:pPr>
    <w:rPr>
      <w:rFonts w:eastAsia="Times New Roman" w:cs="Times New Roman"/>
      <w:sz w:val="22"/>
      <w:szCs w:val="20"/>
      <w:lang w:val="en-US" w:eastAsia="pl-PL"/>
    </w:rPr>
  </w:style>
  <w:style w:type="paragraph" w:customStyle="1" w:styleId="PostEq">
    <w:name w:val="PostEq"/>
    <w:basedOn w:val="Normalny"/>
    <w:next w:val="Normalny"/>
    <w:qFormat/>
    <w:rsid w:val="003A2CD6"/>
    <w:pPr>
      <w:suppressAutoHyphens/>
      <w:spacing w:after="0" w:line="240" w:lineRule="auto"/>
      <w:textAlignment w:val="baseline"/>
    </w:pPr>
    <w:rPr>
      <w:rFonts w:ascii="Times New Roman" w:eastAsia="Times New Roman" w:hAnsi="Times New Roman" w:cs="Times New Roman"/>
      <w:sz w:val="22"/>
      <w:szCs w:val="20"/>
      <w:lang w:val="en-US" w:eastAsia="pl-PL"/>
    </w:rPr>
  </w:style>
  <w:style w:type="paragraph" w:customStyle="1" w:styleId="normalnywciety">
    <w:name w:val="normalny wciety"/>
    <w:basedOn w:val="Normalny"/>
    <w:qFormat/>
    <w:rsid w:val="003A2CD6"/>
    <w:pPr>
      <w:suppressAutoHyphens/>
      <w:spacing w:after="0" w:line="360" w:lineRule="auto"/>
      <w:ind w:firstLine="397"/>
      <w:jc w:val="both"/>
      <w:textAlignment w:val="baseline"/>
    </w:pPr>
    <w:rPr>
      <w:rFonts w:eastAsia="Times New Roman" w:cs="Times New Roman"/>
      <w:sz w:val="22"/>
      <w:szCs w:val="20"/>
      <w:lang w:eastAsia="pl-PL"/>
    </w:rPr>
  </w:style>
  <w:style w:type="paragraph" w:styleId="Listapunktowana3">
    <w:name w:val="List Bullet 3"/>
    <w:basedOn w:val="Normalny"/>
    <w:uiPriority w:val="99"/>
    <w:rsid w:val="003A2CD6"/>
    <w:pPr>
      <w:suppressAutoHyphens/>
      <w:spacing w:after="0" w:line="240" w:lineRule="auto"/>
      <w:ind w:left="566" w:hanging="283"/>
      <w:textAlignment w:val="baseline"/>
    </w:pPr>
    <w:rPr>
      <w:rFonts w:eastAsia="Times New Roman" w:cs="Times New Roman"/>
      <w:sz w:val="20"/>
      <w:szCs w:val="20"/>
      <w:lang w:eastAsia="pl-PL"/>
    </w:rPr>
  </w:style>
  <w:style w:type="paragraph" w:customStyle="1" w:styleId="Poziom5">
    <w:name w:val="Poziom5"/>
    <w:basedOn w:val="Normalny"/>
    <w:qFormat/>
    <w:rsid w:val="003A2CD6"/>
    <w:pPr>
      <w:suppressAutoHyphens/>
      <w:spacing w:before="40" w:after="0" w:line="240" w:lineRule="auto"/>
      <w:ind w:left="851" w:firstLine="227"/>
      <w:jc w:val="both"/>
      <w:textAlignment w:val="baseline"/>
    </w:pPr>
    <w:rPr>
      <w:rFonts w:eastAsia="Times New Roman" w:cs="Times New Roman"/>
      <w:sz w:val="22"/>
      <w:szCs w:val="20"/>
      <w:lang w:eastAsia="pl-PL"/>
    </w:rPr>
  </w:style>
  <w:style w:type="paragraph" w:customStyle="1" w:styleId="zwyk3ywcietyZnakZnak">
    <w:name w:val="zwyk3y wciety Znak Znak"/>
    <w:basedOn w:val="Normalny"/>
    <w:qFormat/>
    <w:rsid w:val="003A2CD6"/>
    <w:pPr>
      <w:suppressAutoHyphens/>
      <w:spacing w:after="60" w:line="360" w:lineRule="auto"/>
      <w:ind w:firstLine="396"/>
      <w:jc w:val="both"/>
      <w:textAlignment w:val="baseline"/>
    </w:pPr>
    <w:rPr>
      <w:rFonts w:eastAsia="Times New Roman" w:cs="Times New Roman"/>
      <w:sz w:val="22"/>
      <w:szCs w:val="20"/>
      <w:lang w:eastAsia="pl-PL"/>
    </w:rPr>
  </w:style>
  <w:style w:type="paragraph" w:customStyle="1" w:styleId="Standard1">
    <w:name w:val="Standard 1"/>
    <w:basedOn w:val="Tekstpodstawowy"/>
    <w:qFormat/>
    <w:rsid w:val="003A2CD6"/>
    <w:pPr>
      <w:suppressAutoHyphens/>
      <w:overflowPunct w:val="0"/>
      <w:spacing w:before="120" w:after="120"/>
      <w:ind w:left="284"/>
    </w:pPr>
    <w:rPr>
      <w:rFonts w:ascii="Arial" w:hAnsi="Arial"/>
      <w:szCs w:val="24"/>
    </w:rPr>
  </w:style>
  <w:style w:type="paragraph" w:customStyle="1" w:styleId="atekstZnak">
    <w:name w:val="atekst Znak"/>
    <w:basedOn w:val="Normalny"/>
    <w:qFormat/>
    <w:rsid w:val="003A2CD6"/>
    <w:pPr>
      <w:suppressAutoHyphens/>
      <w:overflowPunct w:val="0"/>
      <w:spacing w:after="0" w:line="240" w:lineRule="auto"/>
      <w:ind w:left="397"/>
      <w:jc w:val="both"/>
    </w:pPr>
    <w:rPr>
      <w:rFonts w:eastAsia="Times New Roman" w:cs="Times New Roman"/>
      <w:szCs w:val="20"/>
      <w:lang w:eastAsia="pl-PL"/>
    </w:rPr>
  </w:style>
  <w:style w:type="paragraph" w:customStyle="1" w:styleId="anag1">
    <w:name w:val="anag1"/>
    <w:basedOn w:val="Wcicienormalne"/>
    <w:next w:val="atekstZnak"/>
    <w:qFormat/>
    <w:rsid w:val="003A2CD6"/>
    <w:pPr>
      <w:widowControl/>
      <w:tabs>
        <w:tab w:val="left" w:pos="709"/>
      </w:tabs>
      <w:suppressAutoHyphens/>
      <w:overflowPunct w:val="0"/>
      <w:adjustRightInd/>
      <w:spacing w:before="360" w:after="120" w:line="240" w:lineRule="auto"/>
      <w:ind w:left="709" w:hanging="425"/>
      <w:jc w:val="left"/>
      <w:outlineLvl w:val="0"/>
    </w:pPr>
    <w:rPr>
      <w:rFonts w:ascii="Arial" w:hAnsi="Arial"/>
      <w:b/>
      <w:caps/>
      <w:sz w:val="24"/>
    </w:rPr>
  </w:style>
  <w:style w:type="paragraph" w:customStyle="1" w:styleId="anag2">
    <w:name w:val="anag2"/>
    <w:basedOn w:val="Wcicienormalne"/>
    <w:next w:val="atekstZnak"/>
    <w:qFormat/>
    <w:rsid w:val="003A2CD6"/>
    <w:pPr>
      <w:widowControl/>
      <w:tabs>
        <w:tab w:val="left" w:pos="2008"/>
      </w:tabs>
      <w:suppressAutoHyphens/>
      <w:overflowPunct w:val="0"/>
      <w:adjustRightInd/>
      <w:spacing w:before="240" w:after="120" w:line="240" w:lineRule="auto"/>
      <w:ind w:left="2008" w:hanging="360"/>
      <w:jc w:val="left"/>
      <w:outlineLvl w:val="1"/>
    </w:pPr>
    <w:rPr>
      <w:rFonts w:ascii="Arial" w:hAnsi="Arial"/>
      <w:b/>
      <w:sz w:val="24"/>
    </w:rPr>
  </w:style>
  <w:style w:type="paragraph" w:customStyle="1" w:styleId="anag3">
    <w:name w:val="anag3"/>
    <w:basedOn w:val="Wcicienormalne"/>
    <w:next w:val="atekstZnak"/>
    <w:qFormat/>
    <w:rsid w:val="003A2CD6"/>
    <w:pPr>
      <w:widowControl/>
      <w:tabs>
        <w:tab w:val="left" w:pos="2728"/>
      </w:tabs>
      <w:suppressAutoHyphens/>
      <w:overflowPunct w:val="0"/>
      <w:adjustRightInd/>
      <w:spacing w:before="240" w:after="120" w:line="240" w:lineRule="auto"/>
      <w:ind w:left="2728" w:hanging="180"/>
      <w:jc w:val="left"/>
      <w:outlineLvl w:val="2"/>
    </w:pPr>
    <w:rPr>
      <w:rFonts w:ascii="Arial" w:hAnsi="Arial"/>
      <w:sz w:val="24"/>
    </w:rPr>
  </w:style>
  <w:style w:type="paragraph" w:customStyle="1" w:styleId="anag4">
    <w:name w:val="anag4"/>
    <w:basedOn w:val="Wcicienormalne"/>
    <w:next w:val="atekstZnak"/>
    <w:qFormat/>
    <w:rsid w:val="003A2CD6"/>
    <w:pPr>
      <w:widowControl/>
      <w:tabs>
        <w:tab w:val="left" w:pos="3448"/>
      </w:tabs>
      <w:suppressAutoHyphens/>
      <w:overflowPunct w:val="0"/>
      <w:adjustRightInd/>
      <w:spacing w:before="240" w:after="120" w:line="240" w:lineRule="auto"/>
      <w:ind w:left="3448" w:hanging="360"/>
      <w:jc w:val="left"/>
      <w:outlineLvl w:val="3"/>
    </w:pPr>
    <w:rPr>
      <w:rFonts w:ascii="Arial" w:hAnsi="Arial"/>
      <w:sz w:val="24"/>
    </w:rPr>
  </w:style>
  <w:style w:type="paragraph" w:customStyle="1" w:styleId="anag5">
    <w:name w:val="anag5"/>
    <w:basedOn w:val="Wcicienormalne"/>
    <w:next w:val="atekstZnak"/>
    <w:qFormat/>
    <w:rsid w:val="003A2CD6"/>
    <w:pPr>
      <w:widowControl/>
      <w:tabs>
        <w:tab w:val="left" w:pos="4168"/>
      </w:tabs>
      <w:suppressAutoHyphens/>
      <w:overflowPunct w:val="0"/>
      <w:adjustRightInd/>
      <w:spacing w:line="240" w:lineRule="auto"/>
      <w:ind w:left="4168" w:hanging="360"/>
      <w:jc w:val="left"/>
    </w:pPr>
    <w:rPr>
      <w:rFonts w:ascii="Arial" w:hAnsi="Arial"/>
      <w:sz w:val="24"/>
    </w:rPr>
  </w:style>
  <w:style w:type="paragraph" w:customStyle="1" w:styleId="anag6">
    <w:name w:val="anag6"/>
    <w:basedOn w:val="Wcicienormalne"/>
    <w:next w:val="atekstZnak"/>
    <w:qFormat/>
    <w:rsid w:val="003A2CD6"/>
    <w:pPr>
      <w:widowControl/>
      <w:tabs>
        <w:tab w:val="left" w:pos="4888"/>
      </w:tabs>
      <w:suppressAutoHyphens/>
      <w:overflowPunct w:val="0"/>
      <w:adjustRightInd/>
      <w:spacing w:line="240" w:lineRule="auto"/>
      <w:ind w:left="4888" w:hanging="180"/>
      <w:jc w:val="left"/>
    </w:pPr>
    <w:rPr>
      <w:rFonts w:ascii="Arial" w:hAnsi="Arial"/>
      <w:sz w:val="24"/>
    </w:rPr>
  </w:style>
  <w:style w:type="paragraph" w:styleId="Tekstpodstawowyzwciciem2">
    <w:name w:val="Body Text First Indent 2"/>
    <w:basedOn w:val="Tekstpodstawowywcity"/>
    <w:link w:val="Tekstpodstawowyzwciciem2Znak"/>
    <w:qFormat/>
    <w:rsid w:val="003A2CD6"/>
    <w:pPr>
      <w:suppressAutoHyphens/>
      <w:overflowPunct w:val="0"/>
      <w:spacing w:after="120"/>
      <w:ind w:left="283" w:firstLine="210"/>
    </w:pPr>
    <w:rPr>
      <w:rFonts w:eastAsiaTheme="minorHAnsi" w:cstheme="minorBidi"/>
      <w:i w:val="0"/>
      <w:sz w:val="24"/>
      <w:szCs w:val="22"/>
      <w:lang w:eastAsia="en-US"/>
    </w:rPr>
  </w:style>
  <w:style w:type="character" w:customStyle="1" w:styleId="Tekstpodstawowyzwciciem2Znak1">
    <w:name w:val="Tekst podstawowy z wcięciem 2 Znak1"/>
    <w:basedOn w:val="TekstpodstawowywcityZnak"/>
    <w:uiPriority w:val="99"/>
    <w:rsid w:val="003A2CD6"/>
    <w:rPr>
      <w:rFonts w:ascii="Arial" w:eastAsia="Times New Roman" w:hAnsi="Arial" w:cs="Times New Roman"/>
      <w:i w:val="0"/>
      <w:sz w:val="24"/>
      <w:szCs w:val="20"/>
      <w:lang w:eastAsia="pl-PL"/>
    </w:rPr>
  </w:style>
  <w:style w:type="paragraph" w:customStyle="1" w:styleId="Poziom1ZnakZnakZnakZnakZnakZnakZnakZnakZnakZnak">
    <w:name w:val="Poziom 1 Znak Znak Znak Znak Znak Znak Znak Znak Znak Znak"/>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Poziom5pzZnakZnak">
    <w:name w:val="Poziom 5 pz Znak Znak"/>
    <w:basedOn w:val="Normalny"/>
    <w:link w:val="Poziom5pzZnakZnakZnak1"/>
    <w:qFormat/>
    <w:rsid w:val="003A2CD6"/>
    <w:pPr>
      <w:suppressAutoHyphens/>
      <w:spacing w:after="80" w:line="300" w:lineRule="exact"/>
      <w:ind w:left="851" w:firstLine="284"/>
      <w:jc w:val="both"/>
      <w:textAlignment w:val="baseline"/>
    </w:pPr>
    <w:rPr>
      <w:sz w:val="22"/>
    </w:rPr>
  </w:style>
  <w:style w:type="paragraph" w:customStyle="1" w:styleId="atekst">
    <w:name w:val="atekst"/>
    <w:basedOn w:val="Normalny"/>
    <w:qFormat/>
    <w:rsid w:val="003A2CD6"/>
    <w:pPr>
      <w:suppressAutoHyphens/>
      <w:overflowPunct w:val="0"/>
      <w:spacing w:after="0" w:line="240" w:lineRule="auto"/>
      <w:ind w:left="397"/>
      <w:jc w:val="both"/>
    </w:pPr>
    <w:rPr>
      <w:rFonts w:eastAsia="Times New Roman" w:cs="Times New Roman"/>
      <w:szCs w:val="20"/>
      <w:lang w:eastAsia="pl-PL"/>
    </w:rPr>
  </w:style>
  <w:style w:type="paragraph" w:customStyle="1" w:styleId="Poziom1ZnakZnakZnakZnakZnakZnakZnakZnakZnakZnakZnakZnakZnak1">
    <w:name w:val="Poziom 1 Znak Znak Znak Znak Znak Znak Znak Znak Znak Znak Znak Znak Znak1"/>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S3pzZnak">
    <w:name w:val="S 3 pz Znak"/>
    <w:basedOn w:val="S1i2pz"/>
    <w:link w:val="S3pzZnakZnak"/>
    <w:qFormat/>
    <w:rsid w:val="003A2CD6"/>
    <w:pPr>
      <w:numPr>
        <w:numId w:val="0"/>
      </w:numPr>
      <w:tabs>
        <w:tab w:val="clear" w:pos="284"/>
        <w:tab w:val="left" w:pos="567"/>
      </w:tabs>
      <w:suppressAutoHyphens/>
      <w:overflowPunct/>
      <w:autoSpaceDE/>
      <w:autoSpaceDN/>
      <w:adjustRightInd/>
      <w:ind w:left="567" w:firstLine="284"/>
    </w:pPr>
    <w:rPr>
      <w:rFonts w:eastAsiaTheme="minorHAnsi" w:cstheme="minorBidi"/>
      <w:szCs w:val="22"/>
      <w:lang w:val="x-none" w:eastAsia="x-none"/>
    </w:rPr>
  </w:style>
  <w:style w:type="paragraph" w:customStyle="1" w:styleId="poziom3pzznak0">
    <w:name w:val="poziom3pzznak"/>
    <w:basedOn w:val="Normalny"/>
    <w:qFormat/>
    <w:rsid w:val="003A2CD6"/>
    <w:pPr>
      <w:suppressAutoHyphens/>
      <w:overflowPunct w:val="0"/>
      <w:spacing w:beforeAutospacing="1" w:after="0" w:afterAutospacing="1" w:line="240" w:lineRule="auto"/>
    </w:pPr>
    <w:rPr>
      <w:rFonts w:ascii="Times New Roman" w:eastAsia="MS Mincho" w:hAnsi="Times New Roman" w:cs="Times New Roman"/>
      <w:szCs w:val="24"/>
      <w:lang w:eastAsia="ja-JP"/>
    </w:rPr>
  </w:style>
  <w:style w:type="paragraph" w:customStyle="1" w:styleId="Poziom1ZnakZnakZnakZnakZnakZnakZnakZnakZnakZnakZnakZnak">
    <w:name w:val="Poziom 1 Znak Znak Znak Znak Znak Znak Znak Znak Znak Znak Znak Znak"/>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Poziom1ZnakZnakZnak">
    <w:name w:val="Poziom 1 Znak Znak Znak"/>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Poziom1ZnakZnakZnakZnakZnak">
    <w:name w:val="Poziom 1 Znak Znak Znak Znak Znak"/>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S1i2pzZnak">
    <w:name w:val="S 1 i 2 pz Znak"/>
    <w:basedOn w:val="Normalny"/>
    <w:qFormat/>
    <w:rsid w:val="003A2CD6"/>
    <w:pPr>
      <w:tabs>
        <w:tab w:val="left" w:pos="284"/>
      </w:tabs>
      <w:suppressAutoHyphens/>
      <w:spacing w:after="80" w:line="300" w:lineRule="exact"/>
      <w:ind w:left="284" w:hanging="284"/>
      <w:jc w:val="both"/>
      <w:textAlignment w:val="baseline"/>
    </w:pPr>
    <w:rPr>
      <w:rFonts w:eastAsia="Times New Roman" w:cs="Times New Roman"/>
      <w:sz w:val="22"/>
      <w:szCs w:val="20"/>
      <w:lang w:eastAsia="pl-PL"/>
    </w:rPr>
  </w:style>
  <w:style w:type="paragraph" w:customStyle="1" w:styleId="msolistparagraph0">
    <w:name w:val="msolistparagraph"/>
    <w:basedOn w:val="Normalny"/>
    <w:qFormat/>
    <w:rsid w:val="003A2CD6"/>
    <w:pPr>
      <w:suppressAutoHyphens/>
      <w:overflowPunct w:val="0"/>
      <w:spacing w:beforeAutospacing="1" w:after="0" w:afterAutospacing="1" w:line="240" w:lineRule="auto"/>
    </w:pPr>
    <w:rPr>
      <w:rFonts w:ascii="Times New Roman" w:eastAsia="MS Mincho" w:hAnsi="Times New Roman" w:cs="Times New Roman"/>
      <w:szCs w:val="24"/>
      <w:lang w:eastAsia="ja-JP"/>
    </w:rPr>
  </w:style>
  <w:style w:type="paragraph" w:customStyle="1" w:styleId="w5pktart">
    <w:name w:val="w5_pkt_art"/>
    <w:basedOn w:val="Normalny"/>
    <w:qFormat/>
    <w:rsid w:val="003A2CD6"/>
    <w:pPr>
      <w:suppressAutoHyphens/>
      <w:overflowPunct w:val="0"/>
      <w:spacing w:before="60" w:after="60" w:line="240" w:lineRule="auto"/>
      <w:ind w:left="2269" w:hanging="284"/>
      <w:jc w:val="both"/>
    </w:pPr>
    <w:rPr>
      <w:rFonts w:ascii="Times New Roman" w:eastAsia="Times New Roman" w:hAnsi="Times New Roman" w:cs="Times New Roman"/>
      <w:szCs w:val="24"/>
      <w:lang w:eastAsia="pl-PL"/>
    </w:rPr>
  </w:style>
  <w:style w:type="paragraph" w:customStyle="1" w:styleId="BodyText211">
    <w:name w:val="Body Text 211"/>
    <w:basedOn w:val="Normalny"/>
    <w:qFormat/>
    <w:rsid w:val="003A2CD6"/>
    <w:pPr>
      <w:suppressAutoHyphens/>
      <w:spacing w:after="120" w:line="240" w:lineRule="auto"/>
      <w:ind w:left="283"/>
      <w:textAlignment w:val="baseline"/>
    </w:pPr>
    <w:rPr>
      <w:rFonts w:eastAsia="Calibri" w:cs="Times New Roman"/>
      <w:sz w:val="20"/>
      <w:szCs w:val="20"/>
      <w:lang w:eastAsia="pl-PL"/>
    </w:rPr>
  </w:style>
  <w:style w:type="paragraph" w:customStyle="1" w:styleId="wyliczanie1">
    <w:name w:val="wyliczanie"/>
    <w:basedOn w:val="Normalny"/>
    <w:qFormat/>
    <w:rsid w:val="003A2CD6"/>
    <w:pPr>
      <w:suppressAutoHyphens/>
      <w:overflowPunct w:val="0"/>
      <w:spacing w:after="60" w:line="360" w:lineRule="auto"/>
      <w:jc w:val="both"/>
    </w:pPr>
    <w:rPr>
      <w:rFonts w:ascii="Goudy Old Style CE ATT" w:eastAsia="Times New Roman" w:hAnsi="Goudy Old Style CE ATT" w:cs="Times New Roman"/>
      <w:szCs w:val="24"/>
      <w:lang w:eastAsia="ar-SA"/>
    </w:rPr>
  </w:style>
  <w:style w:type="paragraph" w:customStyle="1" w:styleId="tablica">
    <w:name w:val="tablica"/>
    <w:basedOn w:val="Normalny"/>
    <w:qFormat/>
    <w:rsid w:val="003A2CD6"/>
    <w:pPr>
      <w:suppressAutoHyphens/>
      <w:overflowPunct w:val="0"/>
      <w:spacing w:after="0" w:line="240" w:lineRule="auto"/>
    </w:pPr>
    <w:rPr>
      <w:rFonts w:eastAsia="Times New Roman" w:cs="Times New Roman"/>
      <w:szCs w:val="20"/>
      <w:lang w:eastAsia="pl-PL"/>
    </w:rPr>
  </w:style>
  <w:style w:type="paragraph" w:customStyle="1" w:styleId="Bullet-Level1">
    <w:name w:val="Bullet - Level 1"/>
    <w:basedOn w:val="Normalny"/>
    <w:next w:val="Normalny"/>
    <w:qFormat/>
    <w:rsid w:val="003A2CD6"/>
    <w:pPr>
      <w:tabs>
        <w:tab w:val="left" w:pos="360"/>
      </w:tabs>
      <w:suppressAutoHyphens/>
      <w:spacing w:after="120" w:line="240" w:lineRule="auto"/>
      <w:jc w:val="both"/>
      <w:textAlignment w:val="baseline"/>
    </w:pPr>
    <w:rPr>
      <w:rFonts w:eastAsia="Times New Roman" w:cs="Times New Roman"/>
      <w:sz w:val="22"/>
      <w:szCs w:val="20"/>
      <w:lang w:eastAsia="ja-JP"/>
    </w:rPr>
  </w:style>
  <w:style w:type="paragraph" w:customStyle="1" w:styleId="standtim">
    <w:name w:val="stand_tim"/>
    <w:basedOn w:val="Normalny"/>
    <w:qFormat/>
    <w:rsid w:val="003A2CD6"/>
    <w:pPr>
      <w:tabs>
        <w:tab w:val="left" w:pos="567"/>
      </w:tabs>
      <w:suppressAutoHyphens/>
      <w:overflowPunct w:val="0"/>
      <w:spacing w:after="60" w:line="240" w:lineRule="auto"/>
      <w:ind w:right="-50" w:firstLine="567"/>
      <w:jc w:val="both"/>
    </w:pPr>
    <w:rPr>
      <w:rFonts w:ascii="Times New Roman" w:eastAsia="Times New Roman" w:hAnsi="Times New Roman" w:cs="Times New Roman"/>
      <w:szCs w:val="24"/>
      <w:lang w:eastAsia="ar-SA"/>
    </w:rPr>
  </w:style>
  <w:style w:type="paragraph" w:customStyle="1" w:styleId="ftb">
    <w:name w:val="ft_b"/>
    <w:basedOn w:val="Normalny"/>
    <w:uiPriority w:val="99"/>
    <w:qFormat/>
    <w:rsid w:val="003A2CD6"/>
    <w:pPr>
      <w:suppressAutoHyphens/>
      <w:overflowPunct w:val="0"/>
      <w:spacing w:beforeAutospacing="1" w:after="0" w:afterAutospacing="1" w:line="240" w:lineRule="auto"/>
    </w:pPr>
    <w:rPr>
      <w:rFonts w:ascii="Times New Roman" w:eastAsia="MS Mincho" w:hAnsi="Times New Roman" w:cs="Times New Roman"/>
      <w:szCs w:val="24"/>
      <w:lang w:eastAsia="ja-JP"/>
    </w:rPr>
  </w:style>
  <w:style w:type="paragraph" w:customStyle="1" w:styleId="ftl">
    <w:name w:val="ft_l"/>
    <w:basedOn w:val="Normalny"/>
    <w:qFormat/>
    <w:rsid w:val="003A2CD6"/>
    <w:pPr>
      <w:suppressAutoHyphens/>
      <w:overflowPunct w:val="0"/>
      <w:spacing w:beforeAutospacing="1" w:after="0" w:afterAutospacing="1" w:line="240" w:lineRule="auto"/>
    </w:pPr>
    <w:rPr>
      <w:rFonts w:ascii="Times New Roman" w:eastAsia="MS Mincho" w:hAnsi="Times New Roman" w:cs="Times New Roman"/>
      <w:szCs w:val="24"/>
      <w:lang w:eastAsia="ja-JP"/>
    </w:rPr>
  </w:style>
  <w:style w:type="paragraph" w:customStyle="1" w:styleId="ftt">
    <w:name w:val="ft_t"/>
    <w:basedOn w:val="Normalny"/>
    <w:qFormat/>
    <w:rsid w:val="003A2CD6"/>
    <w:pPr>
      <w:suppressAutoHyphens/>
      <w:overflowPunct w:val="0"/>
      <w:spacing w:beforeAutospacing="1" w:after="0" w:afterAutospacing="1" w:line="240" w:lineRule="auto"/>
    </w:pPr>
    <w:rPr>
      <w:rFonts w:ascii="Times New Roman" w:eastAsia="MS Mincho" w:hAnsi="Times New Roman" w:cs="Times New Roman"/>
      <w:szCs w:val="24"/>
      <w:lang w:eastAsia="ja-JP"/>
    </w:rPr>
  </w:style>
  <w:style w:type="paragraph" w:customStyle="1" w:styleId="Poziom12pz">
    <w:name w:val="Poziom 1.2 pz"/>
    <w:link w:val="Poziom12pzZnak"/>
    <w:uiPriority w:val="99"/>
    <w:qFormat/>
    <w:rsid w:val="003A2CD6"/>
    <w:pPr>
      <w:suppressAutoHyphens/>
      <w:spacing w:after="80" w:line="300" w:lineRule="exact"/>
      <w:ind w:firstLine="357"/>
      <w:jc w:val="both"/>
      <w:textAlignment w:val="baseline"/>
    </w:pPr>
    <w:rPr>
      <w:rFonts w:ascii="Arial" w:hAnsi="Arial"/>
    </w:rPr>
  </w:style>
  <w:style w:type="paragraph" w:customStyle="1" w:styleId="S1">
    <w:name w:val="S1"/>
    <w:basedOn w:val="Poziom1"/>
    <w:qFormat/>
    <w:rsid w:val="003A2CD6"/>
    <w:rPr>
      <w:rFonts w:cs="Arial"/>
    </w:rPr>
  </w:style>
  <w:style w:type="paragraph" w:customStyle="1" w:styleId="ti-grseq-1">
    <w:name w:val="ti-grseq-1"/>
    <w:basedOn w:val="Normalny"/>
    <w:qFormat/>
    <w:rsid w:val="003A2CD6"/>
    <w:pPr>
      <w:suppressAutoHyphens/>
      <w:overflowPunct w:val="0"/>
      <w:spacing w:beforeAutospacing="1" w:after="0" w:afterAutospacing="1" w:line="240" w:lineRule="auto"/>
    </w:pPr>
    <w:rPr>
      <w:rFonts w:ascii="Times New Roman" w:eastAsia="Times New Roman" w:hAnsi="Times New Roman" w:cs="Times New Roman"/>
      <w:szCs w:val="24"/>
      <w:lang w:eastAsia="pl-PL"/>
    </w:rPr>
  </w:style>
  <w:style w:type="paragraph" w:customStyle="1" w:styleId="NawekI">
    <w:name w:val="Nałówek I"/>
    <w:basedOn w:val="Nagwek1"/>
    <w:next w:val="Nagwek1"/>
    <w:qFormat/>
    <w:rsid w:val="003A2CD6"/>
    <w:pPr>
      <w:keepLines w:val="0"/>
      <w:pageBreakBefore/>
      <w:tabs>
        <w:tab w:val="left" w:pos="567"/>
      </w:tabs>
      <w:suppressAutoHyphens/>
      <w:spacing w:before="0" w:after="520" w:line="240" w:lineRule="auto"/>
      <w:ind w:left="567" w:hanging="578"/>
      <w:textAlignment w:val="baseline"/>
    </w:pPr>
    <w:rPr>
      <w:rFonts w:eastAsia="Calibri" w:cs="Times New Roman"/>
      <w:b/>
      <w:kern w:val="2"/>
      <w:sz w:val="28"/>
      <w:szCs w:val="20"/>
      <w:lang w:val="x-none" w:eastAsia="x-none"/>
    </w:rPr>
  </w:style>
  <w:style w:type="paragraph" w:customStyle="1" w:styleId="Legenda2">
    <w:name w:val="Legenda2"/>
    <w:basedOn w:val="Normalny"/>
    <w:next w:val="tabela2"/>
    <w:qFormat/>
    <w:rsid w:val="003A2CD6"/>
    <w:pPr>
      <w:keepNext/>
      <w:tabs>
        <w:tab w:val="left" w:pos="1134"/>
      </w:tabs>
      <w:suppressAutoHyphens/>
      <w:spacing w:before="120" w:after="40" w:line="300" w:lineRule="exact"/>
      <w:ind w:left="1134" w:hanging="1134"/>
      <w:textAlignment w:val="baseline"/>
    </w:pPr>
    <w:rPr>
      <w:rFonts w:eastAsia="Times New Roman" w:cs="Arial"/>
      <w:sz w:val="20"/>
      <w:szCs w:val="20"/>
      <w:lang w:val="x-none" w:eastAsia="ar-SA"/>
    </w:rPr>
  </w:style>
  <w:style w:type="paragraph" w:customStyle="1" w:styleId="tabela20">
    <w:name w:val="tabela2"/>
    <w:basedOn w:val="Normalny"/>
    <w:uiPriority w:val="99"/>
    <w:qFormat/>
    <w:rsid w:val="003A2CD6"/>
    <w:pPr>
      <w:keepNext/>
      <w:suppressAutoHyphens/>
      <w:spacing w:before="40" w:after="40" w:line="240" w:lineRule="auto"/>
      <w:textAlignment w:val="baseline"/>
    </w:pPr>
    <w:rPr>
      <w:rFonts w:eastAsia="Times New Roman" w:cs="Arial"/>
      <w:sz w:val="18"/>
      <w:szCs w:val="18"/>
      <w:lang w:eastAsia="ar-SA"/>
    </w:rPr>
  </w:style>
  <w:style w:type="paragraph" w:customStyle="1" w:styleId="Akapitzlist2">
    <w:name w:val="Akapit z listą2"/>
    <w:basedOn w:val="Normalny"/>
    <w:qFormat/>
    <w:rsid w:val="003A2CD6"/>
    <w:pPr>
      <w:suppressAutoHyphens/>
      <w:overflowPunct w:val="0"/>
      <w:spacing w:after="0" w:line="240" w:lineRule="auto"/>
      <w:ind w:left="708"/>
    </w:pPr>
    <w:rPr>
      <w:rFonts w:ascii="Times New Roman" w:eastAsia="Times New Roman" w:hAnsi="Times New Roman" w:cs="Times New Roman"/>
      <w:szCs w:val="24"/>
      <w:lang w:eastAsia="ar-SA"/>
    </w:rPr>
  </w:style>
  <w:style w:type="paragraph" w:customStyle="1" w:styleId="Bezodstpw2">
    <w:name w:val="Bez odstępów2"/>
    <w:qFormat/>
    <w:rsid w:val="003A2CD6"/>
    <w:pPr>
      <w:suppressAutoHyphens/>
      <w:spacing w:after="0" w:line="240" w:lineRule="auto"/>
    </w:pPr>
    <w:rPr>
      <w:rFonts w:ascii="Calibri" w:eastAsia="Times New Roman" w:hAnsi="Calibri" w:cs="Times New Roman"/>
      <w:sz w:val="18"/>
    </w:rPr>
  </w:style>
  <w:style w:type="table" w:customStyle="1" w:styleId="TableGrid1">
    <w:name w:val="TableGrid1"/>
    <w:rsid w:val="003A2CD6"/>
    <w:pPr>
      <w:suppressAutoHyphens/>
      <w:spacing w:after="0" w:line="240" w:lineRule="auto"/>
    </w:pPr>
    <w:rPr>
      <w:rFonts w:ascii="Calibri" w:eastAsia="Calibri" w:hAnsi="Calibri" w:cs="Calibri"/>
      <w:sz w:val="20"/>
      <w:lang w:eastAsia="pl-PL"/>
    </w:rPr>
    <w:tblPr>
      <w:tblCellMar>
        <w:top w:w="0" w:type="dxa"/>
        <w:left w:w="0" w:type="dxa"/>
        <w:bottom w:w="0" w:type="dxa"/>
        <w:right w:w="0" w:type="dxa"/>
      </w:tblCellMar>
    </w:tblPr>
  </w:style>
  <w:style w:type="numbering" w:customStyle="1" w:styleId="Bezlisty112">
    <w:name w:val="Bez listy112"/>
    <w:next w:val="Bezlisty"/>
    <w:uiPriority w:val="99"/>
    <w:semiHidden/>
    <w:unhideWhenUsed/>
    <w:rsid w:val="003A2CD6"/>
  </w:style>
  <w:style w:type="numbering" w:customStyle="1" w:styleId="Bezlisty1112">
    <w:name w:val="Bez listy1112"/>
    <w:next w:val="Bezlisty"/>
    <w:uiPriority w:val="99"/>
    <w:semiHidden/>
    <w:unhideWhenUsed/>
    <w:rsid w:val="003A2CD6"/>
  </w:style>
  <w:style w:type="paragraph" w:customStyle="1" w:styleId="oj-ti-grseq-1">
    <w:name w:val="oj-ti-grseq-1"/>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oj-bold">
    <w:name w:val="oj-bold"/>
    <w:basedOn w:val="Domylnaczcionkaakapitu"/>
    <w:rsid w:val="003A2CD6"/>
  </w:style>
  <w:style w:type="character" w:customStyle="1" w:styleId="oj-italic">
    <w:name w:val="oj-italic"/>
    <w:basedOn w:val="Domylnaczcionkaakapitu"/>
    <w:rsid w:val="003A2CD6"/>
  </w:style>
  <w:style w:type="paragraph" w:customStyle="1" w:styleId="oj-normal">
    <w:name w:val="oj-normal"/>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oj-super">
    <w:name w:val="oj-super"/>
    <w:basedOn w:val="Domylnaczcionkaakapitu"/>
    <w:rsid w:val="003A2CD6"/>
  </w:style>
  <w:style w:type="character" w:customStyle="1" w:styleId="oj-sub">
    <w:name w:val="oj-sub"/>
    <w:basedOn w:val="Domylnaczcionkaakapitu"/>
    <w:rsid w:val="003A2CD6"/>
  </w:style>
  <w:style w:type="paragraph" w:customStyle="1" w:styleId="oj-tbl-hdr">
    <w:name w:val="oj-tbl-hdr"/>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oj-tbl-txt">
    <w:name w:val="oj-tbl-txt"/>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oj-ti-tbl">
    <w:name w:val="oj-ti-tbl"/>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oj-tbl-num">
    <w:name w:val="oj-tbl-num"/>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oj-note">
    <w:name w:val="oj-note"/>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P1Wcity">
    <w:name w:val="P1_Wcięty"/>
    <w:basedOn w:val="Normalny"/>
    <w:link w:val="P1WcityZnak"/>
    <w:rsid w:val="003A2CD6"/>
    <w:pPr>
      <w:overflowPunct w:val="0"/>
      <w:autoSpaceDE w:val="0"/>
      <w:autoSpaceDN w:val="0"/>
      <w:adjustRightInd w:val="0"/>
      <w:spacing w:after="40" w:line="300" w:lineRule="exact"/>
      <w:ind w:firstLine="284"/>
      <w:jc w:val="both"/>
      <w:textAlignment w:val="baseline"/>
    </w:pPr>
    <w:rPr>
      <w:rFonts w:eastAsia="Times New Roman" w:cs="Times New Roman"/>
      <w:sz w:val="22"/>
      <w:szCs w:val="20"/>
      <w:lang w:eastAsia="pl-PL"/>
    </w:rPr>
  </w:style>
  <w:style w:type="character" w:customStyle="1" w:styleId="P1WcityZnak">
    <w:name w:val="P1_Wcięty Znak"/>
    <w:link w:val="P1Wcity"/>
    <w:rsid w:val="003A2CD6"/>
    <w:rPr>
      <w:rFonts w:ascii="Arial" w:eastAsia="Times New Roman" w:hAnsi="Arial" w:cs="Times New Roman"/>
      <w:szCs w:val="20"/>
      <w:lang w:eastAsia="pl-PL"/>
    </w:rPr>
  </w:style>
  <w:style w:type="numbering" w:customStyle="1" w:styleId="Bezlisty6">
    <w:name w:val="Bez listy6"/>
    <w:next w:val="Bezlisty"/>
    <w:uiPriority w:val="99"/>
    <w:semiHidden/>
    <w:unhideWhenUsed/>
    <w:rsid w:val="00F1362D"/>
  </w:style>
  <w:style w:type="numbering" w:customStyle="1" w:styleId="Bezlisty14">
    <w:name w:val="Bez listy14"/>
    <w:next w:val="Bezlisty"/>
    <w:semiHidden/>
    <w:rsid w:val="00F1362D"/>
  </w:style>
  <w:style w:type="numbering" w:customStyle="1" w:styleId="Bezlisty113">
    <w:name w:val="Bez listy113"/>
    <w:next w:val="Bezlisty"/>
    <w:uiPriority w:val="99"/>
    <w:semiHidden/>
    <w:rsid w:val="00F1362D"/>
  </w:style>
  <w:style w:type="table" w:customStyle="1" w:styleId="Tabela-Siatka15">
    <w:name w:val="Tabela - Siatka15"/>
    <w:basedOn w:val="Standardowy"/>
    <w:next w:val="Tabela-Siatka"/>
    <w:uiPriority w:val="39"/>
    <w:rsid w:val="00F1362D"/>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3">
    <w:name w:val="Tabela - Profesjonalny3"/>
    <w:basedOn w:val="Standardowy"/>
    <w:next w:val="Tabela-Profesjonalny"/>
    <w:rsid w:val="00F1362D"/>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3">
    <w:name w:val="Bieżąca lista13"/>
    <w:rsid w:val="00F1362D"/>
    <w:pPr>
      <w:numPr>
        <w:numId w:val="74"/>
      </w:numPr>
    </w:pPr>
  </w:style>
  <w:style w:type="numbering" w:customStyle="1" w:styleId="Bezlisty23">
    <w:name w:val="Bez listy23"/>
    <w:next w:val="Bezlisty"/>
    <w:uiPriority w:val="99"/>
    <w:semiHidden/>
    <w:unhideWhenUsed/>
    <w:rsid w:val="00F1362D"/>
  </w:style>
  <w:style w:type="table" w:customStyle="1" w:styleId="Tabela-Siatka16">
    <w:name w:val="Tabela - Siatka16"/>
    <w:basedOn w:val="Standardowy"/>
    <w:next w:val="Tabela-Siatka"/>
    <w:uiPriority w:val="59"/>
    <w:rsid w:val="00F1362D"/>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3">
    <w:name w:val="Bez listy33"/>
    <w:next w:val="Bezlisty"/>
    <w:uiPriority w:val="99"/>
    <w:semiHidden/>
    <w:unhideWhenUsed/>
    <w:rsid w:val="00F1362D"/>
  </w:style>
  <w:style w:type="paragraph" w:customStyle="1" w:styleId="Tekstpodstawowynumerowanie2">
    <w:name w:val="Tekst podstawowy.numerowanie2"/>
    <w:basedOn w:val="Normalny"/>
    <w:rsid w:val="00F1362D"/>
    <w:pPr>
      <w:spacing w:after="0" w:line="240" w:lineRule="auto"/>
      <w:jc w:val="both"/>
    </w:pPr>
    <w:rPr>
      <w:rFonts w:ascii="Times New Roman" w:eastAsia="Times New Roman" w:hAnsi="Times New Roman" w:cs="Times New Roman"/>
      <w:sz w:val="22"/>
      <w:lang w:eastAsia="pl-PL"/>
    </w:rPr>
  </w:style>
  <w:style w:type="paragraph" w:customStyle="1" w:styleId="TekstpodstawowynumerowanieB">
    <w:name w:val="Tekst podstawowy.numerowanieB"/>
    <w:basedOn w:val="Normalny"/>
    <w:rsid w:val="00F1362D"/>
    <w:pPr>
      <w:spacing w:after="0" w:line="240" w:lineRule="auto"/>
      <w:jc w:val="both"/>
    </w:pPr>
    <w:rPr>
      <w:rFonts w:ascii="Times New Roman" w:eastAsia="Times New Roman" w:hAnsi="Times New Roman" w:cs="Times New Roman"/>
      <w:sz w:val="20"/>
      <w:szCs w:val="20"/>
      <w:lang w:eastAsia="pl-PL"/>
    </w:rPr>
  </w:style>
  <w:style w:type="paragraph" w:customStyle="1" w:styleId="kropa1">
    <w:name w:val="kropa_1"/>
    <w:basedOn w:val="Normalny"/>
    <w:rsid w:val="00F1362D"/>
    <w:pPr>
      <w:numPr>
        <w:numId w:val="9"/>
      </w:numPr>
      <w:spacing w:after="0" w:line="240" w:lineRule="auto"/>
      <w:ind w:left="714" w:hanging="357"/>
      <w:jc w:val="both"/>
    </w:pPr>
    <w:rPr>
      <w:rFonts w:ascii="Times New Roman" w:eastAsia="Times New Roman" w:hAnsi="Times New Roman" w:cs="Times New Roman"/>
      <w:sz w:val="22"/>
      <w:lang w:eastAsia="pl-PL"/>
    </w:rPr>
  </w:style>
  <w:style w:type="paragraph" w:customStyle="1" w:styleId="TekstpodstawowynumerowanieB3">
    <w:name w:val="Tekst podstawowy.numerowanieB3"/>
    <w:basedOn w:val="Normalny"/>
    <w:rsid w:val="00F1362D"/>
    <w:pPr>
      <w:spacing w:after="0" w:line="240" w:lineRule="auto"/>
      <w:jc w:val="both"/>
    </w:pPr>
    <w:rPr>
      <w:rFonts w:ascii="Times New Roman" w:eastAsia="Times New Roman" w:hAnsi="Times New Roman" w:cs="Times New Roman"/>
      <w:sz w:val="20"/>
      <w:szCs w:val="20"/>
      <w:lang w:eastAsia="pl-PL"/>
    </w:rPr>
  </w:style>
  <w:style w:type="paragraph" w:customStyle="1" w:styleId="maalistaalfab">
    <w:name w:val="mała lista alfab"/>
    <w:basedOn w:val="Normalny"/>
    <w:rsid w:val="00F1362D"/>
    <w:pPr>
      <w:keepNext/>
      <w:numPr>
        <w:numId w:val="10"/>
      </w:numPr>
      <w:spacing w:before="60" w:after="60" w:line="240" w:lineRule="auto"/>
      <w:jc w:val="both"/>
    </w:pPr>
    <w:rPr>
      <w:rFonts w:ascii="Times New Roman" w:eastAsia="Times New Roman" w:hAnsi="Times New Roman" w:cs="Times New Roman"/>
      <w:color w:val="000000"/>
      <w:sz w:val="22"/>
      <w:lang w:eastAsia="pl-PL"/>
    </w:rPr>
  </w:style>
  <w:style w:type="paragraph" w:customStyle="1" w:styleId="Heading3A">
    <w:name w:val="Heading 3A"/>
    <w:basedOn w:val="Nagwek3"/>
    <w:rsid w:val="00F1362D"/>
    <w:pPr>
      <w:keepLines w:val="0"/>
      <w:numPr>
        <w:ilvl w:val="2"/>
        <w:numId w:val="10"/>
      </w:numPr>
      <w:tabs>
        <w:tab w:val="left" w:pos="709"/>
        <w:tab w:val="left" w:pos="1418"/>
      </w:tabs>
      <w:spacing w:before="240" w:after="60" w:line="264" w:lineRule="auto"/>
      <w:ind w:left="0" w:firstLine="0"/>
    </w:pPr>
    <w:rPr>
      <w:rFonts w:eastAsia="Times New Roman" w:cs="Arial"/>
      <w:b/>
      <w:bCs/>
      <w:i/>
      <w:iCs/>
      <w:sz w:val="32"/>
      <w:szCs w:val="32"/>
      <w:lang w:val="en-GB" w:eastAsia="pl-PL"/>
    </w:rPr>
  </w:style>
  <w:style w:type="paragraph" w:customStyle="1" w:styleId="numerek">
    <w:name w:val="numerek"/>
    <w:basedOn w:val="Normalny"/>
    <w:rsid w:val="00F1362D"/>
    <w:pPr>
      <w:keepNext/>
      <w:numPr>
        <w:ilvl w:val="3"/>
        <w:numId w:val="10"/>
      </w:numPr>
      <w:spacing w:after="0" w:line="240" w:lineRule="auto"/>
    </w:pPr>
    <w:rPr>
      <w:rFonts w:ascii="Times New Roman" w:eastAsia="Times New Roman" w:hAnsi="Times New Roman" w:cs="Times New Roman"/>
      <w:sz w:val="22"/>
      <w:szCs w:val="20"/>
      <w:lang w:eastAsia="pl-PL"/>
    </w:rPr>
  </w:style>
  <w:style w:type="paragraph" w:customStyle="1" w:styleId="TekstpodstawowynumerowanieB2">
    <w:name w:val="Tekst podstawowy.numerowanieB2"/>
    <w:basedOn w:val="Normalny"/>
    <w:rsid w:val="00F1362D"/>
    <w:pPr>
      <w:spacing w:after="0" w:line="240" w:lineRule="auto"/>
      <w:jc w:val="both"/>
    </w:pPr>
    <w:rPr>
      <w:rFonts w:ascii="Times New Roman" w:eastAsia="Times New Roman" w:hAnsi="Times New Roman" w:cs="Times New Roman"/>
      <w:sz w:val="20"/>
      <w:szCs w:val="20"/>
      <w:lang w:eastAsia="pl-PL"/>
    </w:rPr>
  </w:style>
  <w:style w:type="paragraph" w:customStyle="1" w:styleId="pauzatab">
    <w:name w:val="pauzatab"/>
    <w:basedOn w:val="tab"/>
    <w:rsid w:val="00F1362D"/>
    <w:pPr>
      <w:numPr>
        <w:numId w:val="11"/>
      </w:numPr>
      <w:tabs>
        <w:tab w:val="left" w:pos="567"/>
      </w:tabs>
      <w:spacing w:before="20" w:after="20"/>
      <w:jc w:val="both"/>
    </w:pPr>
    <w:rPr>
      <w:szCs w:val="18"/>
    </w:rPr>
  </w:style>
  <w:style w:type="paragraph" w:customStyle="1" w:styleId="kropka">
    <w:name w:val="kropka"/>
    <w:basedOn w:val="Normalny"/>
    <w:rsid w:val="00F1362D"/>
    <w:pPr>
      <w:tabs>
        <w:tab w:val="num" w:pos="314"/>
        <w:tab w:val="num" w:pos="851"/>
        <w:tab w:val="num" w:pos="1296"/>
      </w:tabs>
      <w:spacing w:before="60" w:after="60" w:line="240" w:lineRule="auto"/>
      <w:ind w:left="851" w:firstLine="142"/>
      <w:jc w:val="both"/>
    </w:pPr>
    <w:rPr>
      <w:rFonts w:ascii="Times New Roman" w:eastAsia="Times New Roman" w:hAnsi="Times New Roman" w:cs="Times New Roman"/>
      <w:sz w:val="22"/>
      <w:lang w:eastAsia="pl-PL"/>
    </w:rPr>
  </w:style>
  <w:style w:type="paragraph" w:customStyle="1" w:styleId="TekstpodstawowynumerowanieB1">
    <w:name w:val="Tekst podstawowy.numerowanieB1"/>
    <w:basedOn w:val="Normalny"/>
    <w:rsid w:val="00F1362D"/>
    <w:pPr>
      <w:spacing w:after="0" w:line="240" w:lineRule="auto"/>
      <w:jc w:val="both"/>
    </w:pPr>
    <w:rPr>
      <w:rFonts w:ascii="Times New Roman" w:eastAsia="Times New Roman" w:hAnsi="Times New Roman" w:cs="Times New Roman"/>
      <w:sz w:val="20"/>
      <w:szCs w:val="20"/>
      <w:lang w:eastAsia="pl-PL"/>
    </w:rPr>
  </w:style>
  <w:style w:type="paragraph" w:customStyle="1" w:styleId="pauza2time">
    <w:name w:val="pauza2_time"/>
    <w:basedOn w:val="Normalny"/>
    <w:rsid w:val="00F1362D"/>
    <w:pPr>
      <w:numPr>
        <w:numId w:val="12"/>
      </w:numPr>
      <w:spacing w:after="60" w:line="280" w:lineRule="atLeast"/>
      <w:ind w:left="1083" w:hanging="482"/>
      <w:jc w:val="both"/>
    </w:pPr>
    <w:rPr>
      <w:rFonts w:ascii="Times New Roman" w:eastAsia="Times New Roman" w:hAnsi="Times New Roman" w:cs="Times New Roman"/>
      <w:snapToGrid w:val="0"/>
      <w:szCs w:val="20"/>
      <w:lang w:eastAsia="pl-PL"/>
    </w:rPr>
  </w:style>
  <w:style w:type="paragraph" w:customStyle="1" w:styleId="punkt">
    <w:name w:val="punkt"/>
    <w:basedOn w:val="Normalny"/>
    <w:rsid w:val="00F1362D"/>
    <w:pPr>
      <w:numPr>
        <w:numId w:val="13"/>
      </w:numPr>
      <w:tabs>
        <w:tab w:val="clear" w:pos="360"/>
        <w:tab w:val="num" w:pos="284"/>
      </w:tabs>
      <w:spacing w:after="60" w:line="240" w:lineRule="auto"/>
      <w:jc w:val="both"/>
    </w:pPr>
    <w:rPr>
      <w:rFonts w:ascii="Times New Roman" w:eastAsia="Times New Roman" w:hAnsi="Times New Roman" w:cs="Times New Roman"/>
      <w:sz w:val="22"/>
      <w:szCs w:val="20"/>
      <w:lang w:eastAsia="pl-PL"/>
    </w:rPr>
  </w:style>
  <w:style w:type="paragraph" w:customStyle="1" w:styleId="Nagwek30">
    <w:name w:val="Nagłówek 3/"/>
    <w:basedOn w:val="Normalny"/>
    <w:rsid w:val="00F1362D"/>
    <w:pPr>
      <w:spacing w:after="0" w:line="240" w:lineRule="auto"/>
      <w:ind w:left="705" w:hanging="705"/>
    </w:pPr>
    <w:rPr>
      <w:rFonts w:ascii="Times New Roman" w:eastAsia="Times New Roman" w:hAnsi="Times New Roman" w:cs="Times New Roman"/>
      <w:b/>
      <w:sz w:val="20"/>
      <w:szCs w:val="20"/>
      <w:lang w:eastAsia="pl-PL"/>
    </w:rPr>
  </w:style>
  <w:style w:type="paragraph" w:customStyle="1" w:styleId="western">
    <w:name w:val="western"/>
    <w:basedOn w:val="Normalny"/>
    <w:uiPriority w:val="99"/>
    <w:rsid w:val="00F1362D"/>
    <w:pPr>
      <w:suppressAutoHyphens/>
      <w:spacing w:after="0" w:line="360" w:lineRule="auto"/>
      <w:jc w:val="both"/>
    </w:pPr>
    <w:rPr>
      <w:rFonts w:eastAsia="Times New Roman" w:cs="Arial"/>
      <w:szCs w:val="24"/>
      <w:lang w:val="en-US" w:eastAsia="ar-SA"/>
    </w:rPr>
  </w:style>
  <w:style w:type="table" w:customStyle="1" w:styleId="Tabela-Siatka21">
    <w:name w:val="Tabela - Siatka21"/>
    <w:basedOn w:val="Standardowy"/>
    <w:next w:val="Tabela-Siatka"/>
    <w:uiPriority w:val="59"/>
    <w:rsid w:val="00F1362D"/>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owanie">
    <w:name w:val="Punktowanie"/>
    <w:basedOn w:val="Normalny"/>
    <w:rsid w:val="00F1362D"/>
    <w:pPr>
      <w:keepNext/>
      <w:numPr>
        <w:numId w:val="14"/>
      </w:numPr>
      <w:tabs>
        <w:tab w:val="clear" w:pos="700"/>
        <w:tab w:val="num" w:pos="709"/>
      </w:tabs>
      <w:spacing w:before="120" w:after="60" w:line="240" w:lineRule="auto"/>
      <w:ind w:left="709" w:hanging="709"/>
      <w:jc w:val="both"/>
    </w:pPr>
    <w:rPr>
      <w:rFonts w:ascii="Times New Roman" w:eastAsia="Times New Roman" w:hAnsi="Times New Roman" w:cs="Times New Roman"/>
      <w:b/>
      <w:bCs/>
      <w:i/>
      <w:iCs/>
      <w:sz w:val="22"/>
      <w:lang w:eastAsia="pl-PL"/>
    </w:rPr>
  </w:style>
  <w:style w:type="character" w:customStyle="1" w:styleId="h1">
    <w:name w:val="h1"/>
    <w:basedOn w:val="Domylnaczcionkaakapitu"/>
    <w:rsid w:val="00F1362D"/>
  </w:style>
  <w:style w:type="character" w:customStyle="1" w:styleId="FontStyle150">
    <w:name w:val="Font Style150"/>
    <w:rsid w:val="00F1362D"/>
    <w:rPr>
      <w:rFonts w:ascii="Arial" w:hAnsi="Arial" w:cs="Arial" w:hint="default"/>
      <w:sz w:val="22"/>
      <w:szCs w:val="22"/>
    </w:rPr>
  </w:style>
  <w:style w:type="paragraph" w:customStyle="1" w:styleId="punktow">
    <w:name w:val="punktow"/>
    <w:basedOn w:val="Normalny"/>
    <w:rsid w:val="00F1362D"/>
    <w:pPr>
      <w:keepNext/>
      <w:tabs>
        <w:tab w:val="num" w:pos="1077"/>
        <w:tab w:val="num" w:pos="1418"/>
      </w:tabs>
      <w:spacing w:after="0" w:line="240" w:lineRule="auto"/>
      <w:ind w:left="1418" w:hanging="425"/>
      <w:jc w:val="both"/>
    </w:pPr>
    <w:rPr>
      <w:rFonts w:ascii="Times New Roman" w:eastAsia="Times New Roman" w:hAnsi="Times New Roman" w:cs="Times New Roman"/>
      <w:color w:val="000000"/>
      <w:sz w:val="22"/>
      <w:lang w:eastAsia="pl-PL"/>
    </w:rPr>
  </w:style>
  <w:style w:type="character" w:customStyle="1" w:styleId="Nagwek1Znak1">
    <w:name w:val="Nagłówek 1 Znak1"/>
    <w:aliases w:val="title1 Znak,title1norm Znak,Paspastyle 1 Znak,Titolo 1 Carattere Znak,T1 Znak,Hoofdstuk Znak,tabulator Znak,Heading 1 Char Znak Znak,Nagłówek 11 Znak Znak,Nagłówek 11 Znak1,Heading 1 Char Znak1"/>
    <w:uiPriority w:val="99"/>
    <w:rsid w:val="00F1362D"/>
    <w:rPr>
      <w:rFonts w:ascii="Arial" w:eastAsia="Times New Roman" w:hAnsi="Arial"/>
      <w:b/>
      <w:bCs/>
      <w:caps/>
      <w:kern w:val="32"/>
      <w:sz w:val="32"/>
      <w:szCs w:val="24"/>
      <w:lang w:val="x-none"/>
    </w:rPr>
  </w:style>
  <w:style w:type="numbering" w:customStyle="1" w:styleId="Bezlisty1113">
    <w:name w:val="Bez listy1113"/>
    <w:next w:val="Bezlisty"/>
    <w:uiPriority w:val="99"/>
    <w:semiHidden/>
    <w:unhideWhenUsed/>
    <w:rsid w:val="00F1362D"/>
  </w:style>
  <w:style w:type="character" w:customStyle="1" w:styleId="oznaczenie">
    <w:name w:val="oznaczenie"/>
    <w:basedOn w:val="Domylnaczcionkaakapitu"/>
    <w:rsid w:val="00F1362D"/>
  </w:style>
  <w:style w:type="paragraph" w:customStyle="1" w:styleId="Artyku">
    <w:name w:val="Artykuł"/>
    <w:basedOn w:val="Normalny"/>
    <w:rsid w:val="00F1362D"/>
    <w:pPr>
      <w:tabs>
        <w:tab w:val="left" w:pos="357"/>
        <w:tab w:val="left" w:pos="533"/>
      </w:tabs>
      <w:spacing w:before="40" w:after="40" w:line="264" w:lineRule="auto"/>
      <w:jc w:val="center"/>
    </w:pPr>
    <w:rPr>
      <w:rFonts w:eastAsia="Times New Roman" w:cs="Arial"/>
      <w:b/>
      <w:bCs/>
      <w:color w:val="000000"/>
      <w:sz w:val="18"/>
      <w:szCs w:val="18"/>
      <w:lang w:eastAsia="pl-PL"/>
    </w:rPr>
  </w:style>
  <w:style w:type="paragraph" w:customStyle="1" w:styleId="App3">
    <w:name w:val="App 3"/>
    <w:basedOn w:val="Normalny"/>
    <w:rsid w:val="00F1362D"/>
    <w:pPr>
      <w:spacing w:after="0" w:line="240" w:lineRule="auto"/>
      <w:ind w:right="-664"/>
    </w:pPr>
    <w:rPr>
      <w:rFonts w:ascii="Verdana" w:eastAsia="Times New Roman" w:hAnsi="Verdana" w:cs="Verdana"/>
      <w:b/>
      <w:bCs/>
      <w:sz w:val="20"/>
      <w:szCs w:val="20"/>
      <w:lang w:val="en-GB"/>
    </w:rPr>
  </w:style>
  <w:style w:type="paragraph" w:customStyle="1" w:styleId="NormalnyArial">
    <w:name w:val="Normalny + Arial"/>
    <w:aliases w:val="10 pt"/>
    <w:basedOn w:val="Normalny"/>
    <w:rsid w:val="00F1362D"/>
    <w:pPr>
      <w:spacing w:after="0" w:line="240" w:lineRule="auto"/>
    </w:pPr>
    <w:rPr>
      <w:rFonts w:eastAsia="Times New Roman" w:cs="Arial"/>
      <w:sz w:val="20"/>
      <w:szCs w:val="20"/>
      <w:lang w:eastAsia="pl-PL"/>
    </w:rPr>
  </w:style>
  <w:style w:type="paragraph" w:customStyle="1" w:styleId="rednionabadanymterenie">
    <w:name w:val="rednio na badanym terenie"/>
    <w:basedOn w:val="Normalny"/>
    <w:rsid w:val="00F1362D"/>
    <w:pPr>
      <w:widowControl w:val="0"/>
      <w:spacing w:after="0" w:line="240" w:lineRule="auto"/>
      <w:jc w:val="both"/>
    </w:pPr>
    <w:rPr>
      <w:rFonts w:ascii="Times New Roman" w:eastAsia="Times New Roman" w:hAnsi="Times New Roman" w:cs="Times New Roman"/>
      <w:szCs w:val="24"/>
      <w:lang w:eastAsia="pl-PL"/>
    </w:rPr>
  </w:style>
  <w:style w:type="paragraph" w:customStyle="1" w:styleId="TekstpodstawowyPoradnik">
    <w:name w:val="Tekst podstawowy Poradnik"/>
    <w:basedOn w:val="Tekstpodstawowy"/>
    <w:rsid w:val="00F1362D"/>
    <w:pPr>
      <w:widowControl w:val="0"/>
      <w:spacing w:before="30" w:after="30" w:line="260" w:lineRule="exact"/>
      <w:ind w:left="14" w:firstLine="284"/>
    </w:pPr>
    <w:rPr>
      <w:rFonts w:ascii="Franklin Gothic Book" w:hAnsi="Franklin Gothic Book" w:cs="Franklin Gothic Book"/>
      <w:color w:val="FF0000"/>
      <w:sz w:val="20"/>
      <w:lang w:val="x-none"/>
    </w:rPr>
  </w:style>
  <w:style w:type="paragraph" w:customStyle="1" w:styleId="celp">
    <w:name w:val="cel_p"/>
    <w:basedOn w:val="Normalny"/>
    <w:rsid w:val="00F1362D"/>
    <w:pPr>
      <w:spacing w:before="100" w:beforeAutospacing="1" w:after="100" w:afterAutospacing="1" w:line="240" w:lineRule="auto"/>
    </w:pPr>
    <w:rPr>
      <w:rFonts w:ascii="Times New Roman" w:eastAsia="Times New Roman" w:hAnsi="Times New Roman" w:cs="Times New Roman"/>
      <w:szCs w:val="24"/>
      <w:lang w:eastAsia="pl-PL"/>
    </w:rPr>
  </w:style>
  <w:style w:type="table" w:customStyle="1" w:styleId="Tabela-Siatka113">
    <w:name w:val="Tabela - Siatka113"/>
    <w:basedOn w:val="Standardowy"/>
    <w:next w:val="Tabela-Siatka"/>
    <w:rsid w:val="00F1362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node2">
    <w:name w:val="textnode2"/>
    <w:rsid w:val="00F1362D"/>
  </w:style>
  <w:style w:type="character" w:customStyle="1" w:styleId="oznaczenie1">
    <w:name w:val="oznaczenie1"/>
    <w:rsid w:val="00F1362D"/>
    <w:rPr>
      <w:b/>
      <w:bCs/>
    </w:rPr>
  </w:style>
  <w:style w:type="paragraph" w:customStyle="1" w:styleId="j1konspnum">
    <w:name w:val="j1_konsp_num"/>
    <w:basedOn w:val="Akapitzlist"/>
    <w:qFormat/>
    <w:rsid w:val="00F1362D"/>
    <w:pPr>
      <w:numPr>
        <w:numId w:val="15"/>
      </w:numPr>
      <w:tabs>
        <w:tab w:val="num" w:pos="720"/>
      </w:tabs>
      <w:spacing w:before="40" w:after="40" w:line="264" w:lineRule="auto"/>
      <w:ind w:left="720"/>
      <w:jc w:val="both"/>
    </w:pPr>
    <w:rPr>
      <w:rFonts w:ascii="Trebuchet MS" w:hAnsi="Trebuchet MS" w:cs="Arial"/>
      <w:kern w:val="16"/>
      <w:sz w:val="20"/>
      <w:szCs w:val="20"/>
      <w:lang w:val="x-none" w:eastAsia="en-US" w:bidi="en-US"/>
    </w:rPr>
  </w:style>
  <w:style w:type="paragraph" w:customStyle="1" w:styleId="j2konspnum">
    <w:name w:val="j2_konsp_num"/>
    <w:basedOn w:val="j1konspnum"/>
    <w:qFormat/>
    <w:rsid w:val="00F1362D"/>
    <w:pPr>
      <w:numPr>
        <w:ilvl w:val="1"/>
      </w:numPr>
      <w:tabs>
        <w:tab w:val="num" w:pos="1440"/>
      </w:tabs>
      <w:ind w:left="1440" w:hanging="360"/>
    </w:pPr>
  </w:style>
  <w:style w:type="paragraph" w:customStyle="1" w:styleId="j3konspnum">
    <w:name w:val="j3_konsp_num"/>
    <w:basedOn w:val="j2konspnum"/>
    <w:qFormat/>
    <w:rsid w:val="00F1362D"/>
    <w:pPr>
      <w:numPr>
        <w:ilvl w:val="2"/>
      </w:numPr>
      <w:tabs>
        <w:tab w:val="num" w:pos="2160"/>
      </w:tabs>
      <w:ind w:left="2160" w:hanging="360"/>
    </w:pPr>
  </w:style>
  <w:style w:type="paragraph" w:customStyle="1" w:styleId="j4konspnum">
    <w:name w:val="j4_konsp_num"/>
    <w:basedOn w:val="j3konspnum"/>
    <w:qFormat/>
    <w:rsid w:val="00F1362D"/>
    <w:pPr>
      <w:numPr>
        <w:ilvl w:val="3"/>
      </w:numPr>
      <w:tabs>
        <w:tab w:val="num" w:pos="2880"/>
      </w:tabs>
      <w:ind w:left="2880" w:hanging="360"/>
    </w:pPr>
  </w:style>
  <w:style w:type="character" w:customStyle="1" w:styleId="nbsplist">
    <w:name w:val="nbsplist"/>
    <w:rsid w:val="00F1362D"/>
  </w:style>
  <w:style w:type="character" w:customStyle="1" w:styleId="mainengadd">
    <w:name w:val="main_eng_add"/>
    <w:rsid w:val="00F1362D"/>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locked/>
    <w:rsid w:val="00F1362D"/>
    <w:rPr>
      <w:rFonts w:ascii="Arial" w:hAnsi="Arial"/>
      <w:i/>
      <w:iCs/>
      <w:color w:val="44546A" w:themeColor="text2"/>
      <w:sz w:val="18"/>
      <w:szCs w:val="18"/>
    </w:rPr>
  </w:style>
  <w:style w:type="paragraph" w:styleId="Lista3">
    <w:name w:val="List 3"/>
    <w:basedOn w:val="Normalny"/>
    <w:rsid w:val="00F1362D"/>
    <w:pPr>
      <w:spacing w:after="0" w:line="360" w:lineRule="auto"/>
      <w:ind w:left="849" w:hanging="283"/>
    </w:pPr>
    <w:rPr>
      <w:rFonts w:ascii="Times New Roman" w:eastAsia="Times New Roman" w:hAnsi="Times New Roman" w:cs="Times New Roman"/>
      <w:szCs w:val="20"/>
      <w:lang w:eastAsia="pl-PL"/>
    </w:rPr>
  </w:style>
  <w:style w:type="paragraph" w:styleId="Listapunktowana4">
    <w:name w:val="List Bullet 4"/>
    <w:basedOn w:val="Normalny"/>
    <w:rsid w:val="00F1362D"/>
    <w:pPr>
      <w:numPr>
        <w:numId w:val="16"/>
      </w:numPr>
      <w:spacing w:after="0" w:line="360" w:lineRule="auto"/>
    </w:pPr>
    <w:rPr>
      <w:rFonts w:ascii="Times New Roman" w:eastAsia="Times New Roman" w:hAnsi="Times New Roman" w:cs="Times New Roman"/>
      <w:szCs w:val="20"/>
      <w:lang w:eastAsia="pl-PL"/>
    </w:rPr>
  </w:style>
  <w:style w:type="paragraph" w:customStyle="1" w:styleId="ZnakZnak">
    <w:name w:val="Znak Znak"/>
    <w:basedOn w:val="Normalny"/>
    <w:uiPriority w:val="99"/>
    <w:rsid w:val="00F1362D"/>
    <w:pPr>
      <w:spacing w:after="0" w:line="360" w:lineRule="auto"/>
      <w:jc w:val="both"/>
    </w:pPr>
    <w:rPr>
      <w:rFonts w:ascii="Verdana" w:eastAsia="Times New Roman" w:hAnsi="Verdana" w:cs="Times New Roman"/>
      <w:sz w:val="20"/>
      <w:szCs w:val="20"/>
      <w:lang w:eastAsia="pl-PL"/>
    </w:rPr>
  </w:style>
  <w:style w:type="paragraph" w:customStyle="1" w:styleId="podtytul">
    <w:name w:val="podtytul"/>
    <w:basedOn w:val="Normalny"/>
    <w:uiPriority w:val="99"/>
    <w:rsid w:val="00F1362D"/>
    <w:pPr>
      <w:spacing w:before="100" w:beforeAutospacing="1" w:after="100" w:afterAutospacing="1" w:line="240" w:lineRule="auto"/>
      <w:jc w:val="center"/>
    </w:pPr>
    <w:rPr>
      <w:rFonts w:eastAsia="Times New Roman" w:cs="Arial"/>
      <w:b/>
      <w:bCs/>
      <w:color w:val="000000"/>
      <w:sz w:val="16"/>
      <w:szCs w:val="16"/>
      <w:lang w:eastAsia="pl-PL"/>
    </w:rPr>
  </w:style>
  <w:style w:type="character" w:customStyle="1" w:styleId="style81">
    <w:name w:val="style81"/>
    <w:uiPriority w:val="99"/>
    <w:rsid w:val="00F1362D"/>
    <w:rPr>
      <w:rFonts w:ascii="Arial" w:hAnsi="Arial" w:cs="Arial" w:hint="default"/>
      <w:color w:val="000000"/>
      <w:sz w:val="17"/>
      <w:szCs w:val="17"/>
    </w:rPr>
  </w:style>
  <w:style w:type="character" w:customStyle="1" w:styleId="Teksttreci2Exact">
    <w:name w:val="Tekst treści (2) Exact"/>
    <w:rsid w:val="00F1362D"/>
    <w:rPr>
      <w:rFonts w:ascii="Arial" w:eastAsia="Arial" w:hAnsi="Arial" w:cs="Arial"/>
      <w:b w:val="0"/>
      <w:bCs w:val="0"/>
      <w:i w:val="0"/>
      <w:iCs w:val="0"/>
      <w:smallCaps w:val="0"/>
      <w:strike w:val="0"/>
      <w:sz w:val="22"/>
      <w:szCs w:val="22"/>
      <w:u w:val="none"/>
    </w:rPr>
  </w:style>
  <w:style w:type="numbering" w:customStyle="1" w:styleId="Bezlisty212">
    <w:name w:val="Bez listy212"/>
    <w:next w:val="Bezlisty"/>
    <w:uiPriority w:val="99"/>
    <w:semiHidden/>
    <w:unhideWhenUsed/>
    <w:rsid w:val="00F1362D"/>
  </w:style>
  <w:style w:type="table" w:customStyle="1" w:styleId="Tabela-Siatka211">
    <w:name w:val="Tabela - Siatka211"/>
    <w:basedOn w:val="Standardowy"/>
    <w:next w:val="Tabela-Siatka"/>
    <w:uiPriority w:val="99"/>
    <w:rsid w:val="00F1362D"/>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1">
    <w:name w:val="Znak Znak1"/>
    <w:basedOn w:val="Normalny"/>
    <w:uiPriority w:val="99"/>
    <w:rsid w:val="00F1362D"/>
    <w:pPr>
      <w:spacing w:after="0" w:line="360" w:lineRule="auto"/>
      <w:jc w:val="both"/>
    </w:pPr>
    <w:rPr>
      <w:rFonts w:ascii="Verdana" w:eastAsia="Calibri" w:hAnsi="Verdana" w:cs="Verdana"/>
      <w:sz w:val="20"/>
      <w:szCs w:val="20"/>
      <w:lang w:eastAsia="pl-PL"/>
    </w:rPr>
  </w:style>
  <w:style w:type="table" w:customStyle="1" w:styleId="Tabela-Siatka31">
    <w:name w:val="Tabela - Siatka31"/>
    <w:basedOn w:val="Standardowy"/>
    <w:next w:val="Tabela-Siatka"/>
    <w:uiPriority w:val="59"/>
    <w:rsid w:val="00F1362D"/>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Odstpy3pt">
    <w:name w:val="Nagłówek #1 + Odstępy 3 pt"/>
    <w:rsid w:val="00F1362D"/>
    <w:rPr>
      <w:rFonts w:ascii="Arial" w:eastAsia="Arial" w:hAnsi="Arial" w:cs="Arial"/>
      <w:b/>
      <w:bCs/>
      <w:color w:val="000000"/>
      <w:spacing w:val="60"/>
      <w:w w:val="100"/>
      <w:position w:val="0"/>
      <w:sz w:val="23"/>
      <w:szCs w:val="23"/>
      <w:shd w:val="clear" w:color="auto" w:fill="FFFFFF"/>
      <w:lang w:val="pl-PL" w:eastAsia="pl-PL" w:bidi="pl-PL"/>
    </w:rPr>
  </w:style>
  <w:style w:type="character" w:customStyle="1" w:styleId="e1-AuflistungChar">
    <w:name w:val="e1-Auflistung Char"/>
    <w:link w:val="e1-Auflistung"/>
    <w:uiPriority w:val="99"/>
    <w:locked/>
    <w:rsid w:val="00F1362D"/>
    <w:rPr>
      <w:rFonts w:ascii="Arial" w:hAnsi="Arial"/>
      <w:lang w:eastAsia="de-DE"/>
    </w:rPr>
  </w:style>
  <w:style w:type="paragraph" w:customStyle="1" w:styleId="e1-Auflistung">
    <w:name w:val="e1-Auflistung"/>
    <w:link w:val="e1-AuflistungChar"/>
    <w:uiPriority w:val="99"/>
    <w:rsid w:val="00F1362D"/>
    <w:pPr>
      <w:numPr>
        <w:numId w:val="17"/>
      </w:numPr>
      <w:spacing w:after="120" w:line="300" w:lineRule="exact"/>
      <w:jc w:val="both"/>
    </w:pPr>
    <w:rPr>
      <w:rFonts w:ascii="Arial" w:hAnsi="Arial"/>
      <w:lang w:eastAsia="de-DE"/>
    </w:rPr>
  </w:style>
  <w:style w:type="paragraph" w:customStyle="1" w:styleId="a1-TextvorAuflistung">
    <w:name w:val="a1-Text vor Auflistung"/>
    <w:basedOn w:val="Normalny"/>
    <w:next w:val="Normalny"/>
    <w:uiPriority w:val="99"/>
    <w:rsid w:val="00F1362D"/>
    <w:pPr>
      <w:spacing w:after="120" w:line="300" w:lineRule="atLeast"/>
      <w:jc w:val="both"/>
    </w:pPr>
    <w:rPr>
      <w:rFonts w:eastAsia="Times New Roman" w:cs="Times New Roman"/>
      <w:sz w:val="22"/>
      <w:szCs w:val="20"/>
      <w:lang w:val="de-CH" w:eastAsia="de-CH"/>
    </w:rPr>
  </w:style>
  <w:style w:type="character" w:customStyle="1" w:styleId="e11-AuflistungChar">
    <w:name w:val="e11-Auflistung Char"/>
    <w:link w:val="e11-Auflistung"/>
    <w:uiPriority w:val="99"/>
    <w:locked/>
    <w:rsid w:val="00F1362D"/>
    <w:rPr>
      <w:rFonts w:ascii="Arial" w:hAnsi="Arial"/>
      <w:lang w:val="de-CH" w:eastAsia="de-CH"/>
    </w:rPr>
  </w:style>
  <w:style w:type="paragraph" w:customStyle="1" w:styleId="e11-Auflistung">
    <w:name w:val="e11-Auflistung"/>
    <w:link w:val="e11-AuflistungChar"/>
    <w:uiPriority w:val="99"/>
    <w:rsid w:val="00F1362D"/>
    <w:pPr>
      <w:numPr>
        <w:numId w:val="18"/>
      </w:numPr>
      <w:spacing w:after="120" w:line="300" w:lineRule="atLeast"/>
    </w:pPr>
    <w:rPr>
      <w:rFonts w:ascii="Arial" w:hAnsi="Arial"/>
      <w:lang w:val="de-CH" w:eastAsia="de-CH"/>
    </w:rPr>
  </w:style>
  <w:style w:type="paragraph" w:customStyle="1" w:styleId="e1-Auflistungvora1">
    <w:name w:val="e1-Auflistung vor a1"/>
    <w:basedOn w:val="e1-Auflistung"/>
    <w:next w:val="Normalny"/>
    <w:uiPriority w:val="99"/>
    <w:rsid w:val="00F1362D"/>
    <w:pPr>
      <w:numPr>
        <w:numId w:val="0"/>
      </w:numPr>
      <w:tabs>
        <w:tab w:val="num" w:pos="3342"/>
      </w:tabs>
      <w:spacing w:after="240"/>
      <w:ind w:left="3342" w:hanging="360"/>
    </w:pPr>
    <w:rPr>
      <w:lang w:val="de-CH"/>
    </w:rPr>
  </w:style>
  <w:style w:type="paragraph" w:customStyle="1" w:styleId="Style54">
    <w:name w:val="Style54"/>
    <w:basedOn w:val="Normalny"/>
    <w:uiPriority w:val="99"/>
    <w:rsid w:val="00F1362D"/>
    <w:pPr>
      <w:widowControl w:val="0"/>
      <w:autoSpaceDE w:val="0"/>
      <w:autoSpaceDN w:val="0"/>
      <w:adjustRightInd w:val="0"/>
      <w:spacing w:after="0" w:line="221" w:lineRule="exact"/>
      <w:jc w:val="both"/>
    </w:pPr>
    <w:rPr>
      <w:rFonts w:ascii="Calibri" w:eastAsia="Times New Roman" w:hAnsi="Calibri" w:cs="Times New Roman"/>
      <w:sz w:val="22"/>
      <w:szCs w:val="24"/>
      <w:lang w:eastAsia="pl-PL"/>
    </w:rPr>
  </w:style>
  <w:style w:type="paragraph" w:customStyle="1" w:styleId="Style87">
    <w:name w:val="Style87"/>
    <w:basedOn w:val="Normalny"/>
    <w:uiPriority w:val="99"/>
    <w:rsid w:val="00F1362D"/>
    <w:pPr>
      <w:widowControl w:val="0"/>
      <w:autoSpaceDE w:val="0"/>
      <w:autoSpaceDN w:val="0"/>
      <w:adjustRightInd w:val="0"/>
      <w:spacing w:after="0" w:line="300" w:lineRule="exact"/>
      <w:jc w:val="center"/>
    </w:pPr>
    <w:rPr>
      <w:rFonts w:ascii="Calibri" w:eastAsia="Times New Roman" w:hAnsi="Calibri" w:cs="Times New Roman"/>
      <w:sz w:val="22"/>
      <w:szCs w:val="24"/>
      <w:lang w:eastAsia="pl-PL"/>
    </w:rPr>
  </w:style>
  <w:style w:type="character" w:customStyle="1" w:styleId="FontStyle210">
    <w:name w:val="Font Style210"/>
    <w:uiPriority w:val="99"/>
    <w:rsid w:val="00F1362D"/>
    <w:rPr>
      <w:rFonts w:ascii="Calibri" w:hAnsi="Calibri" w:cs="Calibri"/>
      <w:sz w:val="16"/>
      <w:szCs w:val="16"/>
    </w:rPr>
  </w:style>
  <w:style w:type="character" w:customStyle="1" w:styleId="FontStyle220">
    <w:name w:val="Font Style220"/>
    <w:uiPriority w:val="99"/>
    <w:rsid w:val="00F1362D"/>
    <w:rPr>
      <w:rFonts w:ascii="Calibri" w:hAnsi="Calibri" w:cs="Calibri"/>
      <w:b/>
      <w:bCs/>
      <w:sz w:val="16"/>
      <w:szCs w:val="16"/>
    </w:rPr>
  </w:style>
  <w:style w:type="paragraph" w:customStyle="1" w:styleId="Style151">
    <w:name w:val="Style151"/>
    <w:basedOn w:val="Normalny"/>
    <w:uiPriority w:val="99"/>
    <w:rsid w:val="00F1362D"/>
    <w:pPr>
      <w:widowControl w:val="0"/>
      <w:autoSpaceDE w:val="0"/>
      <w:autoSpaceDN w:val="0"/>
      <w:adjustRightInd w:val="0"/>
      <w:spacing w:after="0" w:line="221" w:lineRule="exact"/>
      <w:jc w:val="both"/>
    </w:pPr>
    <w:rPr>
      <w:rFonts w:ascii="Calibri" w:eastAsia="Times New Roman" w:hAnsi="Calibri" w:cs="Times New Roman"/>
      <w:szCs w:val="24"/>
      <w:lang w:eastAsia="pl-PL"/>
    </w:rPr>
  </w:style>
  <w:style w:type="character" w:customStyle="1" w:styleId="FontStyle50">
    <w:name w:val="Font Style50"/>
    <w:uiPriority w:val="99"/>
    <w:rsid w:val="00F1362D"/>
    <w:rPr>
      <w:rFonts w:ascii="Times New Roman" w:hAnsi="Times New Roman" w:cs="Times New Roman" w:hint="default"/>
    </w:rPr>
  </w:style>
  <w:style w:type="character" w:customStyle="1" w:styleId="TabelaNagwekdolewej">
    <w:name w:val="Tabela: Nagłówek do lewej"/>
    <w:rsid w:val="00F1362D"/>
    <w:rPr>
      <w:rFonts w:ascii="Arial Narrow" w:hAnsi="Arial Narrow"/>
      <w:b/>
      <w:bCs/>
      <w:sz w:val="18"/>
    </w:rPr>
  </w:style>
  <w:style w:type="character" w:customStyle="1" w:styleId="FontStyle25">
    <w:name w:val="Font Style25"/>
    <w:uiPriority w:val="99"/>
    <w:rsid w:val="00F1362D"/>
    <w:rPr>
      <w:rFonts w:ascii="Calibri" w:hAnsi="Calibri" w:cs="Calibri"/>
      <w:sz w:val="16"/>
      <w:szCs w:val="16"/>
    </w:rPr>
  </w:style>
  <w:style w:type="paragraph" w:customStyle="1" w:styleId="Style11">
    <w:name w:val="Style11"/>
    <w:basedOn w:val="Normalny"/>
    <w:uiPriority w:val="99"/>
    <w:rsid w:val="00F1362D"/>
    <w:pPr>
      <w:widowControl w:val="0"/>
      <w:autoSpaceDE w:val="0"/>
      <w:autoSpaceDN w:val="0"/>
      <w:adjustRightInd w:val="0"/>
      <w:spacing w:after="0" w:line="240" w:lineRule="auto"/>
      <w:jc w:val="both"/>
    </w:pPr>
    <w:rPr>
      <w:rFonts w:ascii="Calibri" w:eastAsia="Times New Roman" w:hAnsi="Calibri" w:cs="Times New Roman"/>
      <w:szCs w:val="24"/>
      <w:lang w:eastAsia="pl-PL"/>
    </w:rPr>
  </w:style>
  <w:style w:type="paragraph" w:customStyle="1" w:styleId="Style9">
    <w:name w:val="Style9"/>
    <w:basedOn w:val="Normalny"/>
    <w:uiPriority w:val="99"/>
    <w:rsid w:val="00F1362D"/>
    <w:pPr>
      <w:widowControl w:val="0"/>
      <w:autoSpaceDE w:val="0"/>
      <w:autoSpaceDN w:val="0"/>
      <w:adjustRightInd w:val="0"/>
      <w:spacing w:after="0" w:line="221" w:lineRule="exact"/>
    </w:pPr>
    <w:rPr>
      <w:rFonts w:ascii="Calibri" w:eastAsia="Times New Roman" w:hAnsi="Calibri" w:cs="Times New Roman"/>
      <w:szCs w:val="24"/>
      <w:lang w:eastAsia="pl-PL"/>
    </w:rPr>
  </w:style>
  <w:style w:type="paragraph" w:customStyle="1" w:styleId="Style17">
    <w:name w:val="Style17"/>
    <w:basedOn w:val="Normalny"/>
    <w:uiPriority w:val="99"/>
    <w:rsid w:val="00F1362D"/>
    <w:pPr>
      <w:widowControl w:val="0"/>
      <w:autoSpaceDE w:val="0"/>
      <w:autoSpaceDN w:val="0"/>
      <w:adjustRightInd w:val="0"/>
      <w:spacing w:after="0" w:line="221" w:lineRule="exact"/>
      <w:ind w:hanging="288"/>
    </w:pPr>
    <w:rPr>
      <w:rFonts w:ascii="Calibri" w:eastAsia="Times New Roman" w:hAnsi="Calibri" w:cs="Times New Roman"/>
      <w:szCs w:val="24"/>
      <w:lang w:eastAsia="pl-PL"/>
    </w:rPr>
  </w:style>
  <w:style w:type="character" w:customStyle="1" w:styleId="FontStyle30">
    <w:name w:val="Font Style30"/>
    <w:uiPriority w:val="99"/>
    <w:rsid w:val="00F1362D"/>
    <w:rPr>
      <w:rFonts w:ascii="Candara" w:hAnsi="Candara" w:cs="Candara"/>
      <w:sz w:val="14"/>
      <w:szCs w:val="14"/>
    </w:rPr>
  </w:style>
  <w:style w:type="character" w:customStyle="1" w:styleId="FontStyle23">
    <w:name w:val="Font Style23"/>
    <w:uiPriority w:val="99"/>
    <w:rsid w:val="00F1362D"/>
    <w:rPr>
      <w:rFonts w:ascii="Calibri" w:hAnsi="Calibri" w:cs="Calibri"/>
      <w:b/>
      <w:bCs/>
      <w:sz w:val="16"/>
      <w:szCs w:val="16"/>
    </w:rPr>
  </w:style>
  <w:style w:type="paragraph" w:customStyle="1" w:styleId="Style18">
    <w:name w:val="Style18"/>
    <w:basedOn w:val="Normalny"/>
    <w:uiPriority w:val="99"/>
    <w:rsid w:val="00F1362D"/>
    <w:pPr>
      <w:widowControl w:val="0"/>
      <w:autoSpaceDE w:val="0"/>
      <w:autoSpaceDN w:val="0"/>
      <w:adjustRightInd w:val="0"/>
      <w:spacing w:after="0" w:line="218" w:lineRule="exact"/>
      <w:jc w:val="right"/>
    </w:pPr>
    <w:rPr>
      <w:rFonts w:ascii="Calibri" w:eastAsia="Times New Roman" w:hAnsi="Calibri" w:cs="Times New Roman"/>
      <w:szCs w:val="24"/>
      <w:lang w:eastAsia="pl-PL"/>
    </w:rPr>
  </w:style>
  <w:style w:type="character" w:customStyle="1" w:styleId="FontStyle27">
    <w:name w:val="Font Style27"/>
    <w:uiPriority w:val="99"/>
    <w:rsid w:val="00F1362D"/>
    <w:rPr>
      <w:rFonts w:ascii="Calibri" w:hAnsi="Calibri" w:cs="Calibri"/>
      <w:b/>
      <w:bCs/>
      <w:sz w:val="14"/>
      <w:szCs w:val="14"/>
    </w:rPr>
  </w:style>
  <w:style w:type="character" w:customStyle="1" w:styleId="Bodytext">
    <w:name w:val="Body text_"/>
    <w:link w:val="Tekstpodstawowy1"/>
    <w:uiPriority w:val="99"/>
    <w:rsid w:val="00F1362D"/>
    <w:rPr>
      <w:rFonts w:ascii="Arial Narrow" w:eastAsia="Arial Narrow" w:hAnsi="Arial Narrow" w:cs="Times New Roman"/>
      <w:sz w:val="24"/>
      <w:szCs w:val="24"/>
    </w:rPr>
  </w:style>
  <w:style w:type="paragraph" w:customStyle="1" w:styleId="TEXT">
    <w:name w:val="TEXT"/>
    <w:basedOn w:val="Normalny"/>
    <w:link w:val="TEXTZnak"/>
    <w:qFormat/>
    <w:rsid w:val="00F1362D"/>
    <w:pPr>
      <w:spacing w:before="60" w:after="60" w:line="276" w:lineRule="auto"/>
      <w:jc w:val="both"/>
    </w:pPr>
    <w:rPr>
      <w:rFonts w:eastAsia="Times New Roman" w:cs="Times New Roman"/>
      <w:sz w:val="20"/>
      <w:szCs w:val="20"/>
      <w:lang w:val="x-none" w:eastAsia="pl-PL"/>
    </w:rPr>
  </w:style>
  <w:style w:type="character" w:customStyle="1" w:styleId="TEXTZnak">
    <w:name w:val="TEXT Znak"/>
    <w:link w:val="TEXT"/>
    <w:rsid w:val="00F1362D"/>
    <w:rPr>
      <w:rFonts w:ascii="Arial" w:eastAsia="Times New Roman" w:hAnsi="Arial" w:cs="Times New Roman"/>
      <w:sz w:val="20"/>
      <w:szCs w:val="20"/>
      <w:lang w:val="x-none" w:eastAsia="pl-PL"/>
    </w:rPr>
  </w:style>
  <w:style w:type="paragraph" w:customStyle="1" w:styleId="lista2">
    <w:name w:val="lista 2"/>
    <w:basedOn w:val="Normalny"/>
    <w:rsid w:val="00F1362D"/>
    <w:pPr>
      <w:tabs>
        <w:tab w:val="left" w:pos="1588"/>
      </w:tabs>
      <w:spacing w:after="0" w:line="300" w:lineRule="exact"/>
      <w:jc w:val="both"/>
    </w:pPr>
    <w:rPr>
      <w:rFonts w:ascii="Times New Roman" w:eastAsia="Times New Roman" w:hAnsi="Times New Roman" w:cs="Times New Roman"/>
      <w:sz w:val="22"/>
      <w:szCs w:val="24"/>
      <w:lang w:val="fr-FR" w:eastAsia="fr-FR"/>
    </w:rPr>
  </w:style>
  <w:style w:type="character" w:customStyle="1" w:styleId="FontStyle224">
    <w:name w:val="Font Style224"/>
    <w:uiPriority w:val="99"/>
    <w:rsid w:val="00F1362D"/>
    <w:rPr>
      <w:rFonts w:ascii="Calibri" w:hAnsi="Calibri" w:cs="Calibri"/>
      <w:sz w:val="20"/>
      <w:szCs w:val="20"/>
    </w:rPr>
  </w:style>
  <w:style w:type="paragraph" w:customStyle="1" w:styleId="Style13">
    <w:name w:val="Style13"/>
    <w:basedOn w:val="Normalny"/>
    <w:uiPriority w:val="99"/>
    <w:rsid w:val="00F1362D"/>
    <w:pPr>
      <w:widowControl w:val="0"/>
      <w:autoSpaceDE w:val="0"/>
      <w:autoSpaceDN w:val="0"/>
      <w:adjustRightInd w:val="0"/>
      <w:spacing w:after="0" w:line="240" w:lineRule="auto"/>
    </w:pPr>
    <w:rPr>
      <w:rFonts w:ascii="Calibri" w:eastAsia="Times New Roman" w:hAnsi="Calibri" w:cs="Times New Roman"/>
      <w:szCs w:val="24"/>
      <w:lang w:eastAsia="pl-PL"/>
    </w:rPr>
  </w:style>
  <w:style w:type="character" w:customStyle="1" w:styleId="FontStyle197">
    <w:name w:val="Font Style197"/>
    <w:uiPriority w:val="99"/>
    <w:rsid w:val="00F1362D"/>
    <w:rPr>
      <w:rFonts w:ascii="Calibri" w:hAnsi="Calibri" w:cs="Calibri"/>
      <w:sz w:val="16"/>
      <w:szCs w:val="16"/>
    </w:rPr>
  </w:style>
  <w:style w:type="paragraph" w:customStyle="1" w:styleId="StylpunktowanieAutomatyczny">
    <w:name w:val="Styl punktowanie + Automatyczny"/>
    <w:basedOn w:val="Normalny"/>
    <w:uiPriority w:val="99"/>
    <w:rsid w:val="00F1362D"/>
    <w:pPr>
      <w:spacing w:before="60" w:after="0" w:line="300" w:lineRule="exact"/>
    </w:pPr>
    <w:rPr>
      <w:rFonts w:ascii="Trebuchet MS" w:eastAsia="Times New Roman" w:hAnsi="Trebuchet MS" w:cs="Times New Roman"/>
      <w:sz w:val="20"/>
      <w:szCs w:val="20"/>
      <w:lang w:val="pt-PT" w:eastAsia="pt-PT"/>
    </w:rPr>
  </w:style>
  <w:style w:type="paragraph" w:customStyle="1" w:styleId="PuceNiveau2">
    <w:name w:val="Puce Niveau 2"/>
    <w:basedOn w:val="Normalny"/>
    <w:rsid w:val="00F1362D"/>
    <w:pPr>
      <w:numPr>
        <w:numId w:val="19"/>
      </w:numPr>
      <w:tabs>
        <w:tab w:val="clear" w:pos="3342"/>
        <w:tab w:val="left" w:pos="1848"/>
      </w:tabs>
      <w:spacing w:after="200" w:line="288" w:lineRule="auto"/>
      <w:ind w:left="1848" w:hanging="357"/>
      <w:jc w:val="both"/>
    </w:pPr>
    <w:rPr>
      <w:rFonts w:eastAsia="Times New Roman" w:cs="Times New Roman"/>
      <w:sz w:val="20"/>
      <w:szCs w:val="24"/>
      <w:lang w:val="en-GB" w:eastAsia="fr-FR"/>
    </w:rPr>
  </w:style>
  <w:style w:type="numbering" w:customStyle="1" w:styleId="ArcadisBullet">
    <w:name w:val="Arcadis_Bullet"/>
    <w:basedOn w:val="Bezlisty"/>
    <w:uiPriority w:val="99"/>
    <w:rsid w:val="00F1362D"/>
    <w:pPr>
      <w:numPr>
        <w:numId w:val="20"/>
      </w:numPr>
    </w:pPr>
  </w:style>
  <w:style w:type="paragraph" w:customStyle="1" w:styleId="ArcadisListBullet">
    <w:name w:val="Arcadis_ListBullet"/>
    <w:basedOn w:val="Normalny"/>
    <w:qFormat/>
    <w:rsid w:val="00F1362D"/>
    <w:pPr>
      <w:numPr>
        <w:numId w:val="21"/>
      </w:numPr>
      <w:spacing w:after="60" w:line="300" w:lineRule="exact"/>
      <w:contextualSpacing/>
      <w:jc w:val="both"/>
    </w:pPr>
    <w:rPr>
      <w:rFonts w:eastAsia="Arial" w:cs="Times New Roman"/>
      <w:color w:val="1D1D1D"/>
      <w:sz w:val="20"/>
      <w:szCs w:val="20"/>
    </w:rPr>
  </w:style>
  <w:style w:type="character" w:customStyle="1" w:styleId="alb">
    <w:name w:val="a_lb"/>
    <w:basedOn w:val="Domylnaczcionkaakapitu"/>
    <w:rsid w:val="00F1362D"/>
  </w:style>
  <w:style w:type="character" w:customStyle="1" w:styleId="fn-ref">
    <w:name w:val="fn-ref"/>
    <w:basedOn w:val="Domylnaczcionkaakapitu"/>
    <w:rsid w:val="00F1362D"/>
  </w:style>
  <w:style w:type="character" w:customStyle="1" w:styleId="text-justify">
    <w:name w:val="text-justify"/>
    <w:basedOn w:val="Domylnaczcionkaakapitu"/>
    <w:rsid w:val="00F1362D"/>
  </w:style>
  <w:style w:type="paragraph" w:customStyle="1" w:styleId="StylNagwek412pt">
    <w:name w:val="Styl Nagłówek 4 + 12 pt"/>
    <w:basedOn w:val="Nagwek4"/>
    <w:autoRedefine/>
    <w:rsid w:val="00F1362D"/>
    <w:pPr>
      <w:numPr>
        <w:ilvl w:val="3"/>
        <w:numId w:val="23"/>
      </w:numPr>
      <w:tabs>
        <w:tab w:val="left" w:pos="1134"/>
      </w:tabs>
      <w:spacing w:before="120" w:after="120"/>
      <w:ind w:left="1134" w:hanging="1134"/>
    </w:pPr>
    <w:rPr>
      <w:rFonts w:ascii="Arial" w:eastAsia="CG Times" w:hAnsi="Arial"/>
      <w:i/>
      <w:sz w:val="24"/>
      <w:szCs w:val="24"/>
      <w:lang w:val="en-GB" w:eastAsia="fr-FR"/>
    </w:rPr>
  </w:style>
  <w:style w:type="paragraph" w:customStyle="1" w:styleId="gwp25e97901msonormal">
    <w:name w:val="gwp25e97901_msonormal"/>
    <w:basedOn w:val="Normalny"/>
    <w:rsid w:val="00F1362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gwp659e922emsonormal">
    <w:name w:val="gwp659e922e_msonormal"/>
    <w:basedOn w:val="Normalny"/>
    <w:rsid w:val="00F1362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font">
    <w:name w:val="font"/>
    <w:basedOn w:val="Domylnaczcionkaakapitu"/>
    <w:rsid w:val="00F1362D"/>
  </w:style>
  <w:style w:type="character" w:customStyle="1" w:styleId="size">
    <w:name w:val="size"/>
    <w:basedOn w:val="Domylnaczcionkaakapitu"/>
    <w:rsid w:val="00F1362D"/>
  </w:style>
  <w:style w:type="paragraph" w:customStyle="1" w:styleId="StylTekstPierwszywiersz07cmInterlinia15wiersza">
    <w:name w:val="Styl Tekst + Pierwszy wiersz:  07 cm Interlinia:  15 wiersza"/>
    <w:basedOn w:val="Normalny"/>
    <w:semiHidden/>
    <w:rsid w:val="00F1362D"/>
    <w:pPr>
      <w:tabs>
        <w:tab w:val="left" w:pos="993"/>
      </w:tabs>
      <w:suppressAutoHyphens/>
      <w:spacing w:after="0" w:line="240" w:lineRule="auto"/>
      <w:ind w:firstLine="397"/>
      <w:jc w:val="both"/>
    </w:pPr>
    <w:rPr>
      <w:rFonts w:ascii="Times New Roman" w:eastAsia="Times New Roman" w:hAnsi="Times New Roman" w:cs="Times New Roman"/>
      <w:szCs w:val="20"/>
      <w:lang w:eastAsia="ar-SA"/>
    </w:rPr>
  </w:style>
  <w:style w:type="character" w:customStyle="1" w:styleId="ng-binding">
    <w:name w:val="ng-binding"/>
    <w:basedOn w:val="Domylnaczcionkaakapitu"/>
    <w:rsid w:val="00F1362D"/>
  </w:style>
  <w:style w:type="character" w:customStyle="1" w:styleId="ng-scope">
    <w:name w:val="ng-scope"/>
    <w:basedOn w:val="Domylnaczcionkaakapitu"/>
    <w:rsid w:val="00F1362D"/>
  </w:style>
  <w:style w:type="paragraph" w:customStyle="1" w:styleId="Cartiglio2">
    <w:name w:val="Cartiglio2"/>
    <w:rsid w:val="00F1362D"/>
    <w:pPr>
      <w:spacing w:after="0" w:line="240" w:lineRule="auto"/>
    </w:pPr>
    <w:rPr>
      <w:rFonts w:ascii="Times New Roman" w:eastAsia="Times New Roman" w:hAnsi="Times New Roman" w:cs="Times New Roman"/>
      <w:sz w:val="20"/>
      <w:szCs w:val="20"/>
      <w:lang w:val="en-GB" w:eastAsia="it-IT"/>
    </w:rPr>
  </w:style>
  <w:style w:type="paragraph" w:customStyle="1" w:styleId="TabelaZwykydorodka">
    <w:name w:val="Tabela: Zwykły do środka"/>
    <w:basedOn w:val="Normalny"/>
    <w:rsid w:val="00F1362D"/>
    <w:pPr>
      <w:spacing w:after="0" w:line="240" w:lineRule="auto"/>
      <w:jc w:val="center"/>
    </w:pPr>
    <w:rPr>
      <w:rFonts w:ascii="Arial Narrow" w:eastAsia="Times New Roman" w:hAnsi="Arial Narrow" w:cs="Times New Roman"/>
      <w:sz w:val="18"/>
      <w:szCs w:val="20"/>
      <w:lang w:eastAsia="pl-PL"/>
    </w:rPr>
  </w:style>
  <w:style w:type="paragraph" w:customStyle="1" w:styleId="Paragrafoelenco2">
    <w:name w:val="Paragrafo elenco2"/>
    <w:rsid w:val="00F1362D"/>
    <w:pPr>
      <w:widowControl w:val="0"/>
      <w:spacing w:after="0" w:line="240" w:lineRule="auto"/>
    </w:pPr>
    <w:rPr>
      <w:rFonts w:ascii="Lucida Grande" w:eastAsia="ヒラギノ角ゴ Pro W3" w:hAnsi="Lucida Grande" w:cs="Times New Roman"/>
      <w:color w:val="000000"/>
      <w:szCs w:val="20"/>
      <w:lang w:val="en-US" w:eastAsia="it-IT"/>
    </w:rPr>
  </w:style>
  <w:style w:type="table" w:customStyle="1" w:styleId="TableNormal3">
    <w:name w:val="Table Normal3"/>
    <w:uiPriority w:val="2"/>
    <w:semiHidden/>
    <w:unhideWhenUsed/>
    <w:qFormat/>
    <w:rsid w:val="00F1362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listapunktowana20">
    <w:name w:val="lista punktowana 2"/>
    <w:basedOn w:val="Listapunktowana"/>
    <w:link w:val="listapunktowana2Znak"/>
    <w:uiPriority w:val="1"/>
    <w:rsid w:val="00F1362D"/>
    <w:pPr>
      <w:numPr>
        <w:numId w:val="26"/>
      </w:numPr>
      <w:tabs>
        <w:tab w:val="clear" w:pos="709"/>
      </w:tabs>
      <w:spacing w:before="0" w:line="300" w:lineRule="exact"/>
    </w:pPr>
    <w:rPr>
      <w:snapToGrid/>
      <w:sz w:val="20"/>
      <w:szCs w:val="20"/>
      <w:lang w:eastAsia="pl-PL"/>
    </w:rPr>
  </w:style>
  <w:style w:type="character" w:customStyle="1" w:styleId="ListapunktowanaZnak">
    <w:name w:val="Lista punktowana Znak"/>
    <w:aliases w:val="Lista punktowana 1 Znak"/>
    <w:link w:val="Listapunktowana"/>
    <w:rsid w:val="00F1362D"/>
    <w:rPr>
      <w:rFonts w:ascii="Times New Roman" w:eastAsia="Times New Roman" w:hAnsi="Times New Roman" w:cs="Times New Roman"/>
      <w:snapToGrid w:val="0"/>
      <w:sz w:val="24"/>
      <w:szCs w:val="24"/>
      <w:lang w:val="x-none" w:eastAsia="x-none"/>
    </w:rPr>
  </w:style>
  <w:style w:type="character" w:customStyle="1" w:styleId="listapunktowana2Znak">
    <w:name w:val="lista punktowana 2 Znak"/>
    <w:link w:val="listapunktowana20"/>
    <w:uiPriority w:val="1"/>
    <w:rsid w:val="00F1362D"/>
    <w:rPr>
      <w:rFonts w:ascii="Times New Roman" w:eastAsia="Times New Roman" w:hAnsi="Times New Roman" w:cs="Times New Roman"/>
      <w:sz w:val="20"/>
      <w:szCs w:val="20"/>
      <w:lang w:val="x-none" w:eastAsia="pl-PL"/>
    </w:rPr>
  </w:style>
  <w:style w:type="paragraph" w:customStyle="1" w:styleId="PuceNiveau1">
    <w:name w:val="Puce Niveau 1"/>
    <w:basedOn w:val="Normalny"/>
    <w:rsid w:val="00F1362D"/>
    <w:pPr>
      <w:numPr>
        <w:numId w:val="25"/>
      </w:numPr>
      <w:tabs>
        <w:tab w:val="left" w:pos="1491"/>
      </w:tabs>
      <w:spacing w:after="200" w:line="288" w:lineRule="auto"/>
      <w:jc w:val="both"/>
    </w:pPr>
    <w:rPr>
      <w:rFonts w:eastAsia="Times New Roman" w:cs="Times New Roman"/>
      <w:sz w:val="20"/>
      <w:szCs w:val="24"/>
      <w:lang w:val="en-GB" w:eastAsia="fr-FR"/>
    </w:rPr>
  </w:style>
  <w:style w:type="paragraph" w:customStyle="1" w:styleId="Textetableau">
    <w:name w:val="Texte tableau"/>
    <w:basedOn w:val="Normalny"/>
    <w:rsid w:val="00F1362D"/>
    <w:pPr>
      <w:spacing w:before="60" w:after="60" w:line="288" w:lineRule="auto"/>
      <w:jc w:val="both"/>
    </w:pPr>
    <w:rPr>
      <w:rFonts w:eastAsia="Times New Roman" w:cs="Times New Roman"/>
      <w:sz w:val="20"/>
      <w:szCs w:val="24"/>
      <w:lang w:val="en-GB" w:eastAsia="fr-FR"/>
    </w:rPr>
  </w:style>
  <w:style w:type="paragraph" w:customStyle="1" w:styleId="TableText">
    <w:name w:val="Table Text"/>
    <w:basedOn w:val="Normalny"/>
    <w:rsid w:val="00F1362D"/>
    <w:pPr>
      <w:spacing w:before="40" w:after="40" w:line="300" w:lineRule="exact"/>
      <w:jc w:val="both"/>
    </w:pPr>
    <w:rPr>
      <w:rFonts w:eastAsia="Times New Roman" w:cs="Arial"/>
      <w:sz w:val="20"/>
      <w:szCs w:val="20"/>
      <w:lang w:val="en-US"/>
    </w:rPr>
  </w:style>
  <w:style w:type="paragraph" w:customStyle="1" w:styleId="TableBold">
    <w:name w:val="Table Bold"/>
    <w:basedOn w:val="Normalny"/>
    <w:rsid w:val="00F1362D"/>
    <w:pPr>
      <w:spacing w:after="0" w:line="220" w:lineRule="exact"/>
      <w:ind w:right="-58"/>
      <w:jc w:val="both"/>
    </w:pPr>
    <w:rPr>
      <w:rFonts w:eastAsia="Times New Roman" w:cs="Arial"/>
      <w:b/>
      <w:bCs/>
      <w:sz w:val="20"/>
      <w:szCs w:val="20"/>
      <w:lang w:val="en-GB"/>
    </w:rPr>
  </w:style>
  <w:style w:type="paragraph" w:customStyle="1" w:styleId="Tytudokumentu">
    <w:name w:val="Tytuł dokumentu"/>
    <w:basedOn w:val="Normalny"/>
    <w:link w:val="TytudokumentuZnak"/>
    <w:qFormat/>
    <w:rsid w:val="00F1362D"/>
    <w:pPr>
      <w:keepNext/>
      <w:spacing w:before="120" w:after="400" w:line="360" w:lineRule="auto"/>
      <w:ind w:left="1440"/>
      <w:jc w:val="both"/>
    </w:pPr>
    <w:rPr>
      <w:rFonts w:eastAsia="Times New Roman" w:cs="Arial"/>
      <w:b/>
      <w:bCs/>
      <w:color w:val="5F5F5F"/>
      <w:sz w:val="28"/>
      <w:szCs w:val="20"/>
    </w:rPr>
  </w:style>
  <w:style w:type="paragraph" w:customStyle="1" w:styleId="podtytu0">
    <w:name w:val="podtytuł"/>
    <w:basedOn w:val="Normalny"/>
    <w:next w:val="Opisdokumentu"/>
    <w:uiPriority w:val="99"/>
    <w:rsid w:val="00F1362D"/>
    <w:pPr>
      <w:spacing w:before="120" w:after="360" w:line="360" w:lineRule="auto"/>
      <w:jc w:val="both"/>
    </w:pPr>
    <w:rPr>
      <w:rFonts w:eastAsia="Calibri" w:cs="Times New Roman"/>
      <w:b/>
      <w:color w:val="0067B1"/>
      <w:sz w:val="22"/>
      <w:lang w:eastAsia="pl-PL"/>
    </w:rPr>
  </w:style>
  <w:style w:type="paragraph" w:customStyle="1" w:styleId="Opisdokumentu">
    <w:name w:val="Opis dokumentu"/>
    <w:basedOn w:val="podtytu0"/>
    <w:uiPriority w:val="99"/>
    <w:rsid w:val="00F1362D"/>
    <w:pPr>
      <w:spacing w:after="120"/>
    </w:pPr>
    <w:rPr>
      <w:sz w:val="20"/>
    </w:rPr>
  </w:style>
  <w:style w:type="paragraph" w:customStyle="1" w:styleId="Dataimiejscowo">
    <w:name w:val="Data i miejscowość"/>
    <w:basedOn w:val="Normalny"/>
    <w:uiPriority w:val="99"/>
    <w:rsid w:val="00F1362D"/>
    <w:pPr>
      <w:spacing w:after="0" w:line="276" w:lineRule="auto"/>
      <w:jc w:val="both"/>
    </w:pPr>
    <w:rPr>
      <w:rFonts w:eastAsia="Calibri" w:cs="Times New Roman"/>
      <w:sz w:val="16"/>
      <w:lang w:val="en-US" w:eastAsia="pl-PL"/>
    </w:rPr>
  </w:style>
  <w:style w:type="paragraph" w:customStyle="1" w:styleId="SubTitle">
    <w:name w:val="Sub Title"/>
    <w:basedOn w:val="Normalny"/>
    <w:rsid w:val="00F1362D"/>
    <w:pPr>
      <w:spacing w:after="0" w:line="540" w:lineRule="exact"/>
      <w:ind w:right="567"/>
      <w:jc w:val="both"/>
    </w:pPr>
    <w:rPr>
      <w:rFonts w:eastAsia="Times New Roman" w:cs="Arial"/>
      <w:sz w:val="40"/>
      <w:szCs w:val="20"/>
      <w:lang w:val="en-GB"/>
    </w:rPr>
  </w:style>
  <w:style w:type="character" w:customStyle="1" w:styleId="TeksttreciTimesNewRoman4">
    <w:name w:val="Tekst treści + Times New Roman4"/>
    <w:aliases w:val="9,5 pt4"/>
    <w:uiPriority w:val="99"/>
    <w:rsid w:val="00F1362D"/>
    <w:rPr>
      <w:rFonts w:ascii="Times New Roman" w:hAnsi="Times New Roman" w:cs="Times New Roman"/>
      <w:spacing w:val="-10"/>
      <w:sz w:val="19"/>
      <w:szCs w:val="19"/>
      <w:shd w:val="clear" w:color="auto" w:fill="FFFFFF"/>
    </w:rPr>
  </w:style>
  <w:style w:type="character" w:customStyle="1" w:styleId="TeksttreciKursywa">
    <w:name w:val="Tekst treści + Kursywa"/>
    <w:uiPriority w:val="99"/>
    <w:rsid w:val="00F1362D"/>
    <w:rPr>
      <w:rFonts w:ascii="Arial" w:hAnsi="Arial" w:cs="Arial"/>
      <w:i/>
      <w:iCs/>
      <w:spacing w:val="-10"/>
      <w:sz w:val="20"/>
      <w:szCs w:val="20"/>
      <w:shd w:val="clear" w:color="auto" w:fill="FFFFFF"/>
    </w:rPr>
  </w:style>
  <w:style w:type="character" w:customStyle="1" w:styleId="TeksttreciPogrubienie1">
    <w:name w:val="Tekst treści + Pogrubienie1"/>
    <w:uiPriority w:val="99"/>
    <w:rsid w:val="00F1362D"/>
    <w:rPr>
      <w:rFonts w:ascii="Arial" w:hAnsi="Arial" w:cs="Arial"/>
      <w:b/>
      <w:bCs/>
      <w:spacing w:val="-10"/>
      <w:sz w:val="20"/>
      <w:szCs w:val="20"/>
      <w:shd w:val="clear" w:color="auto" w:fill="FFFFFF"/>
    </w:rPr>
  </w:style>
  <w:style w:type="character" w:customStyle="1" w:styleId="TeksttreciTimesNewRoman1">
    <w:name w:val="Tekst treści + Times New Roman1"/>
    <w:aliases w:val="12 pt,Kursywa2"/>
    <w:uiPriority w:val="99"/>
    <w:rsid w:val="00F1362D"/>
    <w:rPr>
      <w:rFonts w:ascii="Times New Roman" w:hAnsi="Times New Roman" w:cs="Times New Roman"/>
      <w:i/>
      <w:iCs/>
      <w:spacing w:val="-10"/>
      <w:sz w:val="24"/>
      <w:szCs w:val="24"/>
      <w:shd w:val="clear" w:color="auto" w:fill="FFFFFF"/>
    </w:rPr>
  </w:style>
  <w:style w:type="character" w:customStyle="1" w:styleId="Teksttreci9pt2">
    <w:name w:val="Tekst treści + 9 pt2"/>
    <w:uiPriority w:val="99"/>
    <w:rsid w:val="00F1362D"/>
    <w:rPr>
      <w:rFonts w:ascii="Times New Roman" w:hAnsi="Times New Roman" w:cs="Times New Roman"/>
      <w:spacing w:val="-10"/>
      <w:sz w:val="18"/>
      <w:szCs w:val="18"/>
      <w:u w:val="none"/>
      <w:shd w:val="clear" w:color="auto" w:fill="FFFFFF"/>
    </w:rPr>
  </w:style>
  <w:style w:type="paragraph" w:customStyle="1" w:styleId="Couverturelignes12">
    <w:name w:val="Couverture lignes 1&amp;2"/>
    <w:basedOn w:val="Normalny"/>
    <w:semiHidden/>
    <w:rsid w:val="00F1362D"/>
    <w:pPr>
      <w:spacing w:after="200" w:line="300" w:lineRule="exact"/>
      <w:ind w:left="215"/>
      <w:jc w:val="both"/>
    </w:pPr>
    <w:rPr>
      <w:rFonts w:eastAsia="Times New Roman" w:cs="Arial"/>
      <w:b/>
      <w:bCs/>
      <w:sz w:val="28"/>
      <w:szCs w:val="28"/>
      <w:lang w:val="en-GB" w:eastAsia="fr-FR"/>
    </w:rPr>
  </w:style>
  <w:style w:type="paragraph" w:customStyle="1" w:styleId="Couverturelignes34">
    <w:name w:val="Couverture lignes 3&amp;4"/>
    <w:basedOn w:val="Normalny"/>
    <w:semiHidden/>
    <w:rsid w:val="00F1362D"/>
    <w:pPr>
      <w:spacing w:after="0" w:line="300" w:lineRule="exact"/>
      <w:ind w:left="215"/>
      <w:jc w:val="both"/>
    </w:pPr>
    <w:rPr>
      <w:rFonts w:eastAsia="Times New Roman" w:cs="Arial"/>
      <w:bCs/>
      <w:iCs/>
      <w:szCs w:val="24"/>
      <w:lang w:val="en-GB" w:eastAsia="fr-FR"/>
    </w:rPr>
  </w:style>
  <w:style w:type="paragraph" w:customStyle="1" w:styleId="Couverturelignes56">
    <w:name w:val="Couverture lignes 5&amp;6"/>
    <w:basedOn w:val="Normalny"/>
    <w:semiHidden/>
    <w:rsid w:val="00F1362D"/>
    <w:pPr>
      <w:spacing w:after="0" w:line="300" w:lineRule="exact"/>
      <w:ind w:left="215"/>
      <w:jc w:val="both"/>
    </w:pPr>
    <w:rPr>
      <w:rFonts w:eastAsia="Times New Roman" w:cs="Arial"/>
      <w:sz w:val="22"/>
      <w:lang w:val="en-GB" w:eastAsia="fr-FR"/>
    </w:rPr>
  </w:style>
  <w:style w:type="paragraph" w:customStyle="1" w:styleId="Testodelblocco1">
    <w:name w:val="Testo del blocco1"/>
    <w:rsid w:val="00F1362D"/>
    <w:pPr>
      <w:spacing w:before="120" w:after="120" w:line="360" w:lineRule="auto"/>
      <w:ind w:left="720" w:right="425"/>
      <w:jc w:val="both"/>
    </w:pPr>
    <w:rPr>
      <w:rFonts w:ascii="Tahoma" w:eastAsia="ヒラギノ角ゴ Pro W3" w:hAnsi="Tahoma" w:cs="Times New Roman"/>
      <w:color w:val="000000"/>
      <w:sz w:val="20"/>
      <w:szCs w:val="20"/>
      <w:lang w:val="it-IT" w:eastAsia="it-IT"/>
    </w:rPr>
  </w:style>
  <w:style w:type="paragraph" w:styleId="Tekstpodstawowyzwciciem">
    <w:name w:val="Body Text First Indent"/>
    <w:basedOn w:val="Tekstpodstawowy"/>
    <w:link w:val="TekstpodstawowyzwciciemZnak"/>
    <w:uiPriority w:val="99"/>
    <w:unhideWhenUsed/>
    <w:rsid w:val="00F1362D"/>
    <w:pPr>
      <w:spacing w:after="200" w:line="276" w:lineRule="auto"/>
      <w:ind w:firstLine="360"/>
    </w:pPr>
    <w:rPr>
      <w:rFonts w:ascii="Arial" w:hAnsi="Arial"/>
      <w:sz w:val="18"/>
    </w:rPr>
  </w:style>
  <w:style w:type="character" w:customStyle="1" w:styleId="TekstpodstawowyzwciciemZnak2">
    <w:name w:val="Tekst podstawowy z wcięciem Znak2"/>
    <w:basedOn w:val="TekstpodstawowyZnak"/>
    <w:uiPriority w:val="99"/>
    <w:semiHidden/>
    <w:rsid w:val="00F1362D"/>
    <w:rPr>
      <w:rFonts w:ascii="Arial" w:eastAsia="Times New Roman" w:hAnsi="Arial" w:cs="Times New Roman"/>
      <w:sz w:val="24"/>
      <w:szCs w:val="20"/>
      <w:lang w:eastAsia="pl-PL"/>
    </w:rPr>
  </w:style>
  <w:style w:type="paragraph" w:customStyle="1" w:styleId="Style83">
    <w:name w:val="Style83"/>
    <w:basedOn w:val="Normalny"/>
    <w:uiPriority w:val="99"/>
    <w:rsid w:val="00F1362D"/>
    <w:pPr>
      <w:widowControl w:val="0"/>
      <w:autoSpaceDE w:val="0"/>
      <w:autoSpaceDN w:val="0"/>
      <w:adjustRightInd w:val="0"/>
      <w:spacing w:after="0" w:line="269" w:lineRule="exact"/>
      <w:ind w:hanging="442"/>
      <w:jc w:val="both"/>
    </w:pPr>
    <w:rPr>
      <w:rFonts w:ascii="Calibri" w:eastAsia="Times New Roman" w:hAnsi="Calibri" w:cs="Times New Roman"/>
      <w:sz w:val="22"/>
      <w:szCs w:val="24"/>
      <w:lang w:eastAsia="pl-PL"/>
    </w:rPr>
  </w:style>
  <w:style w:type="character" w:customStyle="1" w:styleId="FontStyle206">
    <w:name w:val="Font Style206"/>
    <w:uiPriority w:val="99"/>
    <w:rsid w:val="00F1362D"/>
    <w:rPr>
      <w:rFonts w:ascii="Bookman Old Style" w:hAnsi="Bookman Old Style" w:cs="Bookman Old Style"/>
      <w:b/>
      <w:bCs/>
      <w:sz w:val="10"/>
      <w:szCs w:val="10"/>
    </w:rPr>
  </w:style>
  <w:style w:type="paragraph" w:customStyle="1" w:styleId="Style60">
    <w:name w:val="Style60"/>
    <w:basedOn w:val="Normalny"/>
    <w:uiPriority w:val="99"/>
    <w:rsid w:val="00F1362D"/>
    <w:pPr>
      <w:widowControl w:val="0"/>
      <w:autoSpaceDE w:val="0"/>
      <w:autoSpaceDN w:val="0"/>
      <w:adjustRightInd w:val="0"/>
      <w:spacing w:after="0" w:line="269" w:lineRule="exact"/>
      <w:jc w:val="both"/>
    </w:pPr>
    <w:rPr>
      <w:rFonts w:ascii="Calibri" w:eastAsia="Times New Roman" w:hAnsi="Calibri" w:cs="Times New Roman"/>
      <w:sz w:val="22"/>
      <w:szCs w:val="24"/>
      <w:lang w:eastAsia="pl-PL"/>
    </w:rPr>
  </w:style>
  <w:style w:type="paragraph" w:customStyle="1" w:styleId="Style39">
    <w:name w:val="Style39"/>
    <w:basedOn w:val="Normalny"/>
    <w:uiPriority w:val="99"/>
    <w:rsid w:val="00F1362D"/>
    <w:pPr>
      <w:widowControl w:val="0"/>
      <w:autoSpaceDE w:val="0"/>
      <w:autoSpaceDN w:val="0"/>
      <w:adjustRightInd w:val="0"/>
      <w:spacing w:after="0" w:line="221" w:lineRule="exact"/>
      <w:jc w:val="both"/>
    </w:pPr>
    <w:rPr>
      <w:rFonts w:ascii="Calibri" w:eastAsia="Times New Roman" w:hAnsi="Calibri" w:cs="Times New Roman"/>
      <w:sz w:val="22"/>
      <w:szCs w:val="24"/>
      <w:lang w:eastAsia="pl-PL"/>
    </w:rPr>
  </w:style>
  <w:style w:type="paragraph" w:customStyle="1" w:styleId="Style51">
    <w:name w:val="Style51"/>
    <w:basedOn w:val="Normalny"/>
    <w:uiPriority w:val="99"/>
    <w:rsid w:val="00F1362D"/>
    <w:pPr>
      <w:widowControl w:val="0"/>
      <w:autoSpaceDE w:val="0"/>
      <w:autoSpaceDN w:val="0"/>
      <w:adjustRightInd w:val="0"/>
      <w:spacing w:after="0" w:line="240" w:lineRule="auto"/>
    </w:pPr>
    <w:rPr>
      <w:rFonts w:ascii="Calibri" w:eastAsia="Times New Roman" w:hAnsi="Calibri" w:cs="Times New Roman"/>
      <w:szCs w:val="24"/>
      <w:lang w:eastAsia="pl-PL"/>
    </w:rPr>
  </w:style>
  <w:style w:type="paragraph" w:customStyle="1" w:styleId="StylraportutekstAutomatycznyInterliniapojedyncz2">
    <w:name w:val="Styl raportu tekst + Automatyczny Interlinia:  pojedyncz... +...2"/>
    <w:basedOn w:val="Normalny"/>
    <w:link w:val="StylraportutekstAutomatycznyInterliniapojedyncz2Znak"/>
    <w:uiPriority w:val="99"/>
    <w:rsid w:val="00F1362D"/>
    <w:pPr>
      <w:suppressAutoHyphens/>
      <w:spacing w:after="0" w:line="240" w:lineRule="auto"/>
      <w:jc w:val="both"/>
    </w:pPr>
    <w:rPr>
      <w:rFonts w:ascii="Calibri" w:eastAsia="Times New Roman" w:hAnsi="Calibri" w:cs="Times New Roman"/>
      <w:color w:val="FF0000"/>
      <w:kern w:val="22"/>
      <w:sz w:val="21"/>
      <w:szCs w:val="21"/>
      <w:lang w:val="x-none" w:eastAsia="pl-PL"/>
    </w:rPr>
  </w:style>
  <w:style w:type="character" w:customStyle="1" w:styleId="StylraportutekstAutomatycznyInterliniapojedyncz2Znak">
    <w:name w:val="Styl raportu tekst + Automatyczny Interlinia:  pojedyncz... +...2 Znak"/>
    <w:link w:val="StylraportutekstAutomatycznyInterliniapojedyncz2"/>
    <w:uiPriority w:val="99"/>
    <w:rsid w:val="00F1362D"/>
    <w:rPr>
      <w:rFonts w:ascii="Calibri" w:eastAsia="Times New Roman" w:hAnsi="Calibri" w:cs="Times New Roman"/>
      <w:color w:val="FF0000"/>
      <w:kern w:val="22"/>
      <w:sz w:val="21"/>
      <w:szCs w:val="21"/>
      <w:lang w:val="x-none" w:eastAsia="pl-PL"/>
    </w:rPr>
  </w:style>
  <w:style w:type="paragraph" w:customStyle="1" w:styleId="stylraportutekst">
    <w:name w:val="styl raportu tekst"/>
    <w:basedOn w:val="Normalny"/>
    <w:link w:val="stylraportutekstZnak1"/>
    <w:rsid w:val="00F1362D"/>
    <w:pPr>
      <w:suppressAutoHyphens/>
      <w:spacing w:before="120" w:after="0" w:line="240" w:lineRule="auto"/>
    </w:pPr>
    <w:rPr>
      <w:rFonts w:ascii="Calibri" w:eastAsia="Times New Roman" w:hAnsi="Calibri" w:cs="Times New Roman"/>
      <w:color w:val="000000"/>
      <w:sz w:val="20"/>
      <w:szCs w:val="20"/>
      <w:lang w:val="en-US" w:eastAsia="x-none"/>
    </w:rPr>
  </w:style>
  <w:style w:type="character" w:customStyle="1" w:styleId="stylraportutekstZnak1">
    <w:name w:val="styl raportu tekst Znak1"/>
    <w:link w:val="stylraportutekst"/>
    <w:locked/>
    <w:rsid w:val="00F1362D"/>
    <w:rPr>
      <w:rFonts w:ascii="Calibri" w:eastAsia="Times New Roman" w:hAnsi="Calibri" w:cs="Times New Roman"/>
      <w:color w:val="000000"/>
      <w:sz w:val="20"/>
      <w:szCs w:val="20"/>
      <w:lang w:val="en-US" w:eastAsia="x-none"/>
    </w:rPr>
  </w:style>
  <w:style w:type="character" w:customStyle="1" w:styleId="stylraportutekstAutomatycznyInterliniapojedynczZnak1">
    <w:name w:val="styl raportu tekst + Automatyczny Interlinia:  pojedyncz... Znak1"/>
    <w:link w:val="stylraportutekstAutomatycznyInterliniapojedyncz"/>
    <w:locked/>
    <w:rsid w:val="00F1362D"/>
  </w:style>
  <w:style w:type="paragraph" w:customStyle="1" w:styleId="stylraportutekstAutomatycznyInterliniapojedyncz">
    <w:name w:val="styl raportu tekst + Automatyczny Interlinia:  pojedyncz..."/>
    <w:link w:val="stylraportutekstAutomatycznyInterliniapojedynczZnak1"/>
    <w:rsid w:val="00F1362D"/>
    <w:pPr>
      <w:suppressAutoHyphens/>
      <w:spacing w:before="120" w:after="0" w:line="240" w:lineRule="auto"/>
    </w:pPr>
  </w:style>
  <w:style w:type="paragraph" w:customStyle="1" w:styleId="Akapit0">
    <w:name w:val="Akapit"/>
    <w:basedOn w:val="Normalny"/>
    <w:link w:val="AkapitZnak"/>
    <w:rsid w:val="00F1362D"/>
    <w:pPr>
      <w:widowControl w:val="0"/>
      <w:suppressAutoHyphens/>
      <w:spacing w:after="120" w:line="240" w:lineRule="exact"/>
      <w:jc w:val="both"/>
    </w:pPr>
    <w:rPr>
      <w:rFonts w:ascii="Times New Roman" w:eastAsia="Lucida Sans Unicode" w:hAnsi="Times New Roman" w:cs="Times New Roman"/>
      <w:sz w:val="22"/>
    </w:rPr>
  </w:style>
  <w:style w:type="paragraph" w:customStyle="1" w:styleId="Style12">
    <w:name w:val="Style12"/>
    <w:basedOn w:val="Normalny"/>
    <w:uiPriority w:val="99"/>
    <w:rsid w:val="00F1362D"/>
    <w:pPr>
      <w:widowControl w:val="0"/>
      <w:autoSpaceDE w:val="0"/>
      <w:autoSpaceDN w:val="0"/>
      <w:adjustRightInd w:val="0"/>
      <w:spacing w:after="0" w:line="240" w:lineRule="auto"/>
    </w:pPr>
    <w:rPr>
      <w:rFonts w:ascii="Calibri" w:eastAsia="Times New Roman" w:hAnsi="Calibri" w:cs="Times New Roman"/>
      <w:szCs w:val="24"/>
      <w:lang w:eastAsia="pl-PL"/>
    </w:rPr>
  </w:style>
  <w:style w:type="paragraph" w:customStyle="1" w:styleId="Style42">
    <w:name w:val="Style42"/>
    <w:basedOn w:val="Normalny"/>
    <w:uiPriority w:val="99"/>
    <w:rsid w:val="00F1362D"/>
    <w:pPr>
      <w:widowControl w:val="0"/>
      <w:autoSpaceDE w:val="0"/>
      <w:autoSpaceDN w:val="0"/>
      <w:adjustRightInd w:val="0"/>
      <w:spacing w:after="0" w:line="163" w:lineRule="exact"/>
    </w:pPr>
    <w:rPr>
      <w:rFonts w:ascii="Calibri" w:eastAsia="Times New Roman" w:hAnsi="Calibri" w:cs="Times New Roman"/>
      <w:szCs w:val="24"/>
      <w:lang w:eastAsia="pl-PL"/>
    </w:rPr>
  </w:style>
  <w:style w:type="paragraph" w:customStyle="1" w:styleId="Style80">
    <w:name w:val="Style80"/>
    <w:basedOn w:val="Normalny"/>
    <w:uiPriority w:val="99"/>
    <w:rsid w:val="00F1362D"/>
    <w:pPr>
      <w:widowControl w:val="0"/>
      <w:autoSpaceDE w:val="0"/>
      <w:autoSpaceDN w:val="0"/>
      <w:adjustRightInd w:val="0"/>
      <w:spacing w:after="0" w:line="240" w:lineRule="auto"/>
    </w:pPr>
    <w:rPr>
      <w:rFonts w:ascii="Calibri" w:eastAsia="Times New Roman" w:hAnsi="Calibri" w:cs="Times New Roman"/>
      <w:szCs w:val="24"/>
      <w:lang w:eastAsia="pl-PL"/>
    </w:rPr>
  </w:style>
  <w:style w:type="paragraph" w:customStyle="1" w:styleId="Style100">
    <w:name w:val="Style100"/>
    <w:basedOn w:val="Normalny"/>
    <w:uiPriority w:val="99"/>
    <w:rsid w:val="00F1362D"/>
    <w:pPr>
      <w:widowControl w:val="0"/>
      <w:autoSpaceDE w:val="0"/>
      <w:autoSpaceDN w:val="0"/>
      <w:adjustRightInd w:val="0"/>
      <w:spacing w:after="0" w:line="226" w:lineRule="exact"/>
    </w:pPr>
    <w:rPr>
      <w:rFonts w:ascii="Calibri" w:eastAsia="Times New Roman" w:hAnsi="Calibri" w:cs="Times New Roman"/>
      <w:szCs w:val="24"/>
      <w:lang w:eastAsia="pl-PL"/>
    </w:rPr>
  </w:style>
  <w:style w:type="character" w:customStyle="1" w:styleId="FontStyle237">
    <w:name w:val="Font Style237"/>
    <w:uiPriority w:val="99"/>
    <w:rsid w:val="00F1362D"/>
    <w:rPr>
      <w:rFonts w:ascii="Arial" w:hAnsi="Arial" w:cs="Arial"/>
      <w:b/>
      <w:bCs/>
      <w:sz w:val="14"/>
      <w:szCs w:val="14"/>
    </w:rPr>
  </w:style>
  <w:style w:type="character" w:customStyle="1" w:styleId="FontStyle238">
    <w:name w:val="Font Style238"/>
    <w:uiPriority w:val="99"/>
    <w:rsid w:val="00F1362D"/>
    <w:rPr>
      <w:rFonts w:ascii="Arial" w:hAnsi="Arial" w:cs="Arial"/>
      <w:b/>
      <w:bCs/>
      <w:sz w:val="24"/>
      <w:szCs w:val="24"/>
    </w:rPr>
  </w:style>
  <w:style w:type="paragraph" w:customStyle="1" w:styleId="a1-Text">
    <w:name w:val="a1-Text"/>
    <w:link w:val="a1-TextChar"/>
    <w:rsid w:val="00F1362D"/>
    <w:pPr>
      <w:spacing w:after="240" w:line="300" w:lineRule="atLeast"/>
      <w:jc w:val="both"/>
    </w:pPr>
    <w:rPr>
      <w:rFonts w:ascii="Arial" w:eastAsia="Times New Roman" w:hAnsi="Arial" w:cs="Times New Roman"/>
      <w:sz w:val="20"/>
      <w:szCs w:val="20"/>
      <w:lang w:val="de-CH" w:eastAsia="de-CH"/>
    </w:rPr>
  </w:style>
  <w:style w:type="character" w:customStyle="1" w:styleId="a1-TextChar">
    <w:name w:val="a1-Text Char"/>
    <w:link w:val="a1-Text"/>
    <w:locked/>
    <w:rsid w:val="00F1362D"/>
    <w:rPr>
      <w:rFonts w:ascii="Arial" w:eastAsia="Times New Roman" w:hAnsi="Arial" w:cs="Times New Roman"/>
      <w:sz w:val="20"/>
      <w:szCs w:val="20"/>
      <w:lang w:val="de-CH" w:eastAsia="de-CH"/>
    </w:rPr>
  </w:style>
  <w:style w:type="paragraph" w:customStyle="1" w:styleId="2nagwek2">
    <w:name w:val="2_nagłówek_2"/>
    <w:basedOn w:val="Nagwek2"/>
    <w:link w:val="2nagwek2Znak"/>
    <w:qFormat/>
    <w:rsid w:val="00F1362D"/>
    <w:pPr>
      <w:keepNext w:val="0"/>
      <w:keepLines w:val="0"/>
      <w:numPr>
        <w:ilvl w:val="1"/>
      </w:numPr>
      <w:shd w:val="clear" w:color="auto" w:fill="FFFFFF"/>
      <w:tabs>
        <w:tab w:val="left" w:pos="552"/>
        <w:tab w:val="left" w:leader="dot" w:pos="8669"/>
      </w:tabs>
      <w:spacing w:before="240" w:line="240" w:lineRule="auto"/>
      <w:ind w:left="2701" w:hanging="432"/>
    </w:pPr>
    <w:rPr>
      <w:rFonts w:eastAsia="Times New Roman" w:cs="Times New Roman"/>
      <w:bCs/>
      <w:sz w:val="20"/>
      <w:szCs w:val="20"/>
      <w:lang w:val="it-IT" w:eastAsia="it-IT"/>
    </w:rPr>
  </w:style>
  <w:style w:type="character" w:customStyle="1" w:styleId="2nagwek2Znak">
    <w:name w:val="2_nagłówek_2 Znak"/>
    <w:link w:val="2nagwek2"/>
    <w:rsid w:val="00F1362D"/>
    <w:rPr>
      <w:rFonts w:ascii="Arial" w:eastAsia="Times New Roman" w:hAnsi="Arial" w:cs="Times New Roman"/>
      <w:bCs/>
      <w:sz w:val="20"/>
      <w:szCs w:val="20"/>
      <w:shd w:val="clear" w:color="auto" w:fill="FFFFFF"/>
      <w:lang w:val="it-IT" w:eastAsia="it-IT"/>
    </w:rPr>
  </w:style>
  <w:style w:type="paragraph" w:customStyle="1" w:styleId="PODPIS">
    <w:name w:val="PODPIS"/>
    <w:basedOn w:val="Normalny"/>
    <w:rsid w:val="00F1362D"/>
    <w:pPr>
      <w:spacing w:after="120" w:line="240" w:lineRule="auto"/>
      <w:ind w:left="1418" w:hanging="1418"/>
    </w:pPr>
    <w:rPr>
      <w:rFonts w:eastAsia="Times New Roman" w:cs="Times New Roman"/>
      <w:b/>
      <w:i/>
      <w:sz w:val="20"/>
      <w:szCs w:val="24"/>
      <w:lang w:eastAsia="pl-PL"/>
    </w:rPr>
  </w:style>
  <w:style w:type="character" w:customStyle="1" w:styleId="TabelaZwykydolewej">
    <w:name w:val="Tabela: Zwykły do lewej"/>
    <w:rsid w:val="00F1362D"/>
    <w:rPr>
      <w:rFonts w:ascii="Arial Narrow" w:hAnsi="Arial Narrow"/>
      <w:sz w:val="18"/>
    </w:rPr>
  </w:style>
  <w:style w:type="paragraph" w:customStyle="1" w:styleId="Corpodeltesto21">
    <w:name w:val="Corpo del testo 21"/>
    <w:basedOn w:val="Normalny"/>
    <w:rsid w:val="00F1362D"/>
    <w:pPr>
      <w:spacing w:before="120" w:after="120" w:line="360" w:lineRule="auto"/>
      <w:ind w:left="851"/>
      <w:jc w:val="both"/>
    </w:pPr>
    <w:rPr>
      <w:rFonts w:ascii="Times New Roman" w:eastAsia="Times New Roman" w:hAnsi="Times New Roman" w:cs="Times New Roman"/>
      <w:szCs w:val="20"/>
      <w:lang w:val="it-IT" w:eastAsia="it-IT"/>
    </w:rPr>
  </w:style>
  <w:style w:type="paragraph" w:customStyle="1" w:styleId="Stile2">
    <w:name w:val="Stile2"/>
    <w:basedOn w:val="Normalny"/>
    <w:rsid w:val="00F1362D"/>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Cs w:val="20"/>
      <w:lang w:val="it-IT" w:eastAsia="it-IT"/>
    </w:rPr>
  </w:style>
  <w:style w:type="character" w:customStyle="1" w:styleId="Bodytext15">
    <w:name w:val="Body text (15)_"/>
    <w:link w:val="Bodytext150"/>
    <w:uiPriority w:val="99"/>
    <w:rsid w:val="00F1362D"/>
    <w:rPr>
      <w:sz w:val="19"/>
      <w:szCs w:val="19"/>
      <w:shd w:val="clear" w:color="auto" w:fill="FFFFFF"/>
    </w:rPr>
  </w:style>
  <w:style w:type="paragraph" w:customStyle="1" w:styleId="Bodytext150">
    <w:name w:val="Body text (15)"/>
    <w:basedOn w:val="Normalny"/>
    <w:link w:val="Bodytext15"/>
    <w:uiPriority w:val="99"/>
    <w:rsid w:val="00F1362D"/>
    <w:pPr>
      <w:shd w:val="clear" w:color="auto" w:fill="FFFFFF"/>
      <w:spacing w:after="0" w:line="230" w:lineRule="exact"/>
      <w:ind w:hanging="560"/>
    </w:pPr>
    <w:rPr>
      <w:rFonts w:asciiTheme="minorHAnsi" w:hAnsiTheme="minorHAnsi"/>
      <w:sz w:val="19"/>
      <w:szCs w:val="19"/>
    </w:rPr>
  </w:style>
  <w:style w:type="character" w:customStyle="1" w:styleId="BodytextBold43">
    <w:name w:val="Body text + Bold43"/>
    <w:uiPriority w:val="99"/>
    <w:rsid w:val="00F1362D"/>
    <w:rPr>
      <w:rFonts w:ascii="Arial" w:hAnsi="Arial" w:cs="Arial"/>
      <w:b/>
      <w:bCs/>
      <w:spacing w:val="0"/>
      <w:sz w:val="18"/>
      <w:szCs w:val="18"/>
    </w:rPr>
  </w:style>
  <w:style w:type="character" w:customStyle="1" w:styleId="BodytextBold41">
    <w:name w:val="Body text + Bold41"/>
    <w:uiPriority w:val="99"/>
    <w:rsid w:val="00F1362D"/>
    <w:rPr>
      <w:rFonts w:ascii="Arial" w:hAnsi="Arial" w:cs="Arial"/>
      <w:b/>
      <w:bCs/>
      <w:spacing w:val="0"/>
      <w:sz w:val="18"/>
      <w:szCs w:val="18"/>
    </w:rPr>
  </w:style>
  <w:style w:type="character" w:customStyle="1" w:styleId="BodytextBold15">
    <w:name w:val="Body text + Bold15"/>
    <w:uiPriority w:val="99"/>
    <w:rsid w:val="00F1362D"/>
    <w:rPr>
      <w:rFonts w:ascii="Times New Roman" w:hAnsi="Times New Roman" w:cs="Times New Roman"/>
      <w:b/>
      <w:bCs/>
      <w:spacing w:val="0"/>
      <w:sz w:val="21"/>
      <w:szCs w:val="21"/>
    </w:rPr>
  </w:style>
  <w:style w:type="paragraph" w:customStyle="1" w:styleId="PZI-PKT1">
    <w:name w:val="PZI-PKT1"/>
    <w:basedOn w:val="Normalny"/>
    <w:link w:val="PZI-PKT1Znak"/>
    <w:autoRedefine/>
    <w:qFormat/>
    <w:rsid w:val="00F1362D"/>
    <w:pPr>
      <w:widowControl w:val="0"/>
      <w:spacing w:after="0" w:line="276" w:lineRule="auto"/>
      <w:jc w:val="both"/>
    </w:pPr>
    <w:rPr>
      <w:rFonts w:eastAsia="Calibri" w:cs="Arial"/>
      <w:snapToGrid w:val="0"/>
      <w:szCs w:val="24"/>
      <w:lang w:eastAsia="pl-PL"/>
    </w:rPr>
  </w:style>
  <w:style w:type="paragraph" w:customStyle="1" w:styleId="PZI-PKT2">
    <w:name w:val="PZI-PKT2"/>
    <w:basedOn w:val="PZI-PKT1"/>
    <w:link w:val="PZI-PKT2Znak"/>
    <w:autoRedefine/>
    <w:qFormat/>
    <w:rsid w:val="00F1362D"/>
    <w:pPr>
      <w:tabs>
        <w:tab w:val="left" w:pos="567"/>
      </w:tabs>
    </w:pPr>
  </w:style>
  <w:style w:type="character" w:customStyle="1" w:styleId="PZI-PKT1Znak">
    <w:name w:val="PZI-PKT1 Znak"/>
    <w:link w:val="PZI-PKT1"/>
    <w:rsid w:val="00F1362D"/>
    <w:rPr>
      <w:rFonts w:ascii="Arial" w:eastAsia="Calibri" w:hAnsi="Arial" w:cs="Arial"/>
      <w:snapToGrid w:val="0"/>
      <w:sz w:val="24"/>
      <w:szCs w:val="24"/>
      <w:lang w:eastAsia="pl-PL"/>
    </w:rPr>
  </w:style>
  <w:style w:type="character" w:customStyle="1" w:styleId="PZI-PKT2Znak">
    <w:name w:val="PZI-PKT2 Znak"/>
    <w:link w:val="PZI-PKT2"/>
    <w:rsid w:val="00F1362D"/>
    <w:rPr>
      <w:rFonts w:ascii="Arial" w:eastAsia="Calibri" w:hAnsi="Arial" w:cs="Arial"/>
      <w:snapToGrid w:val="0"/>
      <w:sz w:val="24"/>
      <w:szCs w:val="24"/>
      <w:lang w:eastAsia="pl-PL"/>
    </w:rPr>
  </w:style>
  <w:style w:type="paragraph" w:customStyle="1" w:styleId="PZI-WIERNAG">
    <w:name w:val="PZI-WIER_NAG"/>
    <w:basedOn w:val="Normalny"/>
    <w:link w:val="PZI-WIERNAGZnak"/>
    <w:autoRedefine/>
    <w:qFormat/>
    <w:rsid w:val="00F1362D"/>
    <w:pPr>
      <w:spacing w:after="0" w:line="276" w:lineRule="auto"/>
      <w:jc w:val="center"/>
    </w:pPr>
    <w:rPr>
      <w:rFonts w:eastAsia="Times New Roman" w:cs="Arial"/>
      <w:szCs w:val="24"/>
      <w:lang w:eastAsia="pl-PL"/>
    </w:rPr>
  </w:style>
  <w:style w:type="character" w:customStyle="1" w:styleId="PZI-WIERNAGZnak">
    <w:name w:val="PZI-WIER_NAG Znak"/>
    <w:link w:val="PZI-WIERNAG"/>
    <w:rsid w:val="00F1362D"/>
    <w:rPr>
      <w:rFonts w:ascii="Arial" w:eastAsia="Times New Roman" w:hAnsi="Arial" w:cs="Arial"/>
      <w:sz w:val="24"/>
      <w:szCs w:val="24"/>
      <w:lang w:eastAsia="pl-PL"/>
    </w:rPr>
  </w:style>
  <w:style w:type="paragraph" w:customStyle="1" w:styleId="TNAGWEK">
    <w:name w:val="T: NAGŁÓWEK"/>
    <w:basedOn w:val="Normalny"/>
    <w:link w:val="TNAGWEKZnak"/>
    <w:autoRedefine/>
    <w:qFormat/>
    <w:rsid w:val="00F1362D"/>
    <w:pPr>
      <w:spacing w:after="0" w:line="240" w:lineRule="auto"/>
      <w:ind w:left="30"/>
      <w:jc w:val="center"/>
    </w:pPr>
    <w:rPr>
      <w:rFonts w:ascii="Calibri" w:eastAsia="Arial Unicode MS" w:hAnsi="Calibri" w:cs="Times New Roman"/>
      <w:b/>
      <w:sz w:val="20"/>
    </w:rPr>
  </w:style>
  <w:style w:type="character" w:customStyle="1" w:styleId="TNAGWEKZnak">
    <w:name w:val="T: NAGŁÓWEK Znak"/>
    <w:link w:val="TNAGWEK"/>
    <w:rsid w:val="00F1362D"/>
    <w:rPr>
      <w:rFonts w:ascii="Calibri" w:eastAsia="Arial Unicode MS" w:hAnsi="Calibri" w:cs="Times New Roman"/>
      <w:b/>
      <w:sz w:val="20"/>
    </w:rPr>
  </w:style>
  <w:style w:type="paragraph" w:customStyle="1" w:styleId="PZI-TABNAG">
    <w:name w:val="PZI-TAB_NAG"/>
    <w:basedOn w:val="Normalny"/>
    <w:link w:val="PZI-TABNAGZnak"/>
    <w:autoRedefine/>
    <w:qFormat/>
    <w:rsid w:val="00F1362D"/>
    <w:pPr>
      <w:widowControl w:val="0"/>
      <w:adjustRightInd w:val="0"/>
      <w:spacing w:before="120" w:after="120" w:line="360" w:lineRule="atLeast"/>
      <w:jc w:val="center"/>
      <w:textAlignment w:val="baseline"/>
    </w:pPr>
    <w:rPr>
      <w:rFonts w:eastAsia="Times New Roman" w:cs="Arial"/>
      <w:b/>
      <w:sz w:val="20"/>
      <w:szCs w:val="20"/>
      <w:lang w:eastAsia="pl-PL"/>
    </w:rPr>
  </w:style>
  <w:style w:type="character" w:customStyle="1" w:styleId="PZI-TABNAGZnak">
    <w:name w:val="PZI-TAB_NAG Znak"/>
    <w:link w:val="PZI-TABNAG"/>
    <w:rsid w:val="00F1362D"/>
    <w:rPr>
      <w:rFonts w:ascii="Arial" w:eastAsia="Times New Roman" w:hAnsi="Arial" w:cs="Arial"/>
      <w:b/>
      <w:sz w:val="20"/>
      <w:szCs w:val="20"/>
      <w:lang w:eastAsia="pl-PL"/>
    </w:rPr>
  </w:style>
  <w:style w:type="paragraph" w:customStyle="1" w:styleId="PZI-PKTLICZBA">
    <w:name w:val="PZI-PKT.LICZBA"/>
    <w:basedOn w:val="Normalny"/>
    <w:next w:val="Normalny"/>
    <w:link w:val="PZI-PKTLICZBAZnak"/>
    <w:autoRedefine/>
    <w:qFormat/>
    <w:rsid w:val="00F1362D"/>
    <w:pPr>
      <w:numPr>
        <w:numId w:val="27"/>
      </w:numPr>
      <w:spacing w:before="120" w:after="120" w:line="240" w:lineRule="auto"/>
      <w:ind w:left="340" w:hanging="340"/>
      <w:jc w:val="both"/>
    </w:pPr>
    <w:rPr>
      <w:rFonts w:ascii="Calibri" w:eastAsia="Calibri" w:hAnsi="Calibri" w:cs="Times New Roman"/>
      <w:sz w:val="22"/>
      <w:lang w:eastAsia="pl-PL"/>
    </w:rPr>
  </w:style>
  <w:style w:type="character" w:customStyle="1" w:styleId="PZI-PKTLICZBAZnak">
    <w:name w:val="PZI-PKT.LICZBA Znak"/>
    <w:link w:val="PZI-PKTLICZBA"/>
    <w:rsid w:val="00F1362D"/>
    <w:rPr>
      <w:rFonts w:ascii="Calibri" w:eastAsia="Calibri" w:hAnsi="Calibri" w:cs="Times New Roman"/>
      <w:lang w:eastAsia="pl-PL"/>
    </w:rPr>
  </w:style>
  <w:style w:type="paragraph" w:customStyle="1" w:styleId="PZI-PODTAB">
    <w:name w:val="PZI-POD_TAB"/>
    <w:basedOn w:val="Normalny"/>
    <w:link w:val="PZI-PODTABZnak"/>
    <w:autoRedefine/>
    <w:qFormat/>
    <w:rsid w:val="00F1362D"/>
    <w:pPr>
      <w:keepNext/>
      <w:spacing w:before="120" w:after="0" w:line="240" w:lineRule="auto"/>
      <w:jc w:val="both"/>
    </w:pPr>
    <w:rPr>
      <w:rFonts w:ascii="Calibri" w:eastAsia="Times New Roman" w:hAnsi="Calibri" w:cs="Times New Roman"/>
      <w:b/>
      <w:bCs/>
      <w:sz w:val="22"/>
      <w:szCs w:val="20"/>
      <w:lang w:eastAsia="pl-PL"/>
    </w:rPr>
  </w:style>
  <w:style w:type="character" w:customStyle="1" w:styleId="PZI-PODTABZnak">
    <w:name w:val="PZI-POD_TAB Znak"/>
    <w:link w:val="PZI-PODTAB"/>
    <w:rsid w:val="00F1362D"/>
    <w:rPr>
      <w:rFonts w:ascii="Calibri" w:eastAsia="Times New Roman" w:hAnsi="Calibri" w:cs="Times New Roman"/>
      <w:b/>
      <w:bCs/>
      <w:szCs w:val="20"/>
      <w:lang w:eastAsia="pl-PL"/>
    </w:rPr>
  </w:style>
  <w:style w:type="paragraph" w:customStyle="1" w:styleId="PZI-PKT3">
    <w:name w:val="PZI-PKT3"/>
    <w:basedOn w:val="PZI-PKT2"/>
    <w:link w:val="PZI-PKT3Znak"/>
    <w:autoRedefine/>
    <w:qFormat/>
    <w:rsid w:val="00F1362D"/>
    <w:pPr>
      <w:numPr>
        <w:numId w:val="28"/>
      </w:numPr>
      <w:tabs>
        <w:tab w:val="clear" w:pos="567"/>
        <w:tab w:val="left" w:pos="1560"/>
      </w:tabs>
      <w:ind w:left="1418" w:hanging="284"/>
      <w:contextualSpacing/>
    </w:pPr>
    <w:rPr>
      <w:snapToGrid/>
      <w:sz w:val="20"/>
      <w:szCs w:val="20"/>
    </w:rPr>
  </w:style>
  <w:style w:type="character" w:customStyle="1" w:styleId="PZI-PKT3Znak">
    <w:name w:val="PZI-PKT3 Znak"/>
    <w:link w:val="PZI-PKT3"/>
    <w:rsid w:val="00F1362D"/>
    <w:rPr>
      <w:rFonts w:ascii="Arial" w:eastAsia="Calibri" w:hAnsi="Arial" w:cs="Arial"/>
      <w:sz w:val="20"/>
      <w:szCs w:val="20"/>
      <w:lang w:eastAsia="pl-PL"/>
    </w:rPr>
  </w:style>
  <w:style w:type="paragraph" w:customStyle="1" w:styleId="punkty">
    <w:name w:val="punkty"/>
    <w:basedOn w:val="Normalny"/>
    <w:rsid w:val="00F1362D"/>
    <w:pPr>
      <w:numPr>
        <w:numId w:val="29"/>
      </w:numPr>
      <w:tabs>
        <w:tab w:val="num" w:pos="1440"/>
      </w:tabs>
      <w:spacing w:before="120" w:after="0" w:line="276" w:lineRule="auto"/>
      <w:ind w:left="0" w:firstLine="0"/>
      <w:contextualSpacing/>
      <w:jc w:val="both"/>
    </w:pPr>
    <w:rPr>
      <w:rFonts w:ascii="Calibri" w:eastAsia="Times New Roman" w:hAnsi="Calibri" w:cs="Arial"/>
      <w:sz w:val="20"/>
      <w:szCs w:val="20"/>
      <w:lang w:eastAsia="pl-PL"/>
    </w:rPr>
  </w:style>
  <w:style w:type="numbering" w:customStyle="1" w:styleId="Bezlisty41">
    <w:name w:val="Bez listy41"/>
    <w:next w:val="Bezlisty"/>
    <w:uiPriority w:val="99"/>
    <w:semiHidden/>
    <w:unhideWhenUsed/>
    <w:rsid w:val="00F1362D"/>
  </w:style>
  <w:style w:type="paragraph" w:customStyle="1" w:styleId="pochylonytekst">
    <w:name w:val="pochylony tekst"/>
    <w:basedOn w:val="Tekstpodstawowy"/>
    <w:rsid w:val="00F1362D"/>
    <w:pPr>
      <w:tabs>
        <w:tab w:val="left" w:pos="567"/>
      </w:tabs>
      <w:spacing w:before="60" w:after="120" w:line="276" w:lineRule="auto"/>
      <w:ind w:left="567"/>
      <w:contextualSpacing/>
    </w:pPr>
    <w:rPr>
      <w:rFonts w:ascii="Calibri" w:hAnsi="Calibri"/>
      <w:i/>
      <w:sz w:val="20"/>
    </w:rPr>
  </w:style>
  <w:style w:type="paragraph" w:customStyle="1" w:styleId="PZI-STOPKA">
    <w:name w:val="PZI-STOPKA"/>
    <w:basedOn w:val="Normalny"/>
    <w:link w:val="PZI-STOPKAZnak"/>
    <w:autoRedefine/>
    <w:qFormat/>
    <w:rsid w:val="00F1362D"/>
    <w:pPr>
      <w:pBdr>
        <w:top w:val="single" w:sz="6" w:space="1" w:color="auto"/>
      </w:pBdr>
      <w:tabs>
        <w:tab w:val="center" w:pos="4536"/>
        <w:tab w:val="right" w:pos="9072"/>
      </w:tabs>
      <w:spacing w:before="120" w:after="120" w:line="276" w:lineRule="auto"/>
      <w:ind w:right="360"/>
      <w:contextualSpacing/>
      <w:jc w:val="center"/>
    </w:pPr>
    <w:rPr>
      <w:rFonts w:ascii="Times New Roman" w:eastAsia="Times New Roman" w:hAnsi="Times New Roman" w:cs="Arial"/>
      <w:i/>
      <w:szCs w:val="24"/>
      <w:lang w:eastAsia="pl-PL"/>
    </w:rPr>
  </w:style>
  <w:style w:type="character" w:customStyle="1" w:styleId="PZI-STOPKAZnak">
    <w:name w:val="PZI-STOPKA Znak"/>
    <w:link w:val="PZI-STOPKA"/>
    <w:rsid w:val="00F1362D"/>
    <w:rPr>
      <w:rFonts w:ascii="Times New Roman" w:eastAsia="Times New Roman" w:hAnsi="Times New Roman" w:cs="Arial"/>
      <w:i/>
      <w:sz w:val="24"/>
      <w:szCs w:val="24"/>
      <w:lang w:eastAsia="pl-PL"/>
    </w:rPr>
  </w:style>
  <w:style w:type="paragraph" w:customStyle="1" w:styleId="Nagwekwykazurde1">
    <w:name w:val="Nagłówek wykazu źródeł1"/>
    <w:basedOn w:val="Normalny"/>
    <w:next w:val="Normalny"/>
    <w:uiPriority w:val="99"/>
    <w:semiHidden/>
    <w:unhideWhenUsed/>
    <w:rsid w:val="00F1362D"/>
    <w:pPr>
      <w:spacing w:before="120" w:after="0" w:line="276" w:lineRule="auto"/>
      <w:contextualSpacing/>
      <w:jc w:val="both"/>
    </w:pPr>
    <w:rPr>
      <w:rFonts w:eastAsia="Times New Roman" w:cs="Times New Roman"/>
      <w:b/>
      <w:bCs/>
      <w:sz w:val="20"/>
      <w:szCs w:val="24"/>
      <w:lang w:eastAsia="pl-PL"/>
    </w:rPr>
  </w:style>
  <w:style w:type="paragraph" w:customStyle="1" w:styleId="PZI-PODRYS">
    <w:name w:val="PZI-POD_RYS"/>
    <w:basedOn w:val="Normalny"/>
    <w:next w:val="Normalny"/>
    <w:link w:val="PZI-PODRYSZnak"/>
    <w:autoRedefine/>
    <w:qFormat/>
    <w:rsid w:val="00F1362D"/>
    <w:pPr>
      <w:tabs>
        <w:tab w:val="left" w:pos="1418"/>
      </w:tabs>
      <w:spacing w:before="40" w:after="240" w:line="276" w:lineRule="auto"/>
      <w:contextualSpacing/>
      <w:jc w:val="both"/>
    </w:pPr>
    <w:rPr>
      <w:rFonts w:eastAsia="Times New Roman" w:cs="Arial"/>
      <w:b/>
      <w:bCs/>
      <w:sz w:val="18"/>
      <w:szCs w:val="18"/>
      <w:lang w:eastAsia="pl-PL"/>
    </w:rPr>
  </w:style>
  <w:style w:type="character" w:customStyle="1" w:styleId="PZI-PODRYSZnak">
    <w:name w:val="PZI-POD_RYS Znak"/>
    <w:link w:val="PZI-PODRYS"/>
    <w:rsid w:val="00F1362D"/>
    <w:rPr>
      <w:rFonts w:ascii="Arial" w:eastAsia="Times New Roman" w:hAnsi="Arial" w:cs="Arial"/>
      <w:b/>
      <w:bCs/>
      <w:sz w:val="18"/>
      <w:szCs w:val="18"/>
      <w:lang w:eastAsia="pl-PL"/>
    </w:rPr>
  </w:style>
  <w:style w:type="paragraph" w:customStyle="1" w:styleId="PZI-RYSUNEK">
    <w:name w:val="PZI-RYSUNEK"/>
    <w:basedOn w:val="Normalny"/>
    <w:next w:val="Normalny"/>
    <w:link w:val="PZI-RYSUNEKZnak"/>
    <w:autoRedefine/>
    <w:qFormat/>
    <w:rsid w:val="00F1362D"/>
    <w:pPr>
      <w:keepNext/>
      <w:keepLines/>
      <w:spacing w:after="0" w:line="276" w:lineRule="auto"/>
      <w:contextualSpacing/>
      <w:jc w:val="center"/>
    </w:pPr>
    <w:rPr>
      <w:rFonts w:eastAsia="Times New Roman" w:cs="Arial"/>
      <w:noProof/>
      <w:sz w:val="20"/>
      <w:szCs w:val="20"/>
      <w:lang w:eastAsia="pl-PL"/>
    </w:rPr>
  </w:style>
  <w:style w:type="character" w:customStyle="1" w:styleId="PZI-RYSUNEKZnak">
    <w:name w:val="PZI-RYSUNEK Znak"/>
    <w:link w:val="PZI-RYSUNEK"/>
    <w:rsid w:val="00F1362D"/>
    <w:rPr>
      <w:rFonts w:ascii="Arial" w:eastAsia="Times New Roman" w:hAnsi="Arial" w:cs="Arial"/>
      <w:noProof/>
      <w:sz w:val="20"/>
      <w:szCs w:val="20"/>
      <w:lang w:eastAsia="pl-PL"/>
    </w:rPr>
  </w:style>
  <w:style w:type="character" w:customStyle="1" w:styleId="FontStyle183">
    <w:name w:val="Font Style183"/>
    <w:uiPriority w:val="99"/>
    <w:rsid w:val="00F1362D"/>
    <w:rPr>
      <w:rFonts w:ascii="Arial" w:hAnsi="Arial" w:cs="Arial"/>
      <w:sz w:val="22"/>
      <w:szCs w:val="22"/>
    </w:rPr>
  </w:style>
  <w:style w:type="paragraph" w:customStyle="1" w:styleId="tekstnagwka">
    <w:name w:val="tekst nagłówka"/>
    <w:basedOn w:val="Normalny"/>
    <w:link w:val="tekstnagwkaZnak"/>
    <w:qFormat/>
    <w:rsid w:val="00F1362D"/>
    <w:pPr>
      <w:spacing w:before="120" w:after="120" w:line="276" w:lineRule="auto"/>
      <w:contextualSpacing/>
      <w:jc w:val="center"/>
    </w:pPr>
    <w:rPr>
      <w:rFonts w:ascii="Calibri" w:eastAsia="Times New Roman" w:hAnsi="Calibri" w:cs="Arial"/>
      <w:b/>
      <w:sz w:val="20"/>
      <w:szCs w:val="20"/>
      <w:lang w:eastAsia="pl-PL"/>
    </w:rPr>
  </w:style>
  <w:style w:type="character" w:customStyle="1" w:styleId="tekstnagwkaZnak">
    <w:name w:val="tekst nagłówka Znak"/>
    <w:link w:val="tekstnagwka"/>
    <w:rsid w:val="00F1362D"/>
    <w:rPr>
      <w:rFonts w:ascii="Calibri" w:eastAsia="Times New Roman" w:hAnsi="Calibri" w:cs="Arial"/>
      <w:b/>
      <w:sz w:val="20"/>
      <w:szCs w:val="20"/>
      <w:lang w:eastAsia="pl-PL"/>
    </w:rPr>
  </w:style>
  <w:style w:type="paragraph" w:customStyle="1" w:styleId="punktorpoziom1">
    <w:name w:val="punktor poziom 1"/>
    <w:basedOn w:val="Normalny"/>
    <w:link w:val="punktorpoziom1Znak"/>
    <w:qFormat/>
    <w:rsid w:val="00F1362D"/>
    <w:pPr>
      <w:widowControl w:val="0"/>
      <w:spacing w:after="120" w:line="276" w:lineRule="auto"/>
      <w:ind w:left="360" w:hanging="360"/>
      <w:contextualSpacing/>
      <w:jc w:val="both"/>
    </w:pPr>
    <w:rPr>
      <w:rFonts w:eastAsia="Times New Roman" w:cs="Arial"/>
      <w:snapToGrid w:val="0"/>
      <w:sz w:val="20"/>
      <w:szCs w:val="20"/>
      <w:lang w:eastAsia="pl-PL"/>
    </w:rPr>
  </w:style>
  <w:style w:type="character" w:customStyle="1" w:styleId="punktorpoziom1Znak">
    <w:name w:val="punktor poziom 1 Znak"/>
    <w:link w:val="punktorpoziom1"/>
    <w:rsid w:val="00F1362D"/>
    <w:rPr>
      <w:rFonts w:ascii="Arial" w:eastAsia="Times New Roman" w:hAnsi="Arial" w:cs="Arial"/>
      <w:snapToGrid w:val="0"/>
      <w:sz w:val="20"/>
      <w:szCs w:val="20"/>
      <w:lang w:eastAsia="pl-PL"/>
    </w:rPr>
  </w:style>
  <w:style w:type="paragraph" w:customStyle="1" w:styleId="punktorpoziom2">
    <w:name w:val="punktor poziom 2"/>
    <w:basedOn w:val="punktorpoziom1"/>
    <w:link w:val="punktorpoziom2Znak"/>
    <w:qFormat/>
    <w:rsid w:val="00F1362D"/>
    <w:pPr>
      <w:ind w:left="1080"/>
    </w:pPr>
  </w:style>
  <w:style w:type="character" w:customStyle="1" w:styleId="st1">
    <w:name w:val="st1"/>
    <w:basedOn w:val="Domylnaczcionkaakapitu"/>
    <w:rsid w:val="00F1362D"/>
  </w:style>
  <w:style w:type="character" w:customStyle="1" w:styleId="NaglowekEW3Znak">
    <w:name w:val="Naglowek EW3 Znak"/>
    <w:rsid w:val="00F1362D"/>
    <w:rPr>
      <w:rFonts w:ascii="Trebuchet MS" w:eastAsia="Times New Roman" w:hAnsi="Trebuchet MS" w:cs="Tahoma"/>
      <w:b/>
      <w:i/>
      <w:noProof/>
      <w:color w:val="365F91"/>
      <w:sz w:val="24"/>
      <w:szCs w:val="32"/>
      <w:lang w:val="pl-PL" w:eastAsia="pl-PL" w:bidi="ar-SA"/>
    </w:rPr>
  </w:style>
  <w:style w:type="paragraph" w:customStyle="1" w:styleId="PZI-PRZDOL">
    <w:name w:val="PZI-PRZ_DOL"/>
    <w:basedOn w:val="Tekstprzypisudolnego"/>
    <w:link w:val="PZI-PRZDOLZnak"/>
    <w:autoRedefine/>
    <w:qFormat/>
    <w:rsid w:val="00F1362D"/>
    <w:pPr>
      <w:widowControl w:val="0"/>
      <w:spacing w:before="0" w:line="276" w:lineRule="auto"/>
      <w:contextualSpacing/>
      <w:jc w:val="both"/>
    </w:pPr>
    <w:rPr>
      <w:rFonts w:cs="Arial"/>
      <w:color w:val="000000"/>
      <w:kern w:val="0"/>
      <w:sz w:val="16"/>
      <w:szCs w:val="16"/>
    </w:rPr>
  </w:style>
  <w:style w:type="character" w:customStyle="1" w:styleId="PZI-PRZDOLZnak">
    <w:name w:val="PZI-PRZ_DOL Znak"/>
    <w:link w:val="PZI-PRZDOL"/>
    <w:rsid w:val="00F1362D"/>
    <w:rPr>
      <w:rFonts w:ascii="Arial" w:eastAsia="Times New Roman" w:hAnsi="Arial" w:cs="Arial"/>
      <w:color w:val="000000"/>
      <w:sz w:val="16"/>
      <w:szCs w:val="16"/>
      <w:lang w:eastAsia="pl-PL"/>
    </w:rPr>
  </w:style>
  <w:style w:type="paragraph" w:customStyle="1" w:styleId="PZI-NAG4">
    <w:name w:val="PZI-NAG4"/>
    <w:basedOn w:val="Nagwek4"/>
    <w:link w:val="PZI-NAG4Znak"/>
    <w:autoRedefine/>
    <w:rsid w:val="00F1362D"/>
    <w:pPr>
      <w:keepLines/>
      <w:spacing w:after="240" w:line="276" w:lineRule="auto"/>
      <w:contextualSpacing/>
      <w:jc w:val="both"/>
    </w:pPr>
    <w:rPr>
      <w:rFonts w:ascii="Arial" w:hAnsi="Arial" w:cs="Arial"/>
      <w:bCs w:val="0"/>
      <w:color w:val="013764"/>
      <w:sz w:val="20"/>
      <w:szCs w:val="20"/>
      <w:lang w:val="pl-PL" w:eastAsia="pl-PL"/>
    </w:rPr>
  </w:style>
  <w:style w:type="character" w:customStyle="1" w:styleId="PZI-NAG4Znak">
    <w:name w:val="PZI-NAG4 Znak"/>
    <w:link w:val="PZI-NAG4"/>
    <w:rsid w:val="00F1362D"/>
    <w:rPr>
      <w:rFonts w:ascii="Arial" w:eastAsia="Times New Roman" w:hAnsi="Arial" w:cs="Arial"/>
      <w:b/>
      <w:color w:val="013764"/>
      <w:sz w:val="20"/>
      <w:szCs w:val="20"/>
      <w:lang w:eastAsia="pl-PL"/>
    </w:rPr>
  </w:style>
  <w:style w:type="paragraph" w:customStyle="1" w:styleId="PZI-PKTLITERA">
    <w:name w:val="PZI-PKT.LITERA"/>
    <w:basedOn w:val="PZI-PKTLICZBA"/>
    <w:next w:val="PZI-PKT1"/>
    <w:link w:val="PZI-PKTLITERAZnak"/>
    <w:autoRedefine/>
    <w:qFormat/>
    <w:rsid w:val="00F1362D"/>
    <w:pPr>
      <w:numPr>
        <w:numId w:val="31"/>
      </w:numPr>
      <w:spacing w:line="276" w:lineRule="auto"/>
      <w:ind w:left="641" w:hanging="357"/>
      <w:contextualSpacing/>
    </w:pPr>
    <w:rPr>
      <w:rFonts w:ascii="Arial" w:hAnsi="Arial" w:cs="Arial"/>
      <w:sz w:val="20"/>
      <w:szCs w:val="20"/>
    </w:rPr>
  </w:style>
  <w:style w:type="paragraph" w:customStyle="1" w:styleId="PZI-PKT4">
    <w:name w:val="PZI-PKT4"/>
    <w:basedOn w:val="PZI-PKT3"/>
    <w:link w:val="PZI-PKT4Znak"/>
    <w:autoRedefine/>
    <w:qFormat/>
    <w:rsid w:val="00F1362D"/>
    <w:pPr>
      <w:numPr>
        <w:numId w:val="32"/>
      </w:numPr>
      <w:ind w:left="1985" w:hanging="284"/>
    </w:pPr>
  </w:style>
  <w:style w:type="character" w:customStyle="1" w:styleId="PZI-PKTLITERAZnak">
    <w:name w:val="PZI-PKT.LITERA Znak"/>
    <w:link w:val="PZI-PKTLITERA"/>
    <w:rsid w:val="00F1362D"/>
    <w:rPr>
      <w:rFonts w:ascii="Arial" w:eastAsia="Calibri" w:hAnsi="Arial" w:cs="Arial"/>
      <w:sz w:val="20"/>
      <w:szCs w:val="20"/>
      <w:lang w:eastAsia="pl-PL"/>
    </w:rPr>
  </w:style>
  <w:style w:type="character" w:customStyle="1" w:styleId="PZI-PKT4Znak">
    <w:name w:val="PZI-PKT4 Znak"/>
    <w:link w:val="PZI-PKT4"/>
    <w:rsid w:val="00F1362D"/>
    <w:rPr>
      <w:rFonts w:ascii="Arial" w:eastAsia="Calibri" w:hAnsi="Arial" w:cs="Arial"/>
      <w:sz w:val="20"/>
      <w:szCs w:val="20"/>
      <w:lang w:eastAsia="pl-PL"/>
    </w:rPr>
  </w:style>
  <w:style w:type="paragraph" w:customStyle="1" w:styleId="Tekstwierszatabeli">
    <w:name w:val="Tekst wiersza tabeli"/>
    <w:basedOn w:val="Normalny"/>
    <w:link w:val="TekstwierszatabeliZnak"/>
    <w:qFormat/>
    <w:rsid w:val="00F1362D"/>
    <w:pPr>
      <w:spacing w:before="40" w:after="40" w:line="276" w:lineRule="auto"/>
      <w:contextualSpacing/>
      <w:jc w:val="both"/>
    </w:pPr>
    <w:rPr>
      <w:rFonts w:ascii="Calibri" w:eastAsia="Times New Roman" w:hAnsi="Calibri" w:cs="Arial"/>
      <w:sz w:val="20"/>
      <w:szCs w:val="20"/>
      <w:lang w:eastAsia="pl-PL"/>
    </w:rPr>
  </w:style>
  <w:style w:type="character" w:customStyle="1" w:styleId="TekstwierszatabeliZnak">
    <w:name w:val="Tekst wiersza tabeli Znak"/>
    <w:link w:val="Tekstwierszatabeli"/>
    <w:rsid w:val="00F1362D"/>
    <w:rPr>
      <w:rFonts w:ascii="Calibri" w:eastAsia="Times New Roman" w:hAnsi="Calibri" w:cs="Arial"/>
      <w:sz w:val="20"/>
      <w:szCs w:val="20"/>
      <w:lang w:eastAsia="pl-PL"/>
    </w:rPr>
  </w:style>
  <w:style w:type="character" w:customStyle="1" w:styleId="FontStyle35">
    <w:name w:val="Font Style35"/>
    <w:uiPriority w:val="99"/>
    <w:rsid w:val="00F1362D"/>
    <w:rPr>
      <w:rFonts w:ascii="Times New Roman" w:hAnsi="Times New Roman" w:cs="Times New Roman"/>
      <w:sz w:val="22"/>
      <w:szCs w:val="22"/>
    </w:rPr>
  </w:style>
  <w:style w:type="character" w:customStyle="1" w:styleId="FontStyle44">
    <w:name w:val="Font Style44"/>
    <w:uiPriority w:val="99"/>
    <w:rsid w:val="00F1362D"/>
    <w:rPr>
      <w:rFonts w:ascii="Times New Roman" w:hAnsi="Times New Roman" w:cs="Times New Roman"/>
      <w:b/>
      <w:bCs/>
      <w:sz w:val="22"/>
      <w:szCs w:val="22"/>
    </w:rPr>
  </w:style>
  <w:style w:type="paragraph" w:customStyle="1" w:styleId="Normalny1">
    <w:name w:val="Normalny 1"/>
    <w:basedOn w:val="Normalny"/>
    <w:link w:val="Normalny1Znak"/>
    <w:qFormat/>
    <w:rsid w:val="00F1362D"/>
    <w:pPr>
      <w:spacing w:after="0" w:line="360" w:lineRule="auto"/>
      <w:contextualSpacing/>
      <w:jc w:val="both"/>
    </w:pPr>
    <w:rPr>
      <w:rFonts w:eastAsia="Times New Roman" w:cs="Arial"/>
      <w:sz w:val="20"/>
      <w:szCs w:val="20"/>
      <w:lang w:eastAsia="pl-PL"/>
    </w:rPr>
  </w:style>
  <w:style w:type="character" w:customStyle="1" w:styleId="Normalny1Znak">
    <w:name w:val="Normalny 1 Znak"/>
    <w:link w:val="Normalny1"/>
    <w:rsid w:val="00F1362D"/>
    <w:rPr>
      <w:rFonts w:ascii="Arial" w:eastAsia="Times New Roman" w:hAnsi="Arial" w:cs="Arial"/>
      <w:sz w:val="20"/>
      <w:szCs w:val="20"/>
      <w:lang w:eastAsia="pl-PL"/>
    </w:rPr>
  </w:style>
  <w:style w:type="paragraph" w:customStyle="1" w:styleId="Bodytext1">
    <w:name w:val="Body text1"/>
    <w:basedOn w:val="Normalny"/>
    <w:uiPriority w:val="99"/>
    <w:rsid w:val="00F1362D"/>
    <w:pPr>
      <w:shd w:val="clear" w:color="auto" w:fill="FFFFFF"/>
      <w:spacing w:before="60" w:after="60" w:line="414" w:lineRule="exact"/>
      <w:ind w:hanging="1140"/>
      <w:contextualSpacing/>
      <w:jc w:val="both"/>
    </w:pPr>
    <w:rPr>
      <w:rFonts w:ascii="Calibri" w:eastAsia="Calibri" w:hAnsi="Calibri" w:cs="Times New Roman"/>
      <w:sz w:val="23"/>
      <w:szCs w:val="23"/>
      <w:lang w:eastAsia="pl-PL"/>
    </w:rPr>
  </w:style>
  <w:style w:type="paragraph" w:customStyle="1" w:styleId="ECwylIrzpocztek">
    <w:name w:val="EC_wyl_Irz_początek"/>
    <w:basedOn w:val="Normalny"/>
    <w:link w:val="ECwylIrzpocztekZnak"/>
    <w:qFormat/>
    <w:rsid w:val="00F1362D"/>
    <w:pPr>
      <w:numPr>
        <w:numId w:val="30"/>
      </w:numPr>
      <w:spacing w:before="120" w:after="120" w:line="276" w:lineRule="auto"/>
      <w:ind w:right="1134"/>
      <w:contextualSpacing/>
      <w:jc w:val="both"/>
    </w:pPr>
    <w:rPr>
      <w:rFonts w:ascii="Times New Roman" w:eastAsia="Calibri" w:hAnsi="Times New Roman" w:cs="Arial"/>
      <w:color w:val="000000"/>
      <w:sz w:val="20"/>
      <w:szCs w:val="20"/>
    </w:rPr>
  </w:style>
  <w:style w:type="character" w:customStyle="1" w:styleId="punktorpoziom2Znak">
    <w:name w:val="punktor poziom 2 Znak"/>
    <w:link w:val="punktorpoziom2"/>
    <w:rsid w:val="00F1362D"/>
    <w:rPr>
      <w:rFonts w:ascii="Arial" w:eastAsia="Times New Roman" w:hAnsi="Arial" w:cs="Arial"/>
      <w:snapToGrid w:val="0"/>
      <w:sz w:val="20"/>
      <w:szCs w:val="20"/>
      <w:lang w:eastAsia="pl-PL"/>
    </w:rPr>
  </w:style>
  <w:style w:type="character" w:customStyle="1" w:styleId="FontStyle588">
    <w:name w:val="Font Style588"/>
    <w:uiPriority w:val="99"/>
    <w:rsid w:val="00F1362D"/>
    <w:rPr>
      <w:rFonts w:ascii="Arial" w:hAnsi="Arial" w:cs="Arial"/>
      <w:sz w:val="22"/>
      <w:szCs w:val="22"/>
    </w:rPr>
  </w:style>
  <w:style w:type="character" w:customStyle="1" w:styleId="chemf">
    <w:name w:val="chemf"/>
    <w:basedOn w:val="Domylnaczcionkaakapitu"/>
    <w:rsid w:val="00F1362D"/>
  </w:style>
  <w:style w:type="character" w:customStyle="1" w:styleId="FontStyle63">
    <w:name w:val="Font Style63"/>
    <w:uiPriority w:val="99"/>
    <w:rsid w:val="00F1362D"/>
    <w:rPr>
      <w:rFonts w:ascii="Arial" w:hAnsi="Arial" w:cs="Arial"/>
      <w:sz w:val="18"/>
      <w:szCs w:val="18"/>
    </w:rPr>
  </w:style>
  <w:style w:type="paragraph" w:customStyle="1" w:styleId="P1">
    <w:name w:val="P: 1"/>
    <w:basedOn w:val="Normalny"/>
    <w:link w:val="P1Znak"/>
    <w:autoRedefine/>
    <w:qFormat/>
    <w:rsid w:val="00F1362D"/>
    <w:pPr>
      <w:widowControl w:val="0"/>
      <w:numPr>
        <w:numId w:val="34"/>
      </w:numPr>
      <w:spacing w:after="120" w:line="276" w:lineRule="auto"/>
      <w:ind w:left="567" w:hanging="283"/>
      <w:contextualSpacing/>
      <w:jc w:val="both"/>
    </w:pPr>
    <w:rPr>
      <w:rFonts w:eastAsia="Times New Roman" w:cs="Arial"/>
      <w:snapToGrid w:val="0"/>
      <w:sz w:val="20"/>
      <w:szCs w:val="20"/>
      <w:lang w:eastAsia="pl-PL"/>
    </w:rPr>
  </w:style>
  <w:style w:type="character" w:customStyle="1" w:styleId="P1Znak">
    <w:name w:val="P: 1 Znak"/>
    <w:link w:val="P1"/>
    <w:rsid w:val="00F1362D"/>
    <w:rPr>
      <w:rFonts w:ascii="Arial" w:eastAsia="Times New Roman" w:hAnsi="Arial" w:cs="Arial"/>
      <w:snapToGrid w:val="0"/>
      <w:sz w:val="20"/>
      <w:szCs w:val="20"/>
      <w:lang w:eastAsia="pl-PL"/>
    </w:rPr>
  </w:style>
  <w:style w:type="paragraph" w:customStyle="1" w:styleId="TWIERSZ">
    <w:name w:val="T: WIERSZ"/>
    <w:basedOn w:val="Normalny"/>
    <w:link w:val="TWIERSZZnak"/>
    <w:autoRedefine/>
    <w:qFormat/>
    <w:rsid w:val="00F1362D"/>
    <w:pPr>
      <w:spacing w:after="0" w:line="276" w:lineRule="auto"/>
      <w:ind w:right="-142"/>
      <w:contextualSpacing/>
    </w:pPr>
    <w:rPr>
      <w:rFonts w:eastAsia="MS Mincho" w:cs="Arial"/>
      <w:sz w:val="20"/>
      <w:szCs w:val="20"/>
      <w:lang w:eastAsia="pl-PL"/>
    </w:rPr>
  </w:style>
  <w:style w:type="character" w:customStyle="1" w:styleId="TWIERSZZnak">
    <w:name w:val="T: WIERSZ Znak"/>
    <w:link w:val="TWIERSZ"/>
    <w:rsid w:val="00F1362D"/>
    <w:rPr>
      <w:rFonts w:ascii="Arial" w:eastAsia="MS Mincho" w:hAnsi="Arial" w:cs="Arial"/>
      <w:sz w:val="20"/>
      <w:szCs w:val="20"/>
      <w:lang w:eastAsia="pl-PL"/>
    </w:rPr>
  </w:style>
  <w:style w:type="paragraph" w:customStyle="1" w:styleId="1punktor">
    <w:name w:val="1 punktor"/>
    <w:basedOn w:val="Normalny"/>
    <w:qFormat/>
    <w:rsid w:val="00F1362D"/>
    <w:pPr>
      <w:widowControl w:val="0"/>
      <w:spacing w:after="120" w:line="276" w:lineRule="auto"/>
      <w:ind w:left="360" w:hanging="360"/>
      <w:contextualSpacing/>
      <w:jc w:val="both"/>
    </w:pPr>
    <w:rPr>
      <w:rFonts w:eastAsia="Times New Roman" w:cs="Arial"/>
      <w:snapToGrid w:val="0"/>
      <w:sz w:val="20"/>
      <w:szCs w:val="20"/>
      <w:lang w:eastAsia="pl-PL"/>
    </w:rPr>
  </w:style>
  <w:style w:type="paragraph" w:customStyle="1" w:styleId="pzi-pkt30">
    <w:name w:val="pzi-pkt3"/>
    <w:basedOn w:val="Normalny"/>
    <w:rsid w:val="00F1362D"/>
    <w:pPr>
      <w:snapToGrid w:val="0"/>
      <w:spacing w:before="120" w:after="120" w:line="276" w:lineRule="auto"/>
      <w:ind w:left="1854" w:hanging="360"/>
      <w:contextualSpacing/>
      <w:jc w:val="both"/>
    </w:pPr>
    <w:rPr>
      <w:rFonts w:eastAsia="Calibri" w:cs="Arial"/>
      <w:sz w:val="20"/>
      <w:szCs w:val="20"/>
      <w:lang w:eastAsia="pl-PL"/>
    </w:rPr>
  </w:style>
  <w:style w:type="paragraph" w:customStyle="1" w:styleId="P3">
    <w:name w:val="P: 3"/>
    <w:basedOn w:val="P1"/>
    <w:link w:val="P3Znak"/>
    <w:qFormat/>
    <w:rsid w:val="00F1362D"/>
    <w:pPr>
      <w:numPr>
        <w:numId w:val="33"/>
      </w:numPr>
      <w:tabs>
        <w:tab w:val="decimal" w:pos="851"/>
      </w:tabs>
      <w:spacing w:before="120"/>
      <w:ind w:left="851" w:hanging="284"/>
    </w:pPr>
  </w:style>
  <w:style w:type="character" w:customStyle="1" w:styleId="P3Znak">
    <w:name w:val="P: 3 Znak"/>
    <w:link w:val="P3"/>
    <w:rsid w:val="00F1362D"/>
    <w:rPr>
      <w:rFonts w:ascii="Arial" w:eastAsia="Times New Roman" w:hAnsi="Arial" w:cs="Arial"/>
      <w:snapToGrid w:val="0"/>
      <w:sz w:val="20"/>
      <w:szCs w:val="20"/>
      <w:lang w:eastAsia="pl-PL"/>
    </w:rPr>
  </w:style>
  <w:style w:type="paragraph" w:customStyle="1" w:styleId="Style21">
    <w:name w:val="Style21"/>
    <w:basedOn w:val="Normalny"/>
    <w:uiPriority w:val="99"/>
    <w:rsid w:val="00F1362D"/>
    <w:pPr>
      <w:widowControl w:val="0"/>
      <w:autoSpaceDE w:val="0"/>
      <w:autoSpaceDN w:val="0"/>
      <w:adjustRightInd w:val="0"/>
      <w:spacing w:after="0" w:line="245" w:lineRule="exact"/>
      <w:contextualSpacing/>
      <w:jc w:val="both"/>
    </w:pPr>
    <w:rPr>
      <w:rFonts w:ascii="Verdana" w:eastAsia="Times New Roman" w:hAnsi="Verdana" w:cs="Times New Roman"/>
      <w:szCs w:val="24"/>
      <w:lang w:eastAsia="pl-PL"/>
    </w:rPr>
  </w:style>
  <w:style w:type="paragraph" w:customStyle="1" w:styleId="Style29">
    <w:name w:val="Style29"/>
    <w:basedOn w:val="Normalny"/>
    <w:uiPriority w:val="99"/>
    <w:rsid w:val="00F1362D"/>
    <w:pPr>
      <w:widowControl w:val="0"/>
      <w:autoSpaceDE w:val="0"/>
      <w:autoSpaceDN w:val="0"/>
      <w:adjustRightInd w:val="0"/>
      <w:spacing w:after="0" w:line="276" w:lineRule="auto"/>
      <w:contextualSpacing/>
    </w:pPr>
    <w:rPr>
      <w:rFonts w:ascii="Verdana" w:eastAsia="Times New Roman" w:hAnsi="Verdana" w:cs="Times New Roman"/>
      <w:szCs w:val="24"/>
      <w:lang w:eastAsia="pl-PL"/>
    </w:rPr>
  </w:style>
  <w:style w:type="character" w:customStyle="1" w:styleId="FontStyle47">
    <w:name w:val="Font Style47"/>
    <w:uiPriority w:val="99"/>
    <w:rsid w:val="00F1362D"/>
    <w:rPr>
      <w:rFonts w:ascii="Verdana" w:hAnsi="Verdana" w:cs="Verdana"/>
      <w:b/>
      <w:bCs/>
      <w:sz w:val="18"/>
      <w:szCs w:val="18"/>
    </w:rPr>
  </w:style>
  <w:style w:type="character" w:customStyle="1" w:styleId="FontStyle57">
    <w:name w:val="Font Style57"/>
    <w:uiPriority w:val="99"/>
    <w:rsid w:val="00F1362D"/>
    <w:rPr>
      <w:rFonts w:ascii="Verdana" w:hAnsi="Verdana" w:cs="Verdana"/>
      <w:sz w:val="14"/>
      <w:szCs w:val="14"/>
    </w:rPr>
  </w:style>
  <w:style w:type="paragraph" w:customStyle="1" w:styleId="Style26">
    <w:name w:val="Style26"/>
    <w:basedOn w:val="Normalny"/>
    <w:uiPriority w:val="99"/>
    <w:rsid w:val="00F1362D"/>
    <w:pPr>
      <w:widowControl w:val="0"/>
      <w:autoSpaceDE w:val="0"/>
      <w:autoSpaceDN w:val="0"/>
      <w:adjustRightInd w:val="0"/>
      <w:spacing w:after="0" w:line="223" w:lineRule="exact"/>
      <w:contextualSpacing/>
      <w:jc w:val="center"/>
    </w:pPr>
    <w:rPr>
      <w:rFonts w:ascii="Verdana" w:eastAsia="Times New Roman" w:hAnsi="Verdana" w:cs="Times New Roman"/>
      <w:szCs w:val="24"/>
      <w:lang w:eastAsia="pl-PL"/>
    </w:rPr>
  </w:style>
  <w:style w:type="character" w:customStyle="1" w:styleId="FontStyle58">
    <w:name w:val="Font Style58"/>
    <w:uiPriority w:val="99"/>
    <w:rsid w:val="00F1362D"/>
    <w:rPr>
      <w:rFonts w:ascii="Verdana" w:hAnsi="Verdana" w:cs="Verdana"/>
      <w:b/>
      <w:bCs/>
      <w:sz w:val="14"/>
      <w:szCs w:val="14"/>
    </w:rPr>
  </w:style>
  <w:style w:type="paragraph" w:customStyle="1" w:styleId="Objanienia">
    <w:name w:val="Objaśnienia"/>
    <w:basedOn w:val="Normalny"/>
    <w:link w:val="ObjanieniaZnak"/>
    <w:qFormat/>
    <w:rsid w:val="00F1362D"/>
    <w:pPr>
      <w:tabs>
        <w:tab w:val="left" w:pos="284"/>
      </w:tabs>
      <w:spacing w:after="0" w:line="276" w:lineRule="auto"/>
      <w:ind w:left="284" w:hanging="284"/>
      <w:contextualSpacing/>
      <w:jc w:val="both"/>
    </w:pPr>
    <w:rPr>
      <w:rFonts w:eastAsia="Times New Roman" w:cs="Arial"/>
      <w:sz w:val="20"/>
      <w:szCs w:val="20"/>
      <w:lang w:eastAsia="pl-PL"/>
    </w:rPr>
  </w:style>
  <w:style w:type="character" w:customStyle="1" w:styleId="ObjanieniaZnak">
    <w:name w:val="Objaśnienia Znak"/>
    <w:link w:val="Objanienia"/>
    <w:rsid w:val="00F1362D"/>
    <w:rPr>
      <w:rFonts w:ascii="Arial" w:eastAsia="Times New Roman" w:hAnsi="Arial" w:cs="Arial"/>
      <w:sz w:val="20"/>
      <w:szCs w:val="20"/>
      <w:lang w:eastAsia="pl-PL"/>
    </w:rPr>
  </w:style>
  <w:style w:type="paragraph" w:customStyle="1" w:styleId="Style8">
    <w:name w:val="Style8"/>
    <w:basedOn w:val="Normalny"/>
    <w:uiPriority w:val="99"/>
    <w:rsid w:val="00F1362D"/>
    <w:pPr>
      <w:widowControl w:val="0"/>
      <w:autoSpaceDE w:val="0"/>
      <w:autoSpaceDN w:val="0"/>
      <w:adjustRightInd w:val="0"/>
      <w:spacing w:after="0" w:line="276" w:lineRule="auto"/>
      <w:contextualSpacing/>
    </w:pPr>
    <w:rPr>
      <w:rFonts w:ascii="Verdana" w:eastAsia="Times New Roman" w:hAnsi="Verdana" w:cs="Times New Roman"/>
      <w:szCs w:val="24"/>
      <w:lang w:eastAsia="pl-PL"/>
    </w:rPr>
  </w:style>
  <w:style w:type="character" w:customStyle="1" w:styleId="FontStyle51">
    <w:name w:val="Font Style51"/>
    <w:uiPriority w:val="99"/>
    <w:rsid w:val="00F1362D"/>
    <w:rPr>
      <w:rFonts w:ascii="Verdana" w:hAnsi="Verdana" w:cs="Verdana"/>
      <w:b/>
      <w:bCs/>
      <w:i/>
      <w:iCs/>
      <w:sz w:val="18"/>
      <w:szCs w:val="18"/>
    </w:rPr>
  </w:style>
  <w:style w:type="character" w:customStyle="1" w:styleId="FontStyle45">
    <w:name w:val="Font Style45"/>
    <w:uiPriority w:val="99"/>
    <w:rsid w:val="00F1362D"/>
    <w:rPr>
      <w:rFonts w:ascii="Verdana" w:hAnsi="Verdana" w:cs="Verdana"/>
      <w:b/>
      <w:bCs/>
      <w:sz w:val="22"/>
      <w:szCs w:val="22"/>
    </w:rPr>
  </w:style>
  <w:style w:type="character" w:customStyle="1" w:styleId="FontStyle53">
    <w:name w:val="Font Style53"/>
    <w:uiPriority w:val="99"/>
    <w:rsid w:val="00F1362D"/>
    <w:rPr>
      <w:rFonts w:ascii="Arial" w:hAnsi="Arial" w:cs="Arial"/>
      <w:i/>
      <w:iCs/>
      <w:sz w:val="18"/>
      <w:szCs w:val="18"/>
    </w:rPr>
  </w:style>
  <w:style w:type="paragraph" w:customStyle="1" w:styleId="Style3">
    <w:name w:val="Style3"/>
    <w:basedOn w:val="Normalny"/>
    <w:uiPriority w:val="99"/>
    <w:rsid w:val="00F1362D"/>
    <w:pPr>
      <w:widowControl w:val="0"/>
      <w:autoSpaceDE w:val="0"/>
      <w:autoSpaceDN w:val="0"/>
      <w:adjustRightInd w:val="0"/>
      <w:spacing w:after="0" w:line="276" w:lineRule="auto"/>
      <w:contextualSpacing/>
    </w:pPr>
    <w:rPr>
      <w:rFonts w:ascii="Verdana" w:eastAsia="Times New Roman" w:hAnsi="Verdana" w:cs="Times New Roman"/>
      <w:szCs w:val="24"/>
      <w:lang w:eastAsia="pl-PL"/>
    </w:rPr>
  </w:style>
  <w:style w:type="character" w:customStyle="1" w:styleId="FontStyle76">
    <w:name w:val="Font Style76"/>
    <w:uiPriority w:val="99"/>
    <w:rsid w:val="00F1362D"/>
    <w:rPr>
      <w:rFonts w:ascii="Franklin Gothic Medium" w:hAnsi="Franklin Gothic Medium" w:cs="Franklin Gothic Medium"/>
      <w:sz w:val="22"/>
      <w:szCs w:val="22"/>
    </w:rPr>
  </w:style>
  <w:style w:type="numbering" w:customStyle="1" w:styleId="Bezlisty121">
    <w:name w:val="Bez listy121"/>
    <w:next w:val="Bezlisty"/>
    <w:semiHidden/>
    <w:rsid w:val="00F1362D"/>
  </w:style>
  <w:style w:type="character" w:customStyle="1" w:styleId="Poziom1Znak">
    <w:name w:val="Poziom 1 Znak"/>
    <w:aliases w:val="2 pz Znak,2 pz Znak Znak,2 Znak,Poziom 1 Znak Znak1,Poziom 11,21,Poziom 1 Znak Znak Znak1,Poziom 1 Znak Znak Znak Znak Znak1,2 Z... Znak Znak1,2 Znak Znak Znak1"/>
    <w:locked/>
    <w:rsid w:val="00F1362D"/>
    <w:rPr>
      <w:rFonts w:ascii="Arial" w:hAnsi="Arial"/>
      <w:sz w:val="22"/>
      <w:lang w:val="pl-PL" w:eastAsia="pl-PL"/>
    </w:rPr>
  </w:style>
  <w:style w:type="paragraph" w:customStyle="1" w:styleId="NI">
    <w:name w:val="N I"/>
    <w:basedOn w:val="N1i2pz"/>
    <w:next w:val="Normalny"/>
    <w:rsid w:val="00F1362D"/>
    <w:pPr>
      <w:pageBreakBefore/>
      <w:tabs>
        <w:tab w:val="clear" w:pos="360"/>
        <w:tab w:val="num" w:pos="720"/>
      </w:tabs>
      <w:suppressAutoHyphens w:val="0"/>
      <w:overflowPunct w:val="0"/>
      <w:autoSpaceDE w:val="0"/>
      <w:autoSpaceDN w:val="0"/>
      <w:adjustRightInd w:val="0"/>
      <w:spacing w:after="240"/>
      <w:ind w:left="720" w:hanging="360"/>
      <w:contextualSpacing/>
      <w:jc w:val="center"/>
    </w:pPr>
    <w:rPr>
      <w:rFonts w:eastAsia="Times New Roman" w:cs="Times New Roman"/>
      <w:b/>
      <w:sz w:val="24"/>
      <w:szCs w:val="24"/>
      <w:lang w:eastAsia="ja-JP"/>
    </w:rPr>
  </w:style>
  <w:style w:type="character" w:customStyle="1" w:styleId="Poziom3pzZnakZnakZnakZnak">
    <w:name w:val="Poziom 3 pz Znak Znak Znak Znak"/>
    <w:rsid w:val="00F1362D"/>
    <w:rPr>
      <w:rFonts w:ascii="Arial" w:hAnsi="Arial"/>
      <w:sz w:val="22"/>
    </w:rPr>
  </w:style>
  <w:style w:type="paragraph" w:customStyle="1" w:styleId="W1i2pzZnakZnakZnak">
    <w:name w:val="W 1 i 2 pz Znak Znak Znak"/>
    <w:basedOn w:val="Normalny"/>
    <w:link w:val="W1i2pzZnakZnakZnakZnak"/>
    <w:rsid w:val="00F1362D"/>
    <w:pPr>
      <w:tabs>
        <w:tab w:val="num" w:pos="284"/>
      </w:tabs>
      <w:overflowPunct w:val="0"/>
      <w:autoSpaceDE w:val="0"/>
      <w:autoSpaceDN w:val="0"/>
      <w:adjustRightInd w:val="0"/>
      <w:spacing w:after="80" w:line="300" w:lineRule="exact"/>
      <w:ind w:left="284" w:hanging="284"/>
      <w:contextualSpacing/>
      <w:jc w:val="both"/>
      <w:textAlignment w:val="baseline"/>
    </w:pPr>
    <w:rPr>
      <w:rFonts w:eastAsia="Times New Roman" w:cs="Times New Roman"/>
      <w:sz w:val="22"/>
      <w:szCs w:val="20"/>
      <w:lang w:eastAsia="pl-PL"/>
    </w:rPr>
  </w:style>
  <w:style w:type="character" w:customStyle="1" w:styleId="W1i2pzZnakZnakZnakZnak">
    <w:name w:val="W 1 i 2 pz Znak Znak Znak Znak"/>
    <w:link w:val="W1i2pzZnakZnakZnak"/>
    <w:rsid w:val="00F1362D"/>
    <w:rPr>
      <w:rFonts w:ascii="Arial" w:eastAsia="Times New Roman" w:hAnsi="Arial" w:cs="Times New Roman"/>
      <w:szCs w:val="20"/>
      <w:lang w:eastAsia="pl-PL"/>
    </w:rPr>
  </w:style>
  <w:style w:type="paragraph" w:customStyle="1" w:styleId="Poziom3pzZnakZnak1">
    <w:name w:val="Poziom 3 pz Znak Znak1"/>
    <w:basedOn w:val="Normalny"/>
    <w:rsid w:val="00F1362D"/>
    <w:pPr>
      <w:overflowPunct w:val="0"/>
      <w:autoSpaceDE w:val="0"/>
      <w:autoSpaceDN w:val="0"/>
      <w:adjustRightInd w:val="0"/>
      <w:spacing w:after="80" w:line="300" w:lineRule="exact"/>
      <w:ind w:left="284" w:firstLine="284"/>
      <w:contextualSpacing/>
      <w:jc w:val="both"/>
      <w:textAlignment w:val="baseline"/>
    </w:pPr>
    <w:rPr>
      <w:rFonts w:eastAsia="Times New Roman" w:cs="Times New Roman"/>
      <w:sz w:val="22"/>
      <w:szCs w:val="20"/>
      <w:lang w:eastAsia="pl-PL"/>
    </w:rPr>
  </w:style>
  <w:style w:type="paragraph" w:customStyle="1" w:styleId="DefaultText">
    <w:name w:val="Default Text"/>
    <w:basedOn w:val="Normalny"/>
    <w:link w:val="DefaultTextZnak"/>
    <w:rsid w:val="00F1362D"/>
    <w:pPr>
      <w:spacing w:after="0" w:line="240" w:lineRule="auto"/>
      <w:contextualSpacing/>
    </w:pPr>
    <w:rPr>
      <w:rFonts w:ascii="Times New Roman" w:eastAsia="Times New Roman" w:hAnsi="Times New Roman" w:cs="Times New Roman"/>
      <w:szCs w:val="20"/>
      <w:lang w:eastAsia="pl-PL"/>
    </w:rPr>
  </w:style>
  <w:style w:type="character" w:customStyle="1" w:styleId="DefaultTextZnak">
    <w:name w:val="Default Text Znak"/>
    <w:link w:val="DefaultText"/>
    <w:rsid w:val="00F1362D"/>
    <w:rPr>
      <w:rFonts w:ascii="Times New Roman" w:eastAsia="Times New Roman" w:hAnsi="Times New Roman" w:cs="Times New Roman"/>
      <w:sz w:val="24"/>
      <w:szCs w:val="20"/>
      <w:lang w:eastAsia="pl-PL"/>
    </w:rPr>
  </w:style>
  <w:style w:type="character" w:customStyle="1" w:styleId="W4pzZnakZnakZnakZnakZnakZnak">
    <w:name w:val="W 4 pz Znak Znak Znak Znak Znak Znak"/>
    <w:rsid w:val="00F1362D"/>
    <w:rPr>
      <w:rFonts w:ascii="Arial" w:hAnsi="Arial"/>
      <w:sz w:val="22"/>
    </w:rPr>
  </w:style>
  <w:style w:type="character" w:customStyle="1" w:styleId="21ZnakZnakZnak">
    <w:name w:val="21 Znak Znak Znak"/>
    <w:rsid w:val="00F1362D"/>
    <w:rPr>
      <w:rFonts w:ascii="Arial" w:hAnsi="Arial"/>
      <w:sz w:val="22"/>
      <w:lang w:val="pl-PL" w:eastAsia="pl-PL" w:bidi="ar-SA"/>
    </w:rPr>
  </w:style>
  <w:style w:type="character" w:customStyle="1" w:styleId="poziom1znak30">
    <w:name w:val="poziom1znak3"/>
    <w:basedOn w:val="Domylnaczcionkaakapitu"/>
    <w:rsid w:val="00F1362D"/>
  </w:style>
  <w:style w:type="character" w:customStyle="1" w:styleId="Teksttreci8ptOdstpy0pt">
    <w:name w:val="Tekst treści + 8 pt;Odstępy 0 pt"/>
    <w:rsid w:val="00F1362D"/>
    <w:rPr>
      <w:rFonts w:ascii="Tahoma" w:eastAsia="Tahoma" w:hAnsi="Tahoma" w:cs="Tahoma"/>
      <w:color w:val="000000"/>
      <w:spacing w:val="1"/>
      <w:w w:val="100"/>
      <w:position w:val="0"/>
      <w:sz w:val="16"/>
      <w:szCs w:val="16"/>
      <w:shd w:val="clear" w:color="auto" w:fill="FFFFFF"/>
      <w:lang w:val="pl-PL" w:eastAsia="pl-PL" w:bidi="pl-PL"/>
    </w:rPr>
  </w:style>
  <w:style w:type="character" w:customStyle="1" w:styleId="PogrubienieTeksttreci8pt">
    <w:name w:val="Pogrubienie;Tekst treści + 8 pt"/>
    <w:rsid w:val="00F1362D"/>
    <w:rPr>
      <w:rFonts w:ascii="Tahoma" w:eastAsia="Tahoma" w:hAnsi="Tahoma" w:cs="Tahoma"/>
      <w:b/>
      <w:bCs/>
      <w:i w:val="0"/>
      <w:iCs w:val="0"/>
      <w:smallCaps w:val="0"/>
      <w:strike w:val="0"/>
      <w:color w:val="000000"/>
      <w:spacing w:val="3"/>
      <w:w w:val="100"/>
      <w:position w:val="0"/>
      <w:sz w:val="16"/>
      <w:szCs w:val="16"/>
      <w:u w:val="none"/>
      <w:shd w:val="clear" w:color="auto" w:fill="FFFFFF"/>
      <w:lang w:val="pl-PL" w:eastAsia="pl-PL" w:bidi="pl-PL"/>
    </w:rPr>
  </w:style>
  <w:style w:type="character" w:customStyle="1" w:styleId="PogrubienieTeksttreciTimesNewRomanOdstpy0pt">
    <w:name w:val="Pogrubienie;Tekst treści + Times New Roman;Odstępy 0 pt"/>
    <w:rsid w:val="00F1362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pl-PL" w:eastAsia="pl-PL" w:bidi="pl-PL"/>
    </w:rPr>
  </w:style>
  <w:style w:type="paragraph" w:customStyle="1" w:styleId="Style15">
    <w:name w:val="Style15"/>
    <w:basedOn w:val="Normalny"/>
    <w:uiPriority w:val="99"/>
    <w:rsid w:val="00F1362D"/>
    <w:pPr>
      <w:widowControl w:val="0"/>
      <w:autoSpaceDE w:val="0"/>
      <w:autoSpaceDN w:val="0"/>
      <w:adjustRightInd w:val="0"/>
      <w:spacing w:after="0" w:line="245" w:lineRule="exact"/>
      <w:contextualSpacing/>
      <w:jc w:val="both"/>
    </w:pPr>
    <w:rPr>
      <w:rFonts w:ascii="Verdana" w:eastAsia="Times New Roman" w:hAnsi="Verdana" w:cs="Times New Roman"/>
      <w:szCs w:val="24"/>
      <w:lang w:eastAsia="pl-PL"/>
    </w:rPr>
  </w:style>
  <w:style w:type="paragraph" w:customStyle="1" w:styleId="Style41">
    <w:name w:val="Style41"/>
    <w:basedOn w:val="Normalny"/>
    <w:uiPriority w:val="99"/>
    <w:rsid w:val="00F1362D"/>
    <w:pPr>
      <w:widowControl w:val="0"/>
      <w:autoSpaceDE w:val="0"/>
      <w:autoSpaceDN w:val="0"/>
      <w:adjustRightInd w:val="0"/>
      <w:spacing w:after="0" w:line="243" w:lineRule="exact"/>
      <w:ind w:firstLine="413"/>
      <w:contextualSpacing/>
      <w:jc w:val="both"/>
    </w:pPr>
    <w:rPr>
      <w:rFonts w:ascii="Verdana" w:eastAsia="Times New Roman" w:hAnsi="Verdana" w:cs="Times New Roman"/>
      <w:szCs w:val="24"/>
      <w:lang w:eastAsia="pl-PL"/>
    </w:rPr>
  </w:style>
  <w:style w:type="character" w:customStyle="1" w:styleId="FontStyle74">
    <w:name w:val="Font Style74"/>
    <w:uiPriority w:val="99"/>
    <w:rsid w:val="00F1362D"/>
    <w:rPr>
      <w:rFonts w:ascii="Verdana" w:hAnsi="Verdana" w:cs="Verdana"/>
      <w:b/>
      <w:bCs/>
      <w:sz w:val="14"/>
      <w:szCs w:val="14"/>
    </w:rPr>
  </w:style>
  <w:style w:type="character" w:customStyle="1" w:styleId="FontStyle96">
    <w:name w:val="Font Style96"/>
    <w:uiPriority w:val="99"/>
    <w:rsid w:val="00F1362D"/>
    <w:rPr>
      <w:rFonts w:ascii="MS Reference Sans Serif" w:hAnsi="MS Reference Sans Serif" w:cs="MS Reference Sans Serif"/>
      <w:b/>
      <w:bCs/>
      <w:w w:val="50"/>
      <w:sz w:val="12"/>
      <w:szCs w:val="12"/>
    </w:rPr>
  </w:style>
  <w:style w:type="paragraph" w:customStyle="1" w:styleId="ela">
    <w:name w:val="ela"/>
    <w:basedOn w:val="Normalny"/>
    <w:link w:val="elaZnak"/>
    <w:rsid w:val="00F1362D"/>
    <w:pPr>
      <w:autoSpaceDE w:val="0"/>
      <w:autoSpaceDN w:val="0"/>
      <w:adjustRightInd w:val="0"/>
      <w:spacing w:before="120" w:after="0" w:line="240" w:lineRule="auto"/>
      <w:contextualSpacing/>
      <w:jc w:val="both"/>
    </w:pPr>
    <w:rPr>
      <w:rFonts w:ascii="Calibri" w:eastAsia="Times New Roman" w:hAnsi="Calibri" w:cs="Times New Roman"/>
      <w:sz w:val="22"/>
      <w:lang w:eastAsia="pl-PL"/>
    </w:rPr>
  </w:style>
  <w:style w:type="character" w:customStyle="1" w:styleId="elaZnak">
    <w:name w:val="ela Znak"/>
    <w:link w:val="ela"/>
    <w:rsid w:val="00F1362D"/>
    <w:rPr>
      <w:rFonts w:ascii="Calibri" w:eastAsia="Times New Roman" w:hAnsi="Calibri" w:cs="Times New Roman"/>
      <w:lang w:eastAsia="pl-PL"/>
    </w:rPr>
  </w:style>
  <w:style w:type="paragraph" w:customStyle="1" w:styleId="BodyTextIndent31">
    <w:name w:val="Body Text Indent 31"/>
    <w:basedOn w:val="Normalny"/>
    <w:rsid w:val="00F1362D"/>
    <w:pPr>
      <w:tabs>
        <w:tab w:val="left" w:pos="567"/>
      </w:tabs>
      <w:spacing w:before="60" w:after="120" w:line="240" w:lineRule="auto"/>
      <w:ind w:right="-51" w:firstLine="567"/>
      <w:contextualSpacing/>
      <w:jc w:val="both"/>
    </w:pPr>
    <w:rPr>
      <w:rFonts w:eastAsia="Times New Roman" w:cs="Times New Roman"/>
      <w:szCs w:val="20"/>
      <w:lang w:eastAsia="pl-PL"/>
    </w:rPr>
  </w:style>
  <w:style w:type="character" w:customStyle="1" w:styleId="FontStyle274">
    <w:name w:val="Font Style274"/>
    <w:rsid w:val="00F1362D"/>
    <w:rPr>
      <w:rFonts w:ascii="Arial" w:hAnsi="Arial" w:cs="Arial"/>
      <w:sz w:val="20"/>
      <w:szCs w:val="20"/>
    </w:rPr>
  </w:style>
  <w:style w:type="paragraph" w:customStyle="1" w:styleId="Punktory1">
    <w:name w:val="Punktory 1"/>
    <w:basedOn w:val="Normalny"/>
    <w:link w:val="Punktory1Znak"/>
    <w:qFormat/>
    <w:rsid w:val="00F1362D"/>
    <w:pPr>
      <w:numPr>
        <w:numId w:val="35"/>
      </w:numPr>
      <w:tabs>
        <w:tab w:val="left" w:pos="567"/>
      </w:tabs>
      <w:spacing w:after="120" w:line="240" w:lineRule="auto"/>
      <w:contextualSpacing/>
      <w:jc w:val="both"/>
    </w:pPr>
    <w:rPr>
      <w:rFonts w:ascii="Calibri" w:eastAsia="Times New Roman" w:hAnsi="Calibri" w:cs="Times New Roman"/>
      <w:sz w:val="22"/>
      <w:lang w:eastAsia="pl-PL"/>
    </w:rPr>
  </w:style>
  <w:style w:type="character" w:customStyle="1" w:styleId="Punktory1Znak">
    <w:name w:val="Punktory 1 Znak"/>
    <w:link w:val="Punktory1"/>
    <w:rsid w:val="00F1362D"/>
    <w:rPr>
      <w:rFonts w:ascii="Calibri" w:eastAsia="Times New Roman" w:hAnsi="Calibri" w:cs="Times New Roman"/>
      <w:lang w:eastAsia="pl-PL"/>
    </w:rPr>
  </w:style>
  <w:style w:type="paragraph" w:customStyle="1" w:styleId="punktor2">
    <w:name w:val="punktor 2"/>
    <w:basedOn w:val="Punktory1"/>
    <w:qFormat/>
    <w:rsid w:val="00F1362D"/>
    <w:pPr>
      <w:numPr>
        <w:ilvl w:val="1"/>
      </w:numPr>
      <w:tabs>
        <w:tab w:val="num" w:pos="360"/>
      </w:tabs>
      <w:ind w:left="576" w:hanging="576"/>
    </w:pPr>
  </w:style>
  <w:style w:type="character" w:customStyle="1" w:styleId="fontstyle01">
    <w:name w:val="fontstyle01"/>
    <w:rsid w:val="00F1362D"/>
    <w:rPr>
      <w:rFonts w:ascii="Times" w:hAnsi="Times" w:cs="Times" w:hint="default"/>
      <w:b/>
      <w:bCs/>
      <w:i w:val="0"/>
      <w:iCs w:val="0"/>
      <w:color w:val="000000"/>
      <w:sz w:val="24"/>
      <w:szCs w:val="24"/>
    </w:rPr>
  </w:style>
  <w:style w:type="character" w:customStyle="1" w:styleId="FontStyle114">
    <w:name w:val="Font Style114"/>
    <w:uiPriority w:val="99"/>
    <w:rsid w:val="00F1362D"/>
    <w:rPr>
      <w:rFonts w:ascii="Arial" w:hAnsi="Arial" w:cs="Arial"/>
      <w:color w:val="000000"/>
      <w:sz w:val="22"/>
      <w:szCs w:val="22"/>
    </w:rPr>
  </w:style>
  <w:style w:type="paragraph" w:customStyle="1" w:styleId="Style1">
    <w:name w:val="Style 1"/>
    <w:uiPriority w:val="99"/>
    <w:rsid w:val="00F1362D"/>
    <w:pPr>
      <w:widowControl w:val="0"/>
      <w:autoSpaceDE w:val="0"/>
      <w:autoSpaceDN w:val="0"/>
      <w:spacing w:after="0" w:line="278" w:lineRule="auto"/>
      <w:jc w:val="both"/>
    </w:pPr>
    <w:rPr>
      <w:rFonts w:ascii="Arial" w:eastAsia="Times New Roman" w:hAnsi="Arial" w:cs="Arial"/>
      <w:lang w:eastAsia="pl-PL"/>
    </w:rPr>
  </w:style>
  <w:style w:type="character" w:customStyle="1" w:styleId="StylArial">
    <w:name w:val="Styl Arial"/>
    <w:rsid w:val="00F1362D"/>
    <w:rPr>
      <w:rFonts w:ascii="Arial" w:hAnsi="Arial"/>
    </w:rPr>
  </w:style>
  <w:style w:type="character" w:customStyle="1" w:styleId="FontStyle113">
    <w:name w:val="Font Style113"/>
    <w:uiPriority w:val="99"/>
    <w:rsid w:val="00F1362D"/>
    <w:rPr>
      <w:rFonts w:ascii="Arial" w:hAnsi="Arial" w:cs="Arial"/>
      <w:color w:val="000000"/>
      <w:sz w:val="18"/>
      <w:szCs w:val="18"/>
    </w:rPr>
  </w:style>
  <w:style w:type="character" w:customStyle="1" w:styleId="item-fieldvalue">
    <w:name w:val="item-fieldvalue"/>
    <w:basedOn w:val="Domylnaczcionkaakapitu"/>
    <w:rsid w:val="00F1362D"/>
  </w:style>
  <w:style w:type="character" w:customStyle="1" w:styleId="item-fieldname">
    <w:name w:val="item-fieldname"/>
    <w:basedOn w:val="Domylnaczcionkaakapitu"/>
    <w:rsid w:val="00F1362D"/>
  </w:style>
  <w:style w:type="paragraph" w:customStyle="1" w:styleId="pkt">
    <w:name w:val="pkt"/>
    <w:basedOn w:val="Akapitzlist"/>
    <w:link w:val="pktZnak"/>
    <w:qFormat/>
    <w:rsid w:val="00F1362D"/>
    <w:pPr>
      <w:numPr>
        <w:numId w:val="36"/>
      </w:numPr>
      <w:spacing w:before="120" w:after="120" w:line="240" w:lineRule="auto"/>
      <w:jc w:val="both"/>
    </w:pPr>
    <w:rPr>
      <w:rFonts w:ascii="Cambria Math" w:eastAsia="Calibri" w:hAnsi="Cambria Math" w:cs="Arial"/>
      <w:i/>
      <w:sz w:val="22"/>
      <w:lang w:eastAsia="en-US"/>
    </w:rPr>
  </w:style>
  <w:style w:type="character" w:customStyle="1" w:styleId="pktZnak">
    <w:name w:val="pkt Znak"/>
    <w:link w:val="pkt"/>
    <w:rsid w:val="00F1362D"/>
    <w:rPr>
      <w:rFonts w:ascii="Cambria Math" w:eastAsia="Calibri" w:hAnsi="Cambria Math" w:cs="Arial"/>
      <w:i/>
    </w:rPr>
  </w:style>
  <w:style w:type="paragraph" w:customStyle="1" w:styleId="WW-Tekstpodstawowy31">
    <w:name w:val="WW-Tekst podstawowy 31"/>
    <w:basedOn w:val="Normalny"/>
    <w:uiPriority w:val="99"/>
    <w:rsid w:val="00F1362D"/>
    <w:pPr>
      <w:suppressAutoHyphens/>
      <w:spacing w:after="0" w:line="240" w:lineRule="auto"/>
      <w:contextualSpacing/>
    </w:pPr>
    <w:rPr>
      <w:rFonts w:ascii="Times New Roman" w:eastAsia="MS Mincho" w:hAnsi="Times New Roman" w:cs="Times New Roman"/>
      <w:b/>
      <w:bCs/>
      <w:szCs w:val="24"/>
      <w:lang w:eastAsia="ar-SA"/>
    </w:rPr>
  </w:style>
  <w:style w:type="paragraph" w:customStyle="1" w:styleId="Style76">
    <w:name w:val="Style76"/>
    <w:basedOn w:val="Normalny"/>
    <w:uiPriority w:val="99"/>
    <w:rsid w:val="00F1362D"/>
    <w:pPr>
      <w:widowControl w:val="0"/>
      <w:autoSpaceDE w:val="0"/>
      <w:autoSpaceDN w:val="0"/>
      <w:adjustRightInd w:val="0"/>
      <w:spacing w:before="120" w:after="0" w:line="250" w:lineRule="exact"/>
      <w:contextualSpacing/>
      <w:jc w:val="center"/>
    </w:pPr>
    <w:rPr>
      <w:rFonts w:ascii="Calibri" w:eastAsia="Times New Roman" w:hAnsi="Calibri" w:cs="Arial"/>
      <w:sz w:val="22"/>
      <w:szCs w:val="24"/>
      <w:lang w:eastAsia="pl-PL"/>
    </w:rPr>
  </w:style>
  <w:style w:type="character" w:customStyle="1" w:styleId="FontStyle112">
    <w:name w:val="Font Style112"/>
    <w:rsid w:val="00F1362D"/>
    <w:rPr>
      <w:rFonts w:ascii="Arial" w:hAnsi="Arial" w:cs="Arial"/>
      <w:b/>
      <w:bCs/>
      <w:color w:val="000000"/>
      <w:sz w:val="18"/>
      <w:szCs w:val="18"/>
    </w:rPr>
  </w:style>
  <w:style w:type="paragraph" w:customStyle="1" w:styleId="PZI-PKT5">
    <w:name w:val="PZI-PKT5"/>
    <w:basedOn w:val="Normalny"/>
    <w:link w:val="PZI-PKT5Znak"/>
    <w:qFormat/>
    <w:rsid w:val="00F1362D"/>
    <w:pPr>
      <w:widowControl w:val="0"/>
      <w:numPr>
        <w:numId w:val="37"/>
      </w:numPr>
      <w:spacing w:after="120" w:line="240" w:lineRule="auto"/>
      <w:ind w:left="1491" w:hanging="357"/>
      <w:contextualSpacing/>
      <w:jc w:val="both"/>
    </w:pPr>
    <w:rPr>
      <w:rFonts w:ascii="Calibri" w:eastAsia="Calibri" w:hAnsi="Calibri" w:cs="Arial"/>
      <w:snapToGrid w:val="0"/>
      <w:sz w:val="20"/>
      <w:szCs w:val="20"/>
      <w:lang w:eastAsia="pl-PL"/>
    </w:rPr>
  </w:style>
  <w:style w:type="paragraph" w:customStyle="1" w:styleId="Style63">
    <w:name w:val="Style63"/>
    <w:basedOn w:val="Normalny"/>
    <w:uiPriority w:val="99"/>
    <w:rsid w:val="00F1362D"/>
    <w:pPr>
      <w:widowControl w:val="0"/>
      <w:autoSpaceDE w:val="0"/>
      <w:autoSpaceDN w:val="0"/>
      <w:adjustRightInd w:val="0"/>
      <w:spacing w:after="0" w:line="230" w:lineRule="exact"/>
      <w:contextualSpacing/>
      <w:jc w:val="both"/>
    </w:pPr>
    <w:rPr>
      <w:rFonts w:eastAsia="Times New Roman" w:cs="Arial"/>
      <w:szCs w:val="24"/>
      <w:lang w:eastAsia="pl-PL"/>
    </w:rPr>
  </w:style>
  <w:style w:type="character" w:customStyle="1" w:styleId="FontStyle107">
    <w:name w:val="Font Style107"/>
    <w:uiPriority w:val="99"/>
    <w:rsid w:val="00F1362D"/>
    <w:rPr>
      <w:rFonts w:ascii="Arial" w:hAnsi="Arial" w:cs="Arial"/>
      <w:b/>
      <w:bCs/>
      <w:color w:val="000000"/>
      <w:sz w:val="18"/>
      <w:szCs w:val="18"/>
    </w:rPr>
  </w:style>
  <w:style w:type="paragraph" w:customStyle="1" w:styleId="PZInag">
    <w:name w:val="PZI_nag"/>
    <w:basedOn w:val="Nagwek"/>
    <w:link w:val="PZInagZnak"/>
    <w:qFormat/>
    <w:rsid w:val="00F1362D"/>
    <w:pPr>
      <w:tabs>
        <w:tab w:val="clear" w:pos="4536"/>
        <w:tab w:val="clear" w:pos="9072"/>
      </w:tabs>
      <w:spacing w:line="276" w:lineRule="auto"/>
      <w:ind w:left="567"/>
      <w:contextualSpacing/>
      <w:jc w:val="center"/>
    </w:pPr>
    <w:rPr>
      <w:rFonts w:eastAsia="Times New Roman" w:cs="Arial"/>
      <w:i/>
      <w:sz w:val="18"/>
      <w:szCs w:val="18"/>
      <w:lang w:eastAsia="pl-PL"/>
    </w:rPr>
  </w:style>
  <w:style w:type="paragraph" w:customStyle="1" w:styleId="PZIstopka">
    <w:name w:val="PZI_stopka"/>
    <w:basedOn w:val="Stopka"/>
    <w:link w:val="PZIstopkaZnak"/>
    <w:qFormat/>
    <w:rsid w:val="00F1362D"/>
    <w:pPr>
      <w:spacing w:line="276" w:lineRule="auto"/>
      <w:contextualSpacing/>
      <w:jc w:val="center"/>
    </w:pPr>
    <w:rPr>
      <w:rFonts w:eastAsia="Times New Roman" w:cs="Arial"/>
      <w:sz w:val="18"/>
      <w:szCs w:val="18"/>
      <w:lang w:eastAsia="pl-PL"/>
    </w:rPr>
  </w:style>
  <w:style w:type="character" w:customStyle="1" w:styleId="PZInagZnak">
    <w:name w:val="PZI_nag Znak"/>
    <w:link w:val="PZInag"/>
    <w:rsid w:val="00F1362D"/>
    <w:rPr>
      <w:rFonts w:ascii="Arial" w:eastAsia="Times New Roman" w:hAnsi="Arial" w:cs="Arial"/>
      <w:i/>
      <w:sz w:val="18"/>
      <w:szCs w:val="18"/>
      <w:lang w:eastAsia="pl-PL"/>
    </w:rPr>
  </w:style>
  <w:style w:type="character" w:customStyle="1" w:styleId="PZIstopkaZnak">
    <w:name w:val="PZI_stopka Znak"/>
    <w:link w:val="PZIstopka"/>
    <w:rsid w:val="00F1362D"/>
    <w:rPr>
      <w:rFonts w:ascii="Arial" w:eastAsia="Times New Roman" w:hAnsi="Arial" w:cs="Arial"/>
      <w:sz w:val="18"/>
      <w:szCs w:val="18"/>
      <w:lang w:eastAsia="pl-PL"/>
    </w:rPr>
  </w:style>
  <w:style w:type="table" w:customStyle="1" w:styleId="Tabela-Siatka121">
    <w:name w:val="Tabela - Siatka121"/>
    <w:basedOn w:val="Standardowy"/>
    <w:next w:val="Tabela-Siatka"/>
    <w:uiPriority w:val="59"/>
    <w:rsid w:val="00F136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F136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orpoziom3">
    <w:name w:val="punktor poziom 3"/>
    <w:basedOn w:val="punktorpoziom1"/>
    <w:link w:val="punktorpoziom3Znak"/>
    <w:qFormat/>
    <w:rsid w:val="00F1362D"/>
    <w:pPr>
      <w:widowControl/>
      <w:numPr>
        <w:ilvl w:val="2"/>
        <w:numId w:val="43"/>
      </w:numPr>
      <w:spacing w:after="0" w:line="240" w:lineRule="auto"/>
      <w:ind w:left="2840" w:hanging="180"/>
      <w:contextualSpacing w:val="0"/>
      <w:jc w:val="left"/>
    </w:pPr>
    <w:rPr>
      <w:rFonts w:ascii="Times New Roman" w:hAnsi="Times New Roman" w:cs="Times New Roman"/>
      <w:sz w:val="24"/>
      <w:szCs w:val="24"/>
    </w:rPr>
  </w:style>
  <w:style w:type="numbering" w:customStyle="1" w:styleId="Bezlisty51">
    <w:name w:val="Bez listy51"/>
    <w:next w:val="Bezlisty"/>
    <w:uiPriority w:val="99"/>
    <w:semiHidden/>
    <w:unhideWhenUsed/>
    <w:rsid w:val="00F1362D"/>
  </w:style>
  <w:style w:type="table" w:customStyle="1" w:styleId="Tabela-Siatka51">
    <w:name w:val="Tabela - Siatka51"/>
    <w:basedOn w:val="Standardowy"/>
    <w:next w:val="Tabela-Siatka"/>
    <w:uiPriority w:val="59"/>
    <w:rsid w:val="00F1362D"/>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1">
    <w:name w:val="Bez listy131"/>
    <w:next w:val="Bezlisty"/>
    <w:uiPriority w:val="99"/>
    <w:semiHidden/>
    <w:unhideWhenUsed/>
    <w:rsid w:val="00F1362D"/>
  </w:style>
  <w:style w:type="table" w:customStyle="1" w:styleId="Tabela-Siatka131">
    <w:name w:val="Tabela - Siatka131"/>
    <w:basedOn w:val="Standardowy"/>
    <w:next w:val="Tabela-Siatka"/>
    <w:uiPriority w:val="59"/>
    <w:rsid w:val="00F1362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1">
    <w:name w:val="Bez listy221"/>
    <w:next w:val="Bezlisty"/>
    <w:uiPriority w:val="99"/>
    <w:semiHidden/>
    <w:unhideWhenUsed/>
    <w:rsid w:val="00F1362D"/>
  </w:style>
  <w:style w:type="table" w:customStyle="1" w:styleId="Tabela-Siatka23">
    <w:name w:val="Tabela - Siatka23"/>
    <w:basedOn w:val="Standardowy"/>
    <w:next w:val="Tabela-Siatka"/>
    <w:uiPriority w:val="59"/>
    <w:rsid w:val="00F1362D"/>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1">
    <w:name w:val="Arcadis_Bullet1"/>
    <w:basedOn w:val="Bezlisty"/>
    <w:uiPriority w:val="99"/>
    <w:rsid w:val="00F1362D"/>
  </w:style>
  <w:style w:type="numbering" w:customStyle="1" w:styleId="Bezlisty312">
    <w:name w:val="Bez listy312"/>
    <w:next w:val="Bezlisty"/>
    <w:semiHidden/>
    <w:rsid w:val="00F1362D"/>
  </w:style>
  <w:style w:type="table" w:customStyle="1" w:styleId="Tabela-Siatka411">
    <w:name w:val="Tabela - Siatka411"/>
    <w:basedOn w:val="Standardowy"/>
    <w:next w:val="Tabela-Siatka"/>
    <w:rsid w:val="00F1362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krelenie">
    <w:name w:val="podkreślenie"/>
    <w:basedOn w:val="Normalny"/>
    <w:link w:val="podkrelenieZnak"/>
    <w:uiPriority w:val="99"/>
    <w:rsid w:val="00F1362D"/>
    <w:pPr>
      <w:spacing w:before="120" w:after="120" w:line="276" w:lineRule="auto"/>
      <w:jc w:val="both"/>
    </w:pPr>
    <w:rPr>
      <w:rFonts w:eastAsia="Times New Roman" w:cs="Arial"/>
      <w:color w:val="000000"/>
      <w:sz w:val="20"/>
      <w:szCs w:val="20"/>
      <w:u w:val="single"/>
      <w:lang w:eastAsia="pl-PL"/>
    </w:rPr>
  </w:style>
  <w:style w:type="character" w:customStyle="1" w:styleId="podkrelenieZnak">
    <w:name w:val="podkreślenie Znak"/>
    <w:basedOn w:val="Domylnaczcionkaakapitu"/>
    <w:link w:val="podkrelenie"/>
    <w:uiPriority w:val="99"/>
    <w:locked/>
    <w:rsid w:val="00F1362D"/>
    <w:rPr>
      <w:rFonts w:ascii="Arial" w:eastAsia="Times New Roman" w:hAnsi="Arial" w:cs="Arial"/>
      <w:color w:val="000000"/>
      <w:sz w:val="20"/>
      <w:szCs w:val="20"/>
      <w:u w:val="single"/>
      <w:lang w:eastAsia="pl-PL"/>
    </w:rPr>
  </w:style>
  <w:style w:type="character" w:customStyle="1" w:styleId="FontStyle41">
    <w:name w:val="Font Style41"/>
    <w:basedOn w:val="Domylnaczcionkaakapitu"/>
    <w:uiPriority w:val="99"/>
    <w:rsid w:val="00F1362D"/>
    <w:rPr>
      <w:rFonts w:ascii="Arial" w:hAnsi="Arial" w:cs="Arial"/>
      <w:sz w:val="18"/>
      <w:szCs w:val="18"/>
    </w:rPr>
  </w:style>
  <w:style w:type="paragraph" w:customStyle="1" w:styleId="Style19">
    <w:name w:val="Style19"/>
    <w:basedOn w:val="Normalny"/>
    <w:uiPriority w:val="99"/>
    <w:rsid w:val="00F1362D"/>
    <w:pPr>
      <w:widowControl w:val="0"/>
      <w:autoSpaceDE w:val="0"/>
      <w:autoSpaceDN w:val="0"/>
      <w:adjustRightInd w:val="0"/>
      <w:spacing w:after="0" w:line="240" w:lineRule="auto"/>
    </w:pPr>
    <w:rPr>
      <w:rFonts w:eastAsia="Times New Roman" w:cs="Arial"/>
      <w:szCs w:val="24"/>
      <w:lang w:eastAsia="pl-PL"/>
    </w:rPr>
  </w:style>
  <w:style w:type="character" w:customStyle="1" w:styleId="FontStyle39">
    <w:name w:val="Font Style39"/>
    <w:basedOn w:val="Domylnaczcionkaakapitu"/>
    <w:uiPriority w:val="99"/>
    <w:rsid w:val="00F1362D"/>
    <w:rPr>
      <w:rFonts w:ascii="Arial" w:hAnsi="Arial" w:cs="Arial"/>
      <w:i/>
      <w:iCs/>
      <w:sz w:val="18"/>
      <w:szCs w:val="18"/>
    </w:rPr>
  </w:style>
  <w:style w:type="character" w:customStyle="1" w:styleId="FontStyle40">
    <w:name w:val="Font Style40"/>
    <w:basedOn w:val="Domylnaczcionkaakapitu"/>
    <w:uiPriority w:val="99"/>
    <w:rsid w:val="00F1362D"/>
    <w:rPr>
      <w:rFonts w:ascii="Arial" w:hAnsi="Arial" w:cs="Arial"/>
      <w:sz w:val="18"/>
      <w:szCs w:val="18"/>
    </w:rPr>
  </w:style>
  <w:style w:type="character" w:customStyle="1" w:styleId="FontStyle55">
    <w:name w:val="Font Style55"/>
    <w:basedOn w:val="Domylnaczcionkaakapitu"/>
    <w:uiPriority w:val="99"/>
    <w:rsid w:val="00F1362D"/>
    <w:rPr>
      <w:rFonts w:ascii="Arial" w:hAnsi="Arial" w:cs="Arial"/>
      <w:i/>
      <w:iCs/>
      <w:sz w:val="18"/>
      <w:szCs w:val="18"/>
    </w:rPr>
  </w:style>
  <w:style w:type="paragraph" w:customStyle="1" w:styleId="Style22">
    <w:name w:val="Style22"/>
    <w:basedOn w:val="Normalny"/>
    <w:uiPriority w:val="99"/>
    <w:rsid w:val="00F1362D"/>
    <w:pPr>
      <w:widowControl w:val="0"/>
      <w:autoSpaceDE w:val="0"/>
      <w:autoSpaceDN w:val="0"/>
      <w:adjustRightInd w:val="0"/>
      <w:spacing w:after="0" w:line="179" w:lineRule="exact"/>
    </w:pPr>
    <w:rPr>
      <w:rFonts w:eastAsia="Times New Roman" w:cs="Arial"/>
      <w:szCs w:val="24"/>
      <w:lang w:eastAsia="pl-PL"/>
    </w:rPr>
  </w:style>
  <w:style w:type="paragraph" w:customStyle="1" w:styleId="Style28">
    <w:name w:val="Style28"/>
    <w:basedOn w:val="Normalny"/>
    <w:uiPriority w:val="99"/>
    <w:rsid w:val="00F1362D"/>
    <w:pPr>
      <w:widowControl w:val="0"/>
      <w:autoSpaceDE w:val="0"/>
      <w:autoSpaceDN w:val="0"/>
      <w:adjustRightInd w:val="0"/>
      <w:spacing w:after="0" w:line="240" w:lineRule="auto"/>
    </w:pPr>
    <w:rPr>
      <w:rFonts w:eastAsia="Times New Roman" w:cs="Arial"/>
      <w:szCs w:val="24"/>
      <w:lang w:eastAsia="pl-PL"/>
    </w:rPr>
  </w:style>
  <w:style w:type="paragraph" w:customStyle="1" w:styleId="Style35">
    <w:name w:val="Style35"/>
    <w:basedOn w:val="Normalny"/>
    <w:uiPriority w:val="99"/>
    <w:rsid w:val="00F1362D"/>
    <w:pPr>
      <w:widowControl w:val="0"/>
      <w:autoSpaceDE w:val="0"/>
      <w:autoSpaceDN w:val="0"/>
      <w:adjustRightInd w:val="0"/>
      <w:spacing w:after="0" w:line="254" w:lineRule="exact"/>
      <w:jc w:val="center"/>
    </w:pPr>
    <w:rPr>
      <w:rFonts w:eastAsia="Times New Roman" w:cs="Arial"/>
      <w:szCs w:val="24"/>
      <w:lang w:eastAsia="pl-PL"/>
    </w:rPr>
  </w:style>
  <w:style w:type="character" w:customStyle="1" w:styleId="FontStyle60">
    <w:name w:val="Font Style60"/>
    <w:basedOn w:val="Domylnaczcionkaakapitu"/>
    <w:uiPriority w:val="99"/>
    <w:rsid w:val="00F1362D"/>
    <w:rPr>
      <w:rFonts w:ascii="Palatino Linotype" w:hAnsi="Palatino Linotype" w:cs="Palatino Linotype"/>
      <w:b/>
      <w:bCs/>
      <w:sz w:val="20"/>
      <w:szCs w:val="20"/>
    </w:rPr>
  </w:style>
  <w:style w:type="character" w:customStyle="1" w:styleId="FontStyle61">
    <w:name w:val="Font Style61"/>
    <w:basedOn w:val="Domylnaczcionkaakapitu"/>
    <w:uiPriority w:val="99"/>
    <w:rsid w:val="00F1362D"/>
    <w:rPr>
      <w:rFonts w:ascii="Arial Unicode MS" w:eastAsia="Arial Unicode MS" w:cs="Arial Unicode MS"/>
      <w:sz w:val="22"/>
      <w:szCs w:val="22"/>
    </w:rPr>
  </w:style>
  <w:style w:type="character" w:customStyle="1" w:styleId="FontStyle62">
    <w:name w:val="Font Style62"/>
    <w:basedOn w:val="Domylnaczcionkaakapitu"/>
    <w:uiPriority w:val="99"/>
    <w:rsid w:val="00F1362D"/>
    <w:rPr>
      <w:rFonts w:ascii="Segoe UI" w:hAnsi="Segoe UI" w:cs="Segoe UI"/>
      <w:b/>
      <w:bCs/>
      <w:sz w:val="22"/>
      <w:szCs w:val="22"/>
    </w:rPr>
  </w:style>
  <w:style w:type="paragraph" w:customStyle="1" w:styleId="Style10">
    <w:name w:val="Style10"/>
    <w:basedOn w:val="Normalny"/>
    <w:uiPriority w:val="99"/>
    <w:rsid w:val="00F1362D"/>
    <w:pPr>
      <w:widowControl w:val="0"/>
      <w:autoSpaceDE w:val="0"/>
      <w:autoSpaceDN w:val="0"/>
      <w:adjustRightInd w:val="0"/>
      <w:spacing w:after="0" w:line="254" w:lineRule="exact"/>
      <w:ind w:hanging="562"/>
    </w:pPr>
    <w:rPr>
      <w:rFonts w:eastAsia="Times New Roman" w:cs="Arial"/>
      <w:szCs w:val="24"/>
      <w:lang w:eastAsia="pl-PL"/>
    </w:rPr>
  </w:style>
  <w:style w:type="paragraph" w:customStyle="1" w:styleId="pktwtabeli">
    <w:name w:val="pkt w tabeli"/>
    <w:basedOn w:val="Akapitzlist"/>
    <w:link w:val="pktwtabeliZnak"/>
    <w:qFormat/>
    <w:rsid w:val="00F1362D"/>
    <w:pPr>
      <w:numPr>
        <w:numId w:val="46"/>
      </w:numPr>
      <w:spacing w:before="40" w:after="40" w:line="240" w:lineRule="auto"/>
      <w:contextualSpacing w:val="0"/>
    </w:pPr>
    <w:rPr>
      <w:rFonts w:ascii="Calibri" w:hAnsi="Calibri"/>
      <w:sz w:val="18"/>
      <w:szCs w:val="18"/>
    </w:rPr>
  </w:style>
  <w:style w:type="character" w:customStyle="1" w:styleId="pktwtabeliZnak">
    <w:name w:val="pkt w tabeli Znak"/>
    <w:basedOn w:val="Domylnaczcionkaakapitu"/>
    <w:link w:val="pktwtabeli"/>
    <w:locked/>
    <w:rsid w:val="00F1362D"/>
    <w:rPr>
      <w:rFonts w:ascii="Calibri" w:eastAsia="Times New Roman" w:hAnsi="Calibri" w:cs="Times New Roman"/>
      <w:sz w:val="18"/>
      <w:szCs w:val="18"/>
      <w:lang w:eastAsia="pl-PL"/>
    </w:rPr>
  </w:style>
  <w:style w:type="paragraph" w:customStyle="1" w:styleId="PZI">
    <w:name w:val="PZI"/>
    <w:basedOn w:val="Normalny"/>
    <w:link w:val="PZIZnak"/>
    <w:qFormat/>
    <w:rsid w:val="00F1362D"/>
    <w:pPr>
      <w:spacing w:before="120" w:after="120" w:line="240" w:lineRule="auto"/>
      <w:jc w:val="both"/>
    </w:pPr>
    <w:rPr>
      <w:rFonts w:ascii="Calibri" w:eastAsia="Times New Roman" w:hAnsi="Calibri" w:cs="Times New Roman"/>
      <w:i/>
      <w:sz w:val="18"/>
      <w:szCs w:val="18"/>
      <w:u w:val="single"/>
      <w:lang w:eastAsia="pl-PL"/>
    </w:rPr>
  </w:style>
  <w:style w:type="character" w:customStyle="1" w:styleId="PZIZnak">
    <w:name w:val="PZI Znak"/>
    <w:basedOn w:val="Domylnaczcionkaakapitu"/>
    <w:link w:val="PZI"/>
    <w:locked/>
    <w:rsid w:val="00F1362D"/>
    <w:rPr>
      <w:rFonts w:ascii="Calibri" w:eastAsia="Times New Roman" w:hAnsi="Calibri" w:cs="Times New Roman"/>
      <w:i/>
      <w:sz w:val="18"/>
      <w:szCs w:val="18"/>
      <w:u w:val="single"/>
      <w:lang w:eastAsia="pl-PL"/>
    </w:rPr>
  </w:style>
  <w:style w:type="paragraph" w:customStyle="1" w:styleId="Style27">
    <w:name w:val="Style27"/>
    <w:basedOn w:val="Normalny"/>
    <w:uiPriority w:val="99"/>
    <w:rsid w:val="00F1362D"/>
    <w:pPr>
      <w:widowControl w:val="0"/>
      <w:autoSpaceDE w:val="0"/>
      <w:autoSpaceDN w:val="0"/>
      <w:adjustRightInd w:val="0"/>
      <w:spacing w:after="0" w:line="259" w:lineRule="exact"/>
      <w:ind w:firstLine="528"/>
    </w:pPr>
    <w:rPr>
      <w:rFonts w:eastAsia="Times New Roman" w:cs="Arial"/>
      <w:szCs w:val="24"/>
      <w:lang w:eastAsia="pl-PL"/>
    </w:rPr>
  </w:style>
  <w:style w:type="character" w:customStyle="1" w:styleId="FontStyle37">
    <w:name w:val="Font Style37"/>
    <w:basedOn w:val="Domylnaczcionkaakapitu"/>
    <w:uiPriority w:val="99"/>
    <w:rsid w:val="00F1362D"/>
    <w:rPr>
      <w:rFonts w:ascii="Arial" w:hAnsi="Arial" w:cs="Arial"/>
      <w:sz w:val="20"/>
      <w:szCs w:val="20"/>
    </w:rPr>
  </w:style>
  <w:style w:type="paragraph" w:customStyle="1" w:styleId="Style16">
    <w:name w:val="Style16"/>
    <w:basedOn w:val="Normalny"/>
    <w:uiPriority w:val="99"/>
    <w:rsid w:val="00F1362D"/>
    <w:pPr>
      <w:widowControl w:val="0"/>
      <w:autoSpaceDE w:val="0"/>
      <w:autoSpaceDN w:val="0"/>
      <w:adjustRightInd w:val="0"/>
      <w:spacing w:after="0" w:line="235" w:lineRule="exact"/>
      <w:jc w:val="both"/>
    </w:pPr>
    <w:rPr>
      <w:rFonts w:eastAsia="Times New Roman" w:cs="Arial"/>
      <w:szCs w:val="24"/>
      <w:lang w:eastAsia="pl-PL"/>
    </w:rPr>
  </w:style>
  <w:style w:type="paragraph" w:customStyle="1" w:styleId="Style20">
    <w:name w:val="Style20"/>
    <w:basedOn w:val="Normalny"/>
    <w:uiPriority w:val="99"/>
    <w:rsid w:val="00F1362D"/>
    <w:pPr>
      <w:widowControl w:val="0"/>
      <w:autoSpaceDE w:val="0"/>
      <w:autoSpaceDN w:val="0"/>
      <w:adjustRightInd w:val="0"/>
      <w:spacing w:after="0" w:line="250" w:lineRule="exact"/>
      <w:ind w:hanging="365"/>
    </w:pPr>
    <w:rPr>
      <w:rFonts w:eastAsia="Times New Roman" w:cs="Arial"/>
      <w:szCs w:val="24"/>
      <w:lang w:eastAsia="pl-PL"/>
    </w:rPr>
  </w:style>
  <w:style w:type="paragraph" w:customStyle="1" w:styleId="Level7">
    <w:name w:val="Level7"/>
    <w:basedOn w:val="Normalny"/>
    <w:uiPriority w:val="99"/>
    <w:rsid w:val="00F1362D"/>
    <w:pPr>
      <w:numPr>
        <w:numId w:val="47"/>
      </w:numPr>
      <w:spacing w:before="120" w:after="60" w:line="240" w:lineRule="auto"/>
      <w:jc w:val="both"/>
    </w:pPr>
    <w:rPr>
      <w:rFonts w:ascii="Times New Roman" w:eastAsia="Times New Roman" w:hAnsi="Times New Roman" w:cs="Times New Roman"/>
      <w:sz w:val="20"/>
      <w:szCs w:val="20"/>
      <w:lang w:eastAsia="pl-PL"/>
    </w:rPr>
  </w:style>
  <w:style w:type="paragraph" w:customStyle="1" w:styleId="Normalny10">
    <w:name w:val="Normalny1"/>
    <w:basedOn w:val="Normalny"/>
    <w:uiPriority w:val="99"/>
    <w:rsid w:val="00F1362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Style46">
    <w:name w:val="Style46"/>
    <w:basedOn w:val="Normalny"/>
    <w:uiPriority w:val="99"/>
    <w:rsid w:val="00F1362D"/>
    <w:pPr>
      <w:widowControl w:val="0"/>
      <w:autoSpaceDE w:val="0"/>
      <w:autoSpaceDN w:val="0"/>
      <w:adjustRightInd w:val="0"/>
      <w:spacing w:after="0" w:line="254" w:lineRule="exact"/>
      <w:ind w:firstLine="365"/>
    </w:pPr>
    <w:rPr>
      <w:rFonts w:eastAsia="Times New Roman" w:cs="Arial"/>
      <w:szCs w:val="24"/>
      <w:lang w:eastAsia="pl-PL"/>
    </w:rPr>
  </w:style>
  <w:style w:type="paragraph" w:customStyle="1" w:styleId="PZINAG4">
    <w:name w:val="PZI_NAG_4"/>
    <w:basedOn w:val="Nagwek4"/>
    <w:uiPriority w:val="99"/>
    <w:rsid w:val="00F1362D"/>
    <w:pPr>
      <w:keepLines/>
      <w:tabs>
        <w:tab w:val="num" w:pos="3390"/>
      </w:tabs>
      <w:spacing w:before="120" w:after="120" w:line="276" w:lineRule="auto"/>
      <w:ind w:left="3390" w:hanging="360"/>
      <w:jc w:val="both"/>
    </w:pPr>
    <w:rPr>
      <w:rFonts w:ascii="Arial" w:eastAsia="Calibri" w:hAnsi="Arial" w:cs="Arial"/>
      <w:color w:val="013764"/>
      <w:sz w:val="20"/>
      <w:szCs w:val="20"/>
      <w:lang w:val="pl-PL" w:eastAsia="pl-PL"/>
    </w:rPr>
  </w:style>
  <w:style w:type="paragraph" w:customStyle="1" w:styleId="1apodpunkty">
    <w:name w:val="1a.podpunkty"/>
    <w:basedOn w:val="Normalny"/>
    <w:next w:val="Normalny"/>
    <w:autoRedefine/>
    <w:uiPriority w:val="99"/>
    <w:rsid w:val="00F1362D"/>
    <w:pPr>
      <w:numPr>
        <w:numId w:val="48"/>
      </w:numPr>
      <w:spacing w:before="120" w:after="0" w:line="240" w:lineRule="auto"/>
      <w:jc w:val="both"/>
    </w:pPr>
    <w:rPr>
      <w:rFonts w:ascii="Calibri" w:eastAsia="Times New Roman" w:hAnsi="Calibri" w:cs="Times New Roman"/>
      <w:sz w:val="22"/>
      <w:lang w:eastAsia="pl-PL"/>
    </w:rPr>
  </w:style>
  <w:style w:type="character" w:customStyle="1" w:styleId="FontStyle273">
    <w:name w:val="Font Style273"/>
    <w:basedOn w:val="Domylnaczcionkaakapitu"/>
    <w:uiPriority w:val="99"/>
    <w:rsid w:val="00F1362D"/>
    <w:rPr>
      <w:rFonts w:ascii="Arial" w:hAnsi="Arial" w:cs="Arial"/>
      <w:b/>
      <w:bCs/>
      <w:sz w:val="20"/>
      <w:szCs w:val="20"/>
    </w:rPr>
  </w:style>
  <w:style w:type="character" w:customStyle="1" w:styleId="FontStyle124">
    <w:name w:val="Font Style124"/>
    <w:basedOn w:val="Domylnaczcionkaakapitu"/>
    <w:uiPriority w:val="99"/>
    <w:rsid w:val="00F1362D"/>
    <w:rPr>
      <w:rFonts w:ascii="Tahoma" w:hAnsi="Tahoma" w:cs="Tahoma"/>
      <w:sz w:val="20"/>
      <w:szCs w:val="20"/>
    </w:rPr>
  </w:style>
  <w:style w:type="character" w:customStyle="1" w:styleId="FontStyle67">
    <w:name w:val="Font Style67"/>
    <w:basedOn w:val="Domylnaczcionkaakapitu"/>
    <w:rsid w:val="00F1362D"/>
    <w:rPr>
      <w:rFonts w:ascii="Times New Roman" w:hAnsi="Times New Roman" w:cs="Times New Roman"/>
      <w:sz w:val="20"/>
      <w:szCs w:val="20"/>
    </w:rPr>
  </w:style>
  <w:style w:type="character" w:customStyle="1" w:styleId="FontStyle73">
    <w:name w:val="Font Style73"/>
    <w:basedOn w:val="Domylnaczcionkaakapitu"/>
    <w:uiPriority w:val="99"/>
    <w:rsid w:val="00F1362D"/>
    <w:rPr>
      <w:rFonts w:ascii="Times New Roman" w:hAnsi="Times New Roman" w:cs="Times New Roman"/>
      <w:b/>
      <w:bCs/>
      <w:sz w:val="20"/>
      <w:szCs w:val="20"/>
    </w:rPr>
  </w:style>
  <w:style w:type="character" w:customStyle="1" w:styleId="FontStyle12">
    <w:name w:val="Font Style12"/>
    <w:basedOn w:val="Domylnaczcionkaakapitu"/>
    <w:uiPriority w:val="99"/>
    <w:rsid w:val="00F1362D"/>
    <w:rPr>
      <w:rFonts w:ascii="Bookman Old Style" w:hAnsi="Bookman Old Style" w:cs="Bookman Old Style"/>
      <w:sz w:val="16"/>
      <w:szCs w:val="16"/>
    </w:rPr>
  </w:style>
  <w:style w:type="character" w:customStyle="1" w:styleId="PZI-PKT5Znak">
    <w:name w:val="PZI-PKT5 Znak"/>
    <w:basedOn w:val="PZI-PKT4Znak"/>
    <w:link w:val="PZI-PKT5"/>
    <w:rsid w:val="00F1362D"/>
    <w:rPr>
      <w:rFonts w:ascii="Calibri" w:eastAsia="Calibri" w:hAnsi="Calibri" w:cs="Arial"/>
      <w:snapToGrid w:val="0"/>
      <w:sz w:val="20"/>
      <w:szCs w:val="20"/>
      <w:lang w:eastAsia="pl-PL"/>
    </w:rPr>
  </w:style>
  <w:style w:type="paragraph" w:customStyle="1" w:styleId="7tabelenagwek">
    <w:name w:val="7 tabele (nagłówek)"/>
    <w:basedOn w:val="Normalny"/>
    <w:link w:val="7tabelenagwekZnak"/>
    <w:qFormat/>
    <w:rsid w:val="00F1362D"/>
    <w:pPr>
      <w:spacing w:after="120" w:line="276" w:lineRule="auto"/>
      <w:jc w:val="center"/>
    </w:pPr>
    <w:rPr>
      <w:rFonts w:ascii="Calibri" w:eastAsia="Times New Roman" w:hAnsi="Calibri" w:cs="Times New Roman"/>
      <w:b/>
      <w:color w:val="000000"/>
      <w:sz w:val="20"/>
      <w:lang w:eastAsia="pl-PL"/>
    </w:rPr>
  </w:style>
  <w:style w:type="character" w:customStyle="1" w:styleId="7tabelenagwekZnak">
    <w:name w:val="7 tabele (nagłówek) Znak"/>
    <w:basedOn w:val="Domylnaczcionkaakapitu"/>
    <w:link w:val="7tabelenagwek"/>
    <w:rsid w:val="00F1362D"/>
    <w:rPr>
      <w:rFonts w:ascii="Calibri" w:eastAsia="Times New Roman" w:hAnsi="Calibri" w:cs="Times New Roman"/>
      <w:b/>
      <w:color w:val="000000"/>
      <w:sz w:val="20"/>
      <w:lang w:eastAsia="pl-PL"/>
    </w:rPr>
  </w:style>
  <w:style w:type="paragraph" w:customStyle="1" w:styleId="8tabelatekst">
    <w:name w:val="8 tabela (tekst)"/>
    <w:basedOn w:val="7tabelenagwek"/>
    <w:link w:val="8tabelatekstZnak"/>
    <w:qFormat/>
    <w:rsid w:val="00F1362D"/>
    <w:pPr>
      <w:jc w:val="both"/>
    </w:pPr>
  </w:style>
  <w:style w:type="character" w:customStyle="1" w:styleId="8tabelatekstZnak">
    <w:name w:val="8 tabela (tekst) Znak"/>
    <w:basedOn w:val="7tabelenagwekZnak"/>
    <w:link w:val="8tabelatekst"/>
    <w:rsid w:val="00F1362D"/>
    <w:rPr>
      <w:rFonts w:ascii="Calibri" w:eastAsia="Times New Roman" w:hAnsi="Calibri" w:cs="Times New Roman"/>
      <w:b/>
      <w:color w:val="000000"/>
      <w:sz w:val="20"/>
      <w:lang w:eastAsia="pl-PL"/>
    </w:rPr>
  </w:style>
  <w:style w:type="character" w:customStyle="1" w:styleId="TytudokumentuZnak">
    <w:name w:val="Tytuł dokumentu Znak"/>
    <w:basedOn w:val="Domylnaczcionkaakapitu"/>
    <w:link w:val="Tytudokumentu"/>
    <w:rsid w:val="00F1362D"/>
    <w:rPr>
      <w:rFonts w:ascii="Arial" w:eastAsia="Times New Roman" w:hAnsi="Arial" w:cs="Arial"/>
      <w:b/>
      <w:bCs/>
      <w:color w:val="5F5F5F"/>
      <w:sz w:val="28"/>
      <w:szCs w:val="20"/>
    </w:rPr>
  </w:style>
  <w:style w:type="paragraph" w:customStyle="1" w:styleId="Autorzy">
    <w:name w:val="Autorzy"/>
    <w:basedOn w:val="Normalny"/>
    <w:link w:val="AutorzyZnak"/>
    <w:qFormat/>
    <w:rsid w:val="00F1362D"/>
    <w:pPr>
      <w:spacing w:before="120" w:after="120" w:line="276" w:lineRule="auto"/>
      <w:jc w:val="both"/>
    </w:pPr>
    <w:rPr>
      <w:rFonts w:eastAsia="Times New Roman" w:cs="Arial"/>
      <w:color w:val="013764"/>
      <w:sz w:val="20"/>
      <w:szCs w:val="20"/>
      <w:lang w:eastAsia="pl-PL"/>
    </w:rPr>
  </w:style>
  <w:style w:type="character" w:customStyle="1" w:styleId="AutorzyZnak">
    <w:name w:val="Autorzy Znak"/>
    <w:basedOn w:val="Domylnaczcionkaakapitu"/>
    <w:link w:val="Autorzy"/>
    <w:rsid w:val="00F1362D"/>
    <w:rPr>
      <w:rFonts w:ascii="Arial" w:eastAsia="Times New Roman" w:hAnsi="Arial" w:cs="Arial"/>
      <w:color w:val="013764"/>
      <w:sz w:val="20"/>
      <w:szCs w:val="20"/>
      <w:lang w:eastAsia="pl-PL"/>
    </w:rPr>
  </w:style>
  <w:style w:type="paragraph" w:customStyle="1" w:styleId="stopkastrtytuowa">
    <w:name w:val="stopka str. tytułowa"/>
    <w:basedOn w:val="Stopka"/>
    <w:link w:val="stopkastrtytuowaZnak"/>
    <w:qFormat/>
    <w:rsid w:val="00F1362D"/>
    <w:pPr>
      <w:spacing w:line="276" w:lineRule="auto"/>
      <w:jc w:val="both"/>
    </w:pPr>
    <w:rPr>
      <w:rFonts w:eastAsia="Times New Roman" w:cs="Arial"/>
      <w:color w:val="013764"/>
      <w:sz w:val="12"/>
      <w:szCs w:val="12"/>
      <w:lang w:eastAsia="pl-PL"/>
    </w:rPr>
  </w:style>
  <w:style w:type="character" w:customStyle="1" w:styleId="stopkastrtytuowaZnak">
    <w:name w:val="stopka str. tytułowa Znak"/>
    <w:basedOn w:val="StopkaZnak"/>
    <w:link w:val="stopkastrtytuowa"/>
    <w:rsid w:val="00F1362D"/>
    <w:rPr>
      <w:rFonts w:ascii="Arial" w:eastAsia="Times New Roman" w:hAnsi="Arial" w:cs="Arial"/>
      <w:color w:val="013764"/>
      <w:sz w:val="12"/>
      <w:szCs w:val="12"/>
      <w:lang w:eastAsia="pl-PL"/>
    </w:rPr>
  </w:style>
  <w:style w:type="paragraph" w:customStyle="1" w:styleId="Nagwekdokumentu">
    <w:name w:val="Nagłówek dokumentu"/>
    <w:basedOn w:val="Nagwek"/>
    <w:link w:val="NagwekdokumentuZnak"/>
    <w:qFormat/>
    <w:rsid w:val="00F1362D"/>
    <w:pPr>
      <w:pBdr>
        <w:bottom w:val="single" w:sz="4" w:space="1" w:color="auto"/>
      </w:pBdr>
      <w:tabs>
        <w:tab w:val="clear" w:pos="4536"/>
        <w:tab w:val="center" w:pos="1276"/>
      </w:tabs>
      <w:spacing w:line="276" w:lineRule="auto"/>
      <w:jc w:val="center"/>
    </w:pPr>
    <w:rPr>
      <w:rFonts w:eastAsia="Times New Roman" w:cs="Arial"/>
      <w:i/>
      <w:sz w:val="14"/>
      <w:szCs w:val="14"/>
      <w:lang w:eastAsia="pl-PL"/>
    </w:rPr>
  </w:style>
  <w:style w:type="character" w:customStyle="1" w:styleId="NagwekdokumentuZnak">
    <w:name w:val="Nagłówek dokumentu Znak"/>
    <w:basedOn w:val="Domylnaczcionkaakapitu"/>
    <w:link w:val="Nagwekdokumentu"/>
    <w:rsid w:val="00F1362D"/>
    <w:rPr>
      <w:rFonts w:ascii="Arial" w:eastAsia="Times New Roman" w:hAnsi="Arial" w:cs="Arial"/>
      <w:i/>
      <w:sz w:val="14"/>
      <w:szCs w:val="14"/>
      <w:lang w:eastAsia="pl-PL"/>
    </w:rPr>
  </w:style>
  <w:style w:type="paragraph" w:customStyle="1" w:styleId="Standarduser">
    <w:name w:val="Standard (user)"/>
    <w:rsid w:val="00F1362D"/>
    <w:pPr>
      <w:widowControl w:val="0"/>
      <w:suppressAutoHyphens/>
      <w:autoSpaceDN w:val="0"/>
      <w:spacing w:after="0" w:line="240" w:lineRule="auto"/>
      <w:textAlignment w:val="baseline"/>
    </w:pPr>
    <w:rPr>
      <w:rFonts w:ascii="Times New Roman" w:eastAsia="SimSun, 宋体" w:hAnsi="Times New Roman" w:cs="Mangal, Cambria"/>
      <w:kern w:val="3"/>
      <w:sz w:val="24"/>
      <w:szCs w:val="24"/>
      <w:lang w:eastAsia="zh-CN" w:bidi="hi-IN"/>
    </w:rPr>
  </w:style>
  <w:style w:type="paragraph" w:styleId="Nagwekwykazurde">
    <w:name w:val="toa heading"/>
    <w:basedOn w:val="Normalny"/>
    <w:next w:val="Normalny"/>
    <w:uiPriority w:val="99"/>
    <w:unhideWhenUsed/>
    <w:rsid w:val="00F1362D"/>
    <w:pPr>
      <w:spacing w:before="120" w:after="0" w:line="240" w:lineRule="auto"/>
      <w:jc w:val="both"/>
    </w:pPr>
    <w:rPr>
      <w:rFonts w:ascii="Calibri" w:eastAsia="Times New Roman" w:hAnsi="Calibri" w:cs="Times New Roman"/>
      <w:b/>
      <w:bCs/>
      <w:sz w:val="20"/>
      <w:szCs w:val="24"/>
      <w:lang w:eastAsia="pl-PL"/>
    </w:rPr>
  </w:style>
  <w:style w:type="numbering" w:customStyle="1" w:styleId="WW8Num5">
    <w:name w:val="WW8Num5"/>
    <w:basedOn w:val="Bezlisty"/>
    <w:rsid w:val="00F1362D"/>
    <w:pPr>
      <w:numPr>
        <w:numId w:val="49"/>
      </w:numPr>
    </w:pPr>
  </w:style>
  <w:style w:type="paragraph" w:customStyle="1" w:styleId="PZI-tabela">
    <w:name w:val="PZI-tabela"/>
    <w:basedOn w:val="Normalny"/>
    <w:link w:val="PZI-tabelaZnak"/>
    <w:qFormat/>
    <w:rsid w:val="00F1362D"/>
    <w:pPr>
      <w:spacing w:after="0" w:line="240" w:lineRule="auto"/>
      <w:jc w:val="center"/>
    </w:pPr>
    <w:rPr>
      <w:rFonts w:eastAsia="Calibri" w:cs="Times New Roman"/>
      <w:sz w:val="18"/>
      <w:szCs w:val="18"/>
      <w:lang w:eastAsia="pl-PL"/>
    </w:rPr>
  </w:style>
  <w:style w:type="character" w:customStyle="1" w:styleId="PZI-tabelaZnak">
    <w:name w:val="PZI-tabela Znak"/>
    <w:link w:val="PZI-tabela"/>
    <w:rsid w:val="00F1362D"/>
    <w:rPr>
      <w:rFonts w:ascii="Arial" w:eastAsia="Calibri" w:hAnsi="Arial" w:cs="Times New Roman"/>
      <w:sz w:val="18"/>
      <w:szCs w:val="18"/>
      <w:lang w:eastAsia="pl-PL"/>
    </w:rPr>
  </w:style>
  <w:style w:type="paragraph" w:customStyle="1" w:styleId="minusy">
    <w:name w:val="minusy"/>
    <w:rsid w:val="00F1362D"/>
    <w:pPr>
      <w:widowControl w:val="0"/>
      <w:tabs>
        <w:tab w:val="left" w:pos="709"/>
      </w:tabs>
      <w:suppressAutoHyphens/>
      <w:spacing w:before="30" w:after="10" w:line="240" w:lineRule="auto"/>
      <w:ind w:left="709" w:hanging="425"/>
      <w:jc w:val="both"/>
    </w:pPr>
    <w:rPr>
      <w:rFonts w:ascii="Times New Roman" w:eastAsia="Times New Roman" w:hAnsi="Times New Roman" w:cs="Times New Roman"/>
      <w:color w:val="000000"/>
      <w:sz w:val="24"/>
      <w:szCs w:val="20"/>
      <w:lang w:eastAsia="zh-CN"/>
    </w:rPr>
  </w:style>
  <w:style w:type="character" w:customStyle="1" w:styleId="fontstyle21">
    <w:name w:val="fontstyle21"/>
    <w:basedOn w:val="Domylnaczcionkaakapitu"/>
    <w:rsid w:val="00F1362D"/>
    <w:rPr>
      <w:rFonts w:ascii="Arial" w:hAnsi="Arial" w:cs="Arial" w:hint="default"/>
      <w:b w:val="0"/>
      <w:bCs w:val="0"/>
      <w:i/>
      <w:iCs/>
      <w:color w:val="000000"/>
      <w:sz w:val="20"/>
      <w:szCs w:val="20"/>
    </w:rPr>
  </w:style>
  <w:style w:type="character" w:customStyle="1" w:styleId="fontstyle31">
    <w:name w:val="fontstyle31"/>
    <w:basedOn w:val="Domylnaczcionkaakapitu"/>
    <w:rsid w:val="00F1362D"/>
    <w:rPr>
      <w:rFonts w:ascii="Arial" w:hAnsi="Arial" w:cs="Arial" w:hint="default"/>
      <w:b/>
      <w:bCs/>
      <w:i w:val="0"/>
      <w:iCs w:val="0"/>
      <w:color w:val="000000"/>
      <w:sz w:val="20"/>
      <w:szCs w:val="20"/>
    </w:rPr>
  </w:style>
  <w:style w:type="character" w:customStyle="1" w:styleId="FontStyle122">
    <w:name w:val="Font Style122"/>
    <w:basedOn w:val="Domylnaczcionkaakapitu"/>
    <w:uiPriority w:val="99"/>
    <w:rsid w:val="00F1362D"/>
    <w:rPr>
      <w:rFonts w:ascii="Times New Roman" w:hAnsi="Times New Roman" w:cs="Times New Roman"/>
      <w:sz w:val="22"/>
      <w:szCs w:val="22"/>
    </w:rPr>
  </w:style>
  <w:style w:type="paragraph" w:customStyle="1" w:styleId="xl138">
    <w:name w:val="xl138"/>
    <w:basedOn w:val="Normalny"/>
    <w:rsid w:val="00F1362D"/>
    <w:pPr>
      <w:shd w:val="clear" w:color="000000" w:fill="FFFFFF"/>
      <w:spacing w:before="100" w:beforeAutospacing="1" w:after="100" w:afterAutospacing="1" w:line="240" w:lineRule="auto"/>
      <w:jc w:val="center"/>
      <w:textAlignment w:val="center"/>
    </w:pPr>
    <w:rPr>
      <w:rFonts w:eastAsia="Times New Roman" w:cs="Arial"/>
      <w:b/>
      <w:bCs/>
      <w:sz w:val="48"/>
      <w:szCs w:val="48"/>
      <w:lang w:eastAsia="pl-PL"/>
    </w:rPr>
  </w:style>
  <w:style w:type="paragraph" w:customStyle="1" w:styleId="P2">
    <w:name w:val="P: 2"/>
    <w:basedOn w:val="P1"/>
    <w:link w:val="P2Znak"/>
    <w:qFormat/>
    <w:rsid w:val="00F1362D"/>
    <w:pPr>
      <w:numPr>
        <w:numId w:val="0"/>
      </w:numPr>
      <w:spacing w:line="240" w:lineRule="auto"/>
      <w:ind w:left="924" w:hanging="357"/>
      <w:contextualSpacing w:val="0"/>
    </w:pPr>
    <w:rPr>
      <w:rFonts w:ascii="Calibri" w:hAnsi="Calibri" w:cs="Times New Roman"/>
      <w:sz w:val="22"/>
      <w:szCs w:val="22"/>
    </w:rPr>
  </w:style>
  <w:style w:type="character" w:customStyle="1" w:styleId="P2Znak">
    <w:name w:val="P: 2 Znak"/>
    <w:link w:val="P2"/>
    <w:rsid w:val="00F1362D"/>
    <w:rPr>
      <w:rFonts w:ascii="Calibri" w:eastAsia="Times New Roman" w:hAnsi="Calibri" w:cs="Times New Roman"/>
      <w:snapToGrid w:val="0"/>
      <w:lang w:eastAsia="pl-PL"/>
    </w:rPr>
  </w:style>
  <w:style w:type="paragraph" w:customStyle="1" w:styleId="ZacznikiPZI">
    <w:name w:val="Załączniki_PZI"/>
    <w:basedOn w:val="Normalny"/>
    <w:link w:val="ZacznikiPZIZnak"/>
    <w:qFormat/>
    <w:rsid w:val="00F1362D"/>
    <w:pPr>
      <w:spacing w:before="120" w:after="120" w:line="276" w:lineRule="auto"/>
      <w:jc w:val="both"/>
    </w:pPr>
    <w:rPr>
      <w:rFonts w:eastAsia="Times New Roman" w:cs="Times New Roman"/>
      <w:b/>
      <w:bCs/>
      <w:i/>
      <w:color w:val="44546A" w:themeColor="text2"/>
      <w:sz w:val="20"/>
      <w:szCs w:val="20"/>
      <w:lang w:eastAsia="pl-PL"/>
    </w:rPr>
  </w:style>
  <w:style w:type="character" w:customStyle="1" w:styleId="ZacznikiPZIZnak">
    <w:name w:val="Załączniki_PZI Znak"/>
    <w:link w:val="ZacznikiPZI"/>
    <w:rsid w:val="00F1362D"/>
    <w:rPr>
      <w:rFonts w:ascii="Arial" w:eastAsia="Times New Roman" w:hAnsi="Arial" w:cs="Times New Roman"/>
      <w:b/>
      <w:bCs/>
      <w:i/>
      <w:color w:val="44546A" w:themeColor="text2"/>
      <w:sz w:val="20"/>
      <w:szCs w:val="20"/>
      <w:lang w:eastAsia="pl-PL"/>
    </w:rPr>
  </w:style>
  <w:style w:type="table" w:customStyle="1" w:styleId="Tabela-Siatka1011">
    <w:name w:val="Tabela - Siatka1011"/>
    <w:basedOn w:val="Standardowy"/>
    <w:next w:val="Tabela-Siatka"/>
    <w:uiPriority w:val="39"/>
    <w:rsid w:val="00F1362D"/>
    <w:pPr>
      <w:spacing w:after="0" w:line="240" w:lineRule="auto"/>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nowy">
    <w:name w:val="tekst nowy"/>
    <w:basedOn w:val="Normalny"/>
    <w:link w:val="tekstnowyZnak"/>
    <w:rsid w:val="00F1362D"/>
    <w:pPr>
      <w:spacing w:after="22" w:line="276" w:lineRule="auto"/>
      <w:ind w:firstLine="567"/>
      <w:jc w:val="both"/>
    </w:pPr>
    <w:rPr>
      <w:rFonts w:eastAsia="Calibri" w:cs="Times New Roman"/>
      <w:sz w:val="20"/>
      <w:szCs w:val="20"/>
    </w:rPr>
  </w:style>
  <w:style w:type="character" w:customStyle="1" w:styleId="tekstnowyZnak">
    <w:name w:val="tekst nowy Znak"/>
    <w:link w:val="tekstnowy"/>
    <w:rsid w:val="00F1362D"/>
    <w:rPr>
      <w:rFonts w:ascii="Arial" w:eastAsia="Calibri" w:hAnsi="Arial" w:cs="Times New Roman"/>
      <w:sz w:val="20"/>
      <w:szCs w:val="20"/>
    </w:rPr>
  </w:style>
  <w:style w:type="paragraph" w:customStyle="1" w:styleId="pkt2">
    <w:name w:val="pkt 2"/>
    <w:basedOn w:val="Akapitzlist"/>
    <w:link w:val="pkt2Znak"/>
    <w:qFormat/>
    <w:rsid w:val="00F1362D"/>
    <w:pPr>
      <w:numPr>
        <w:numId w:val="50"/>
      </w:numPr>
      <w:spacing w:before="120" w:after="120" w:line="307" w:lineRule="exact"/>
      <w:outlineLvl w:val="0"/>
    </w:pPr>
    <w:rPr>
      <w:rFonts w:eastAsia="Calibri"/>
      <w:b/>
      <w:bCs/>
      <w:i/>
      <w:iCs/>
      <w:sz w:val="20"/>
      <w:szCs w:val="20"/>
      <w:lang w:eastAsia="en-US"/>
    </w:rPr>
  </w:style>
  <w:style w:type="character" w:customStyle="1" w:styleId="pkt2Znak">
    <w:name w:val="pkt 2 Znak"/>
    <w:link w:val="pkt2"/>
    <w:rsid w:val="00F1362D"/>
    <w:rPr>
      <w:rFonts w:ascii="Arial" w:eastAsia="Calibri" w:hAnsi="Arial" w:cs="Times New Roman"/>
      <w:b/>
      <w:bCs/>
      <w:i/>
      <w:iCs/>
      <w:sz w:val="20"/>
      <w:szCs w:val="20"/>
    </w:rPr>
  </w:style>
  <w:style w:type="paragraph" w:customStyle="1" w:styleId="zgodno">
    <w:name w:val="zgodność"/>
    <w:basedOn w:val="Normalny"/>
    <w:link w:val="zgodnoZnak"/>
    <w:rsid w:val="00F1362D"/>
    <w:pPr>
      <w:spacing w:before="120" w:after="120" w:line="276" w:lineRule="auto"/>
      <w:jc w:val="both"/>
    </w:pPr>
    <w:rPr>
      <w:rFonts w:eastAsia="Times New Roman" w:cs="Times New Roman"/>
      <w:b/>
      <w:sz w:val="18"/>
      <w:szCs w:val="18"/>
      <w:u w:val="single"/>
      <w:lang w:eastAsia="pl-PL"/>
    </w:rPr>
  </w:style>
  <w:style w:type="character" w:customStyle="1" w:styleId="zgodnoZnak">
    <w:name w:val="zgodność Znak"/>
    <w:link w:val="zgodno"/>
    <w:rsid w:val="00F1362D"/>
    <w:rPr>
      <w:rFonts w:ascii="Arial" w:eastAsia="Times New Roman" w:hAnsi="Arial" w:cs="Times New Roman"/>
      <w:b/>
      <w:sz w:val="18"/>
      <w:szCs w:val="18"/>
      <w:u w:val="single"/>
      <w:lang w:eastAsia="pl-PL"/>
    </w:rPr>
  </w:style>
  <w:style w:type="paragraph" w:customStyle="1" w:styleId="nortab">
    <w:name w:val="nor_tab"/>
    <w:basedOn w:val="Normalny"/>
    <w:link w:val="nortabZnak"/>
    <w:qFormat/>
    <w:rsid w:val="00F1362D"/>
    <w:pPr>
      <w:spacing w:before="40" w:after="40" w:line="276" w:lineRule="auto"/>
      <w:jc w:val="both"/>
    </w:pPr>
    <w:rPr>
      <w:rFonts w:eastAsia="Times New Roman" w:cs="Times New Roman"/>
      <w:sz w:val="18"/>
      <w:szCs w:val="18"/>
      <w:lang w:eastAsia="pl-PL"/>
    </w:rPr>
  </w:style>
  <w:style w:type="character" w:customStyle="1" w:styleId="nortabZnak">
    <w:name w:val="nor_tab Znak"/>
    <w:link w:val="nortab"/>
    <w:rsid w:val="00F1362D"/>
    <w:rPr>
      <w:rFonts w:ascii="Arial" w:eastAsia="Times New Roman" w:hAnsi="Arial" w:cs="Times New Roman"/>
      <w:sz w:val="18"/>
      <w:szCs w:val="18"/>
      <w:lang w:eastAsia="pl-PL"/>
    </w:rPr>
  </w:style>
  <w:style w:type="character" w:customStyle="1" w:styleId="FontStyle24">
    <w:name w:val="Font Style24"/>
    <w:basedOn w:val="Domylnaczcionkaakapitu"/>
    <w:uiPriority w:val="99"/>
    <w:rsid w:val="00F1362D"/>
    <w:rPr>
      <w:rFonts w:ascii="Times New Roman" w:hAnsi="Times New Roman" w:cs="Times New Roman" w:hint="default"/>
      <w:color w:val="000000"/>
    </w:rPr>
  </w:style>
  <w:style w:type="character" w:customStyle="1" w:styleId="FontStyle106">
    <w:name w:val="Font Style106"/>
    <w:basedOn w:val="Domylnaczcionkaakapitu"/>
    <w:uiPriority w:val="99"/>
    <w:rsid w:val="00F1362D"/>
    <w:rPr>
      <w:rFonts w:ascii="Arial" w:hAnsi="Arial" w:cs="Arial" w:hint="default"/>
      <w:i/>
      <w:iCs/>
      <w:color w:val="000000"/>
    </w:rPr>
  </w:style>
  <w:style w:type="character" w:customStyle="1" w:styleId="AkapitZnak">
    <w:name w:val="Akapit Znak"/>
    <w:link w:val="Akapit0"/>
    <w:rsid w:val="00F1362D"/>
    <w:rPr>
      <w:rFonts w:ascii="Times New Roman" w:eastAsia="Lucida Sans Unicode" w:hAnsi="Times New Roman" w:cs="Times New Roman"/>
    </w:rPr>
  </w:style>
  <w:style w:type="paragraph" w:customStyle="1" w:styleId="PRZYPISDOLNY">
    <w:name w:val="PRZYPIS_DOLNY"/>
    <w:basedOn w:val="Tekstprzypisudolnego"/>
    <w:link w:val="PRZYPISDOLNYZnak"/>
    <w:autoRedefine/>
    <w:qFormat/>
    <w:rsid w:val="00F1362D"/>
    <w:pPr>
      <w:tabs>
        <w:tab w:val="left" w:pos="357"/>
      </w:tabs>
      <w:spacing w:before="0" w:line="276" w:lineRule="auto"/>
      <w:ind w:left="181" w:hanging="181"/>
      <w:jc w:val="both"/>
    </w:pPr>
    <w:rPr>
      <w:color w:val="000000"/>
      <w:sz w:val="16"/>
      <w:szCs w:val="16"/>
      <w:lang w:val="en-GB" w:eastAsia="fr-FR"/>
    </w:rPr>
  </w:style>
  <w:style w:type="character" w:customStyle="1" w:styleId="PRZYPISDOLNYZnak">
    <w:name w:val="PRZYPIS_DOLNY Znak"/>
    <w:basedOn w:val="TekstprzypisudolnegoZnak"/>
    <w:link w:val="PRZYPISDOLNY"/>
    <w:rsid w:val="00F1362D"/>
    <w:rPr>
      <w:rFonts w:ascii="Arial" w:eastAsia="Times New Roman" w:hAnsi="Arial" w:cs="Times New Roman"/>
      <w:color w:val="000000"/>
      <w:kern w:val="28"/>
      <w:sz w:val="16"/>
      <w:szCs w:val="16"/>
      <w:lang w:val="en-GB" w:eastAsia="fr-FR"/>
    </w:rPr>
  </w:style>
  <w:style w:type="paragraph" w:customStyle="1" w:styleId="Style14">
    <w:name w:val="Style1"/>
    <w:basedOn w:val="Normalny"/>
    <w:uiPriority w:val="99"/>
    <w:rsid w:val="00F1362D"/>
    <w:pPr>
      <w:widowControl w:val="0"/>
      <w:autoSpaceDE w:val="0"/>
      <w:autoSpaceDN w:val="0"/>
      <w:adjustRightInd w:val="0"/>
      <w:spacing w:after="0" w:line="242" w:lineRule="exact"/>
      <w:jc w:val="both"/>
    </w:pPr>
    <w:rPr>
      <w:rFonts w:eastAsiaTheme="minorEastAsia" w:cs="Arial"/>
      <w:szCs w:val="24"/>
      <w:lang w:eastAsia="pl-PL"/>
    </w:rPr>
  </w:style>
  <w:style w:type="character" w:customStyle="1" w:styleId="FontStyle18">
    <w:name w:val="Font Style18"/>
    <w:basedOn w:val="Domylnaczcionkaakapitu"/>
    <w:uiPriority w:val="99"/>
    <w:rsid w:val="00F1362D"/>
    <w:rPr>
      <w:rFonts w:ascii="Arial" w:hAnsi="Arial" w:cs="Arial"/>
      <w:b/>
      <w:bCs/>
      <w:sz w:val="20"/>
      <w:szCs w:val="20"/>
    </w:rPr>
  </w:style>
  <w:style w:type="character" w:customStyle="1" w:styleId="FontStyle28">
    <w:name w:val="Font Style28"/>
    <w:basedOn w:val="Domylnaczcionkaakapitu"/>
    <w:uiPriority w:val="99"/>
    <w:rsid w:val="00F1362D"/>
    <w:rPr>
      <w:rFonts w:ascii="Arial" w:hAnsi="Arial" w:cs="Arial"/>
      <w:sz w:val="20"/>
      <w:szCs w:val="20"/>
    </w:rPr>
  </w:style>
  <w:style w:type="character" w:customStyle="1" w:styleId="FontStyle29">
    <w:name w:val="Font Style29"/>
    <w:basedOn w:val="Domylnaczcionkaakapitu"/>
    <w:uiPriority w:val="99"/>
    <w:rsid w:val="00F1362D"/>
    <w:rPr>
      <w:rFonts w:ascii="Candara" w:hAnsi="Candara" w:cs="Candara"/>
      <w:b/>
      <w:bCs/>
      <w:sz w:val="18"/>
      <w:szCs w:val="18"/>
    </w:rPr>
  </w:style>
  <w:style w:type="character" w:customStyle="1" w:styleId="FontStyle33">
    <w:name w:val="Font Style33"/>
    <w:basedOn w:val="Domylnaczcionkaakapitu"/>
    <w:uiPriority w:val="99"/>
    <w:rsid w:val="00F1362D"/>
    <w:rPr>
      <w:rFonts w:ascii="Candara" w:hAnsi="Candara" w:cs="Candara"/>
      <w:b/>
      <w:bCs/>
      <w:sz w:val="14"/>
      <w:szCs w:val="14"/>
    </w:rPr>
  </w:style>
  <w:style w:type="character" w:customStyle="1" w:styleId="FontStyle38">
    <w:name w:val="Font Style38"/>
    <w:basedOn w:val="Domylnaczcionkaakapitu"/>
    <w:uiPriority w:val="99"/>
    <w:rsid w:val="00F1362D"/>
    <w:rPr>
      <w:rFonts w:ascii="Arial" w:hAnsi="Arial" w:cs="Arial"/>
      <w:b/>
      <w:bCs/>
      <w:sz w:val="20"/>
      <w:szCs w:val="20"/>
    </w:rPr>
  </w:style>
  <w:style w:type="character" w:customStyle="1" w:styleId="FontStyle71">
    <w:name w:val="Font Style71"/>
    <w:basedOn w:val="Domylnaczcionkaakapitu"/>
    <w:uiPriority w:val="99"/>
    <w:rsid w:val="00F1362D"/>
    <w:rPr>
      <w:rFonts w:ascii="Times New Roman" w:hAnsi="Times New Roman" w:cs="Times New Roman"/>
      <w:sz w:val="22"/>
      <w:szCs w:val="22"/>
    </w:rPr>
  </w:style>
  <w:style w:type="character" w:customStyle="1" w:styleId="WW8Num12z0">
    <w:name w:val="WW8Num12z0"/>
    <w:rsid w:val="00F1362D"/>
    <w:rPr>
      <w:rFonts w:ascii="Symbol" w:hAnsi="Symbol" w:cs="Symbol"/>
    </w:rPr>
  </w:style>
  <w:style w:type="paragraph" w:customStyle="1" w:styleId="Style24">
    <w:name w:val="Style24"/>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paragraph" w:customStyle="1" w:styleId="Style32">
    <w:name w:val="Style32"/>
    <w:basedOn w:val="Normalny"/>
    <w:uiPriority w:val="99"/>
    <w:rsid w:val="00F1362D"/>
    <w:pPr>
      <w:widowControl w:val="0"/>
      <w:autoSpaceDE w:val="0"/>
      <w:autoSpaceDN w:val="0"/>
      <w:adjustRightInd w:val="0"/>
      <w:spacing w:after="0" w:line="221" w:lineRule="exact"/>
    </w:pPr>
    <w:rPr>
      <w:rFonts w:ascii="Calibri" w:eastAsiaTheme="minorEastAsia" w:hAnsi="Calibri" w:cs="Calibri"/>
      <w:szCs w:val="24"/>
      <w:lang w:eastAsia="pl-PL"/>
    </w:rPr>
  </w:style>
  <w:style w:type="paragraph" w:customStyle="1" w:styleId="Style34">
    <w:name w:val="Style34"/>
    <w:basedOn w:val="Normalny"/>
    <w:uiPriority w:val="99"/>
    <w:rsid w:val="00F1362D"/>
    <w:pPr>
      <w:widowControl w:val="0"/>
      <w:autoSpaceDE w:val="0"/>
      <w:autoSpaceDN w:val="0"/>
      <w:adjustRightInd w:val="0"/>
      <w:spacing w:after="0" w:line="221" w:lineRule="exact"/>
      <w:ind w:firstLine="144"/>
    </w:pPr>
    <w:rPr>
      <w:rFonts w:ascii="Calibri" w:eastAsiaTheme="minorEastAsia" w:hAnsi="Calibri" w:cs="Calibri"/>
      <w:szCs w:val="24"/>
      <w:lang w:eastAsia="pl-PL"/>
    </w:rPr>
  </w:style>
  <w:style w:type="paragraph" w:customStyle="1" w:styleId="Style48">
    <w:name w:val="Style48"/>
    <w:basedOn w:val="Normalny"/>
    <w:uiPriority w:val="99"/>
    <w:rsid w:val="00F1362D"/>
    <w:pPr>
      <w:widowControl w:val="0"/>
      <w:autoSpaceDE w:val="0"/>
      <w:autoSpaceDN w:val="0"/>
      <w:adjustRightInd w:val="0"/>
      <w:spacing w:after="0" w:line="221" w:lineRule="exact"/>
      <w:jc w:val="center"/>
    </w:pPr>
    <w:rPr>
      <w:rFonts w:ascii="Calibri" w:eastAsiaTheme="minorEastAsia" w:hAnsi="Calibri" w:cs="Calibri"/>
      <w:szCs w:val="24"/>
      <w:lang w:eastAsia="pl-PL"/>
    </w:rPr>
  </w:style>
  <w:style w:type="paragraph" w:customStyle="1" w:styleId="Style58">
    <w:name w:val="Style58"/>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paragraph" w:customStyle="1" w:styleId="Style59">
    <w:name w:val="Style59"/>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paragraph" w:customStyle="1" w:styleId="Style64">
    <w:name w:val="Style64"/>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paragraph" w:customStyle="1" w:styleId="Style67">
    <w:name w:val="Style67"/>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paragraph" w:customStyle="1" w:styleId="Style70">
    <w:name w:val="Style70"/>
    <w:basedOn w:val="Normalny"/>
    <w:uiPriority w:val="99"/>
    <w:rsid w:val="00F1362D"/>
    <w:pPr>
      <w:widowControl w:val="0"/>
      <w:autoSpaceDE w:val="0"/>
      <w:autoSpaceDN w:val="0"/>
      <w:adjustRightInd w:val="0"/>
      <w:spacing w:after="0" w:line="240" w:lineRule="exact"/>
    </w:pPr>
    <w:rPr>
      <w:rFonts w:ascii="Calibri" w:eastAsiaTheme="minorEastAsia" w:hAnsi="Calibri" w:cs="Calibri"/>
      <w:szCs w:val="24"/>
      <w:lang w:eastAsia="pl-PL"/>
    </w:rPr>
  </w:style>
  <w:style w:type="character" w:customStyle="1" w:styleId="FontStyle98">
    <w:name w:val="Font Style98"/>
    <w:basedOn w:val="Domylnaczcionkaakapitu"/>
    <w:uiPriority w:val="99"/>
    <w:rsid w:val="00F1362D"/>
    <w:rPr>
      <w:rFonts w:ascii="Impact" w:hAnsi="Impact" w:cs="Impact"/>
      <w:sz w:val="16"/>
      <w:szCs w:val="16"/>
    </w:rPr>
  </w:style>
  <w:style w:type="character" w:customStyle="1" w:styleId="FontStyle99">
    <w:name w:val="Font Style99"/>
    <w:basedOn w:val="Domylnaczcionkaakapitu"/>
    <w:uiPriority w:val="99"/>
    <w:rsid w:val="00F1362D"/>
    <w:rPr>
      <w:rFonts w:ascii="Trebuchet MS" w:hAnsi="Trebuchet MS" w:cs="Trebuchet MS"/>
      <w:sz w:val="22"/>
      <w:szCs w:val="22"/>
    </w:rPr>
  </w:style>
  <w:style w:type="character" w:customStyle="1" w:styleId="FontStyle100">
    <w:name w:val="Font Style100"/>
    <w:basedOn w:val="Domylnaczcionkaakapitu"/>
    <w:uiPriority w:val="99"/>
    <w:rsid w:val="00F1362D"/>
    <w:rPr>
      <w:rFonts w:ascii="Calibri" w:hAnsi="Calibri" w:cs="Calibri"/>
      <w:b/>
      <w:bCs/>
      <w:sz w:val="16"/>
      <w:szCs w:val="16"/>
    </w:rPr>
  </w:style>
  <w:style w:type="character" w:customStyle="1" w:styleId="FontStyle101">
    <w:name w:val="Font Style101"/>
    <w:basedOn w:val="Domylnaczcionkaakapitu"/>
    <w:uiPriority w:val="99"/>
    <w:rsid w:val="00F1362D"/>
    <w:rPr>
      <w:rFonts w:ascii="Trebuchet MS" w:hAnsi="Trebuchet MS" w:cs="Trebuchet MS"/>
      <w:sz w:val="22"/>
      <w:szCs w:val="22"/>
    </w:rPr>
  </w:style>
  <w:style w:type="character" w:customStyle="1" w:styleId="FontStyle102">
    <w:name w:val="Font Style102"/>
    <w:basedOn w:val="Domylnaczcionkaakapitu"/>
    <w:uiPriority w:val="99"/>
    <w:rsid w:val="00F1362D"/>
    <w:rPr>
      <w:rFonts w:ascii="Trebuchet MS" w:hAnsi="Trebuchet MS" w:cs="Trebuchet MS"/>
      <w:sz w:val="24"/>
      <w:szCs w:val="24"/>
    </w:rPr>
  </w:style>
  <w:style w:type="character" w:customStyle="1" w:styleId="FontStyle103">
    <w:name w:val="Font Style103"/>
    <w:basedOn w:val="Domylnaczcionkaakapitu"/>
    <w:uiPriority w:val="99"/>
    <w:rsid w:val="00F1362D"/>
    <w:rPr>
      <w:rFonts w:ascii="Impact" w:hAnsi="Impact" w:cs="Impact"/>
      <w:sz w:val="20"/>
      <w:szCs w:val="20"/>
    </w:rPr>
  </w:style>
  <w:style w:type="character" w:customStyle="1" w:styleId="FontStyle105">
    <w:name w:val="Font Style105"/>
    <w:basedOn w:val="Domylnaczcionkaakapitu"/>
    <w:uiPriority w:val="99"/>
    <w:rsid w:val="00F1362D"/>
    <w:rPr>
      <w:rFonts w:ascii="Trebuchet MS" w:hAnsi="Trebuchet MS" w:cs="Trebuchet MS"/>
      <w:b/>
      <w:bCs/>
      <w:sz w:val="18"/>
      <w:szCs w:val="18"/>
    </w:rPr>
  </w:style>
  <w:style w:type="paragraph" w:customStyle="1" w:styleId="Style56">
    <w:name w:val="Style56"/>
    <w:basedOn w:val="Normalny"/>
    <w:uiPriority w:val="99"/>
    <w:rsid w:val="00F1362D"/>
    <w:pPr>
      <w:widowControl w:val="0"/>
      <w:autoSpaceDE w:val="0"/>
      <w:autoSpaceDN w:val="0"/>
      <w:adjustRightInd w:val="0"/>
      <w:spacing w:after="0" w:line="211" w:lineRule="exact"/>
    </w:pPr>
    <w:rPr>
      <w:rFonts w:ascii="Calibri" w:eastAsiaTheme="minorEastAsia" w:hAnsi="Calibri" w:cs="Calibri"/>
      <w:szCs w:val="24"/>
      <w:lang w:eastAsia="pl-PL"/>
    </w:rPr>
  </w:style>
  <w:style w:type="character" w:customStyle="1" w:styleId="FontStyle108">
    <w:name w:val="Font Style108"/>
    <w:basedOn w:val="Domylnaczcionkaakapitu"/>
    <w:uiPriority w:val="99"/>
    <w:rsid w:val="00F1362D"/>
    <w:rPr>
      <w:rFonts w:ascii="Calibri" w:hAnsi="Calibri" w:cs="Calibri"/>
      <w:b/>
      <w:bCs/>
      <w:sz w:val="16"/>
      <w:szCs w:val="16"/>
    </w:rPr>
  </w:style>
  <w:style w:type="paragraph" w:customStyle="1" w:styleId="RP-PKT2">
    <w:name w:val="RP-PKT2"/>
    <w:basedOn w:val="Normalny"/>
    <w:qFormat/>
    <w:rsid w:val="00F1362D"/>
    <w:pPr>
      <w:widowControl w:val="0"/>
      <w:suppressAutoHyphens/>
      <w:spacing w:before="120" w:after="120" w:line="276" w:lineRule="auto"/>
      <w:ind w:left="641" w:hanging="357"/>
      <w:jc w:val="both"/>
    </w:pPr>
    <w:rPr>
      <w:rFonts w:eastAsia="Times New Roman" w:cs="Times New Roman"/>
      <w:sz w:val="20"/>
      <w:lang w:eastAsia="ar-SA"/>
    </w:rPr>
  </w:style>
  <w:style w:type="paragraph" w:customStyle="1" w:styleId="Style71">
    <w:name w:val="Style71"/>
    <w:basedOn w:val="Normalny"/>
    <w:uiPriority w:val="99"/>
    <w:rsid w:val="00F1362D"/>
    <w:pPr>
      <w:widowControl w:val="0"/>
      <w:autoSpaceDE w:val="0"/>
      <w:autoSpaceDN w:val="0"/>
      <w:adjustRightInd w:val="0"/>
      <w:spacing w:after="0" w:line="259" w:lineRule="exact"/>
    </w:pPr>
    <w:rPr>
      <w:rFonts w:ascii="Calibri" w:eastAsiaTheme="minorEastAsia" w:hAnsi="Calibri" w:cs="Calibri"/>
      <w:szCs w:val="24"/>
      <w:lang w:eastAsia="pl-PL"/>
    </w:rPr>
  </w:style>
  <w:style w:type="character" w:customStyle="1" w:styleId="FontStyle79">
    <w:name w:val="Font Style79"/>
    <w:basedOn w:val="Domylnaczcionkaakapitu"/>
    <w:uiPriority w:val="99"/>
    <w:rsid w:val="00F1362D"/>
    <w:rPr>
      <w:rFonts w:ascii="Calibri" w:hAnsi="Calibri" w:cs="Calibri"/>
      <w:b/>
      <w:bCs/>
      <w:sz w:val="16"/>
      <w:szCs w:val="16"/>
    </w:rPr>
  </w:style>
  <w:style w:type="paragraph" w:customStyle="1" w:styleId="Style250">
    <w:name w:val="Style25"/>
    <w:basedOn w:val="Normalny"/>
    <w:uiPriority w:val="99"/>
    <w:rsid w:val="00F1362D"/>
    <w:pPr>
      <w:widowControl w:val="0"/>
      <w:autoSpaceDE w:val="0"/>
      <w:autoSpaceDN w:val="0"/>
      <w:adjustRightInd w:val="0"/>
      <w:spacing w:after="0" w:line="250" w:lineRule="exact"/>
      <w:jc w:val="center"/>
    </w:pPr>
    <w:rPr>
      <w:rFonts w:ascii="Calibri" w:eastAsiaTheme="minorEastAsia" w:hAnsi="Calibri" w:cs="Calibri"/>
      <w:szCs w:val="24"/>
      <w:lang w:eastAsia="pl-PL"/>
    </w:rPr>
  </w:style>
  <w:style w:type="paragraph" w:customStyle="1" w:styleId="Style31">
    <w:name w:val="Style31"/>
    <w:basedOn w:val="Normalny"/>
    <w:uiPriority w:val="99"/>
    <w:rsid w:val="00F1362D"/>
    <w:pPr>
      <w:widowControl w:val="0"/>
      <w:autoSpaceDE w:val="0"/>
      <w:autoSpaceDN w:val="0"/>
      <w:adjustRightInd w:val="0"/>
      <w:spacing w:after="0" w:line="240" w:lineRule="auto"/>
      <w:jc w:val="center"/>
    </w:pPr>
    <w:rPr>
      <w:rFonts w:ascii="Calibri" w:eastAsiaTheme="minorEastAsia" w:hAnsi="Calibri" w:cs="Calibri"/>
      <w:szCs w:val="24"/>
      <w:lang w:eastAsia="pl-PL"/>
    </w:rPr>
  </w:style>
  <w:style w:type="paragraph" w:customStyle="1" w:styleId="Style43">
    <w:name w:val="Style43"/>
    <w:basedOn w:val="Normalny"/>
    <w:uiPriority w:val="99"/>
    <w:rsid w:val="00F1362D"/>
    <w:pPr>
      <w:widowControl w:val="0"/>
      <w:autoSpaceDE w:val="0"/>
      <w:autoSpaceDN w:val="0"/>
      <w:adjustRightInd w:val="0"/>
      <w:spacing w:after="0" w:line="230" w:lineRule="exact"/>
      <w:ind w:firstLine="163"/>
    </w:pPr>
    <w:rPr>
      <w:rFonts w:ascii="Calibri" w:eastAsiaTheme="minorEastAsia" w:hAnsi="Calibri" w:cs="Calibri"/>
      <w:szCs w:val="24"/>
      <w:lang w:eastAsia="pl-PL"/>
    </w:rPr>
  </w:style>
  <w:style w:type="paragraph" w:customStyle="1" w:styleId="Style45">
    <w:name w:val="Style45"/>
    <w:basedOn w:val="Normalny"/>
    <w:uiPriority w:val="99"/>
    <w:rsid w:val="00F1362D"/>
    <w:pPr>
      <w:widowControl w:val="0"/>
      <w:autoSpaceDE w:val="0"/>
      <w:autoSpaceDN w:val="0"/>
      <w:adjustRightInd w:val="0"/>
      <w:spacing w:after="0" w:line="240" w:lineRule="exact"/>
    </w:pPr>
    <w:rPr>
      <w:rFonts w:ascii="Calibri" w:eastAsiaTheme="minorEastAsia" w:hAnsi="Calibri" w:cs="Calibri"/>
      <w:szCs w:val="24"/>
      <w:lang w:eastAsia="pl-PL"/>
    </w:rPr>
  </w:style>
  <w:style w:type="paragraph" w:customStyle="1" w:styleId="Style69">
    <w:name w:val="Style69"/>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character" w:customStyle="1" w:styleId="FontStyle109">
    <w:name w:val="Font Style109"/>
    <w:basedOn w:val="Domylnaczcionkaakapitu"/>
    <w:uiPriority w:val="99"/>
    <w:rsid w:val="00F1362D"/>
    <w:rPr>
      <w:rFonts w:ascii="Trebuchet MS" w:hAnsi="Trebuchet MS" w:cs="Trebuchet MS"/>
      <w:sz w:val="24"/>
      <w:szCs w:val="24"/>
    </w:rPr>
  </w:style>
  <w:style w:type="character" w:customStyle="1" w:styleId="fontstyle410">
    <w:name w:val="fontstyle41"/>
    <w:basedOn w:val="Domylnaczcionkaakapitu"/>
    <w:rsid w:val="00F1362D"/>
    <w:rPr>
      <w:rFonts w:ascii="ArialMT" w:eastAsia="ArialMT" w:hint="eastAsia"/>
      <w:b w:val="0"/>
      <w:bCs w:val="0"/>
      <w:i w:val="0"/>
      <w:iCs w:val="0"/>
      <w:color w:val="000000"/>
      <w:sz w:val="24"/>
      <w:szCs w:val="24"/>
    </w:rPr>
  </w:style>
  <w:style w:type="paragraph" w:customStyle="1" w:styleId="raport">
    <w:name w:val="raport"/>
    <w:basedOn w:val="Normalny"/>
    <w:rsid w:val="00F1362D"/>
    <w:pPr>
      <w:spacing w:after="0" w:line="360" w:lineRule="auto"/>
      <w:jc w:val="both"/>
    </w:pPr>
    <w:rPr>
      <w:rFonts w:eastAsia="Times New Roman" w:cs="Times New Roman"/>
      <w:sz w:val="22"/>
      <w:szCs w:val="24"/>
      <w:lang w:eastAsia="pl-PL"/>
    </w:rPr>
  </w:style>
  <w:style w:type="paragraph" w:customStyle="1" w:styleId="Nagwek60">
    <w:name w:val="Nagłówek 6/&lt;?.Ü&gt;"/>
    <w:basedOn w:val="Normalny"/>
    <w:next w:val="Normalny"/>
    <w:rsid w:val="00F1362D"/>
    <w:pPr>
      <w:keepNext/>
      <w:widowControl w:val="0"/>
      <w:suppressAutoHyphens/>
      <w:snapToGrid w:val="0"/>
      <w:spacing w:after="0" w:line="240" w:lineRule="auto"/>
    </w:pPr>
    <w:rPr>
      <w:rFonts w:asciiTheme="minorBidi" w:eastAsia="Times New Roman" w:hAnsiTheme="minorBidi" w:cs="Calibri"/>
      <w:sz w:val="16"/>
      <w:szCs w:val="20"/>
      <w:lang w:eastAsia="ar-SA"/>
    </w:rPr>
  </w:style>
  <w:style w:type="paragraph" w:customStyle="1" w:styleId="ECakapit">
    <w:name w:val="EC_akapit"/>
    <w:basedOn w:val="Normalny"/>
    <w:link w:val="ECakapitZnak"/>
    <w:uiPriority w:val="99"/>
    <w:rsid w:val="00F1362D"/>
    <w:pPr>
      <w:spacing w:before="120" w:after="0" w:line="240" w:lineRule="auto"/>
      <w:ind w:firstLine="709"/>
      <w:jc w:val="both"/>
    </w:pPr>
    <w:rPr>
      <w:rFonts w:asciiTheme="minorBidi" w:eastAsia="Calibri" w:hAnsiTheme="minorBidi" w:cs="Times New Roman"/>
      <w:color w:val="000000"/>
      <w:sz w:val="16"/>
    </w:rPr>
  </w:style>
  <w:style w:type="character" w:customStyle="1" w:styleId="ECakapitZnak">
    <w:name w:val="EC_akapit Znak"/>
    <w:basedOn w:val="Domylnaczcionkaakapitu"/>
    <w:link w:val="ECakapit"/>
    <w:uiPriority w:val="99"/>
    <w:locked/>
    <w:rsid w:val="00F1362D"/>
    <w:rPr>
      <w:rFonts w:asciiTheme="minorBidi" w:eastAsia="Calibri" w:hAnsiTheme="minorBidi" w:cs="Times New Roman"/>
      <w:color w:val="000000"/>
      <w:sz w:val="16"/>
    </w:rPr>
  </w:style>
  <w:style w:type="character" w:customStyle="1" w:styleId="BodyZnak1">
    <w:name w:val="Body Znak1"/>
    <w:link w:val="Body"/>
    <w:uiPriority w:val="99"/>
    <w:locked/>
    <w:rsid w:val="00F1362D"/>
    <w:rPr>
      <w:rFonts w:ascii="Helvetica" w:eastAsia="Times New Roman" w:hAnsi="Helvetica" w:cs="Times New Roman"/>
      <w:szCs w:val="24"/>
      <w:lang w:eastAsia="pl-PL"/>
    </w:rPr>
  </w:style>
  <w:style w:type="character" w:customStyle="1" w:styleId="fontstyle11">
    <w:name w:val="fontstyle11"/>
    <w:basedOn w:val="Domylnaczcionkaakapitu"/>
    <w:rsid w:val="00F1362D"/>
    <w:rPr>
      <w:rFonts w:ascii="EUAlbertina-Regu" w:hAnsi="EUAlbertina-Regu" w:hint="default"/>
      <w:b w:val="0"/>
      <w:bCs w:val="0"/>
      <w:i w:val="0"/>
      <w:iCs w:val="0"/>
      <w:color w:val="000000"/>
      <w:sz w:val="20"/>
      <w:szCs w:val="20"/>
    </w:rPr>
  </w:style>
  <w:style w:type="paragraph" w:customStyle="1" w:styleId="KDtabelapkt">
    <w:name w:val="KD_tabela_pkt"/>
    <w:basedOn w:val="Normalny"/>
    <w:link w:val="KDtabelapktZnak"/>
    <w:qFormat/>
    <w:rsid w:val="00F1362D"/>
    <w:pPr>
      <w:spacing w:after="120" w:line="276" w:lineRule="auto"/>
      <w:ind w:left="357" w:hanging="357"/>
      <w:contextualSpacing/>
      <w:jc w:val="both"/>
    </w:pPr>
    <w:rPr>
      <w:rFonts w:eastAsia="Times New Roman" w:cs="Arial"/>
      <w:sz w:val="18"/>
      <w:szCs w:val="18"/>
      <w:lang w:eastAsia="pl-PL"/>
    </w:rPr>
  </w:style>
  <w:style w:type="character" w:customStyle="1" w:styleId="KDtabelapktZnak">
    <w:name w:val="KD_tabela_pkt Znak"/>
    <w:basedOn w:val="Domylnaczcionkaakapitu"/>
    <w:link w:val="KDtabelapkt"/>
    <w:rsid w:val="00F1362D"/>
    <w:rPr>
      <w:rFonts w:ascii="Arial" w:eastAsia="Times New Roman" w:hAnsi="Arial" w:cs="Arial"/>
      <w:sz w:val="18"/>
      <w:szCs w:val="18"/>
      <w:lang w:eastAsia="pl-PL"/>
    </w:rPr>
  </w:style>
  <w:style w:type="table" w:customStyle="1" w:styleId="Tabela-Siatka61">
    <w:name w:val="Tabela - Siatka61"/>
    <w:basedOn w:val="Standardowy"/>
    <w:next w:val="Tabela-Siatka"/>
    <w:uiPriority w:val="59"/>
    <w:rsid w:val="00F1362D"/>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F1362D"/>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tabela">
    <w:name w:val="PKT-tabela"/>
    <w:basedOn w:val="Akapitzlist"/>
    <w:link w:val="PKT-tabelaZnak"/>
    <w:qFormat/>
    <w:rsid w:val="00F1362D"/>
    <w:pPr>
      <w:numPr>
        <w:numId w:val="72"/>
      </w:numPr>
      <w:spacing w:before="40" w:after="40"/>
      <w:ind w:left="454" w:hanging="283"/>
      <w:jc w:val="both"/>
    </w:pPr>
    <w:rPr>
      <w:rFonts w:cs="Arial"/>
      <w:sz w:val="18"/>
      <w:szCs w:val="18"/>
    </w:rPr>
  </w:style>
  <w:style w:type="numbering" w:customStyle="1" w:styleId="Bezlisty7">
    <w:name w:val="Bez listy7"/>
    <w:next w:val="Bezlisty"/>
    <w:uiPriority w:val="99"/>
    <w:semiHidden/>
    <w:unhideWhenUsed/>
    <w:rsid w:val="000F38C6"/>
  </w:style>
  <w:style w:type="numbering" w:customStyle="1" w:styleId="Bezlisty15">
    <w:name w:val="Bez listy15"/>
    <w:next w:val="Bezlisty"/>
    <w:semiHidden/>
    <w:rsid w:val="000F38C6"/>
  </w:style>
  <w:style w:type="numbering" w:customStyle="1" w:styleId="Bezlisty114">
    <w:name w:val="Bez listy114"/>
    <w:next w:val="Bezlisty"/>
    <w:uiPriority w:val="99"/>
    <w:semiHidden/>
    <w:rsid w:val="000F38C6"/>
  </w:style>
  <w:style w:type="table" w:customStyle="1" w:styleId="Tabela-Siatka17">
    <w:name w:val="Tabela - Siatka17"/>
    <w:basedOn w:val="Standardowy"/>
    <w:next w:val="Tabela-Siatka"/>
    <w:uiPriority w:val="39"/>
    <w:rsid w:val="000F38C6"/>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4">
    <w:name w:val="Tabela - Profesjonalny4"/>
    <w:basedOn w:val="Standardowy"/>
    <w:next w:val="Tabela-Profesjonalny"/>
    <w:rsid w:val="000F38C6"/>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4">
    <w:name w:val="Bieżąca lista14"/>
    <w:rsid w:val="000F38C6"/>
  </w:style>
  <w:style w:type="numbering" w:customStyle="1" w:styleId="Bezlisty24">
    <w:name w:val="Bez listy24"/>
    <w:next w:val="Bezlisty"/>
    <w:uiPriority w:val="99"/>
    <w:semiHidden/>
    <w:unhideWhenUsed/>
    <w:rsid w:val="000F38C6"/>
  </w:style>
  <w:style w:type="table" w:customStyle="1" w:styleId="Tabela-Siatka18">
    <w:name w:val="Tabela - Siatka18"/>
    <w:basedOn w:val="Standardowy"/>
    <w:next w:val="Tabela-Siatka"/>
    <w:uiPriority w:val="59"/>
    <w:rsid w:val="000F38C6"/>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4">
    <w:name w:val="Bez listy34"/>
    <w:next w:val="Bezlisty"/>
    <w:uiPriority w:val="99"/>
    <w:semiHidden/>
    <w:unhideWhenUsed/>
    <w:rsid w:val="000F38C6"/>
  </w:style>
  <w:style w:type="table" w:customStyle="1" w:styleId="Tabela-Siatka24">
    <w:name w:val="Tabela - Siatka24"/>
    <w:basedOn w:val="Standardowy"/>
    <w:next w:val="Tabela-Siatka"/>
    <w:uiPriority w:val="59"/>
    <w:rsid w:val="000F38C6"/>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4">
    <w:name w:val="Bez listy1114"/>
    <w:next w:val="Bezlisty"/>
    <w:uiPriority w:val="99"/>
    <w:semiHidden/>
    <w:unhideWhenUsed/>
    <w:rsid w:val="000F38C6"/>
  </w:style>
  <w:style w:type="table" w:customStyle="1" w:styleId="Tabela-Siatka114">
    <w:name w:val="Tabela - Siatka114"/>
    <w:basedOn w:val="Standardowy"/>
    <w:next w:val="Tabela-Siatka"/>
    <w:rsid w:val="000F38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3">
    <w:name w:val="Bez listy213"/>
    <w:next w:val="Bezlisty"/>
    <w:uiPriority w:val="99"/>
    <w:semiHidden/>
    <w:unhideWhenUsed/>
    <w:rsid w:val="000F38C6"/>
  </w:style>
  <w:style w:type="table" w:customStyle="1" w:styleId="Tabela-Siatka212">
    <w:name w:val="Tabela - Siatka212"/>
    <w:basedOn w:val="Standardowy"/>
    <w:next w:val="Tabela-Siatka"/>
    <w:uiPriority w:val="99"/>
    <w:rsid w:val="000F38C6"/>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59"/>
    <w:rsid w:val="000F38C6"/>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2">
    <w:name w:val="Arcadis_Bullet2"/>
    <w:basedOn w:val="Bezlisty"/>
    <w:uiPriority w:val="99"/>
    <w:rsid w:val="000F38C6"/>
  </w:style>
  <w:style w:type="table" w:customStyle="1" w:styleId="TableNormal4">
    <w:name w:val="Table Normal4"/>
    <w:uiPriority w:val="2"/>
    <w:semiHidden/>
    <w:unhideWhenUsed/>
    <w:qFormat/>
    <w:rsid w:val="000F38C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Bezlisty42">
    <w:name w:val="Bez listy42"/>
    <w:next w:val="Bezlisty"/>
    <w:uiPriority w:val="99"/>
    <w:semiHidden/>
    <w:unhideWhenUsed/>
    <w:rsid w:val="000F38C6"/>
  </w:style>
  <w:style w:type="numbering" w:customStyle="1" w:styleId="Bezlisty122">
    <w:name w:val="Bez listy122"/>
    <w:next w:val="Bezlisty"/>
    <w:semiHidden/>
    <w:rsid w:val="000F38C6"/>
  </w:style>
  <w:style w:type="table" w:customStyle="1" w:styleId="Tabela-Siatka122">
    <w:name w:val="Tabela - Siatka122"/>
    <w:basedOn w:val="Standardowy"/>
    <w:next w:val="Tabela-Siatka"/>
    <w:uiPriority w:val="59"/>
    <w:rsid w:val="000F38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0F38C6"/>
  </w:style>
  <w:style w:type="table" w:customStyle="1" w:styleId="Tabela-Siatka52">
    <w:name w:val="Tabela - Siatka52"/>
    <w:basedOn w:val="Standardowy"/>
    <w:next w:val="Tabela-Siatka"/>
    <w:uiPriority w:val="59"/>
    <w:rsid w:val="000F38C6"/>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2">
    <w:name w:val="Bez listy132"/>
    <w:next w:val="Bezlisty"/>
    <w:uiPriority w:val="99"/>
    <w:semiHidden/>
    <w:unhideWhenUsed/>
    <w:rsid w:val="000F38C6"/>
  </w:style>
  <w:style w:type="table" w:customStyle="1" w:styleId="Tabela-Siatka132">
    <w:name w:val="Tabela - Siatka132"/>
    <w:basedOn w:val="Standardowy"/>
    <w:next w:val="Tabela-Siatka"/>
    <w:uiPriority w:val="59"/>
    <w:rsid w:val="000F38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2">
    <w:name w:val="Bez listy222"/>
    <w:next w:val="Bezlisty"/>
    <w:uiPriority w:val="99"/>
    <w:semiHidden/>
    <w:unhideWhenUsed/>
    <w:rsid w:val="000F38C6"/>
  </w:style>
  <w:style w:type="numbering" w:customStyle="1" w:styleId="ArcadisBullet11">
    <w:name w:val="Arcadis_Bullet11"/>
    <w:basedOn w:val="Bezlisty"/>
    <w:uiPriority w:val="99"/>
    <w:rsid w:val="000F38C6"/>
  </w:style>
  <w:style w:type="numbering" w:customStyle="1" w:styleId="Bezlisty313">
    <w:name w:val="Bez listy313"/>
    <w:next w:val="Bezlisty"/>
    <w:semiHidden/>
    <w:rsid w:val="000F38C6"/>
  </w:style>
  <w:style w:type="table" w:customStyle="1" w:styleId="Tabela-Siatka412">
    <w:name w:val="Tabela - Siatka412"/>
    <w:basedOn w:val="Standardowy"/>
    <w:next w:val="Tabela-Siatka"/>
    <w:rsid w:val="000F38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intensywne">
    <w:name w:val="Intense Emphasis"/>
    <w:basedOn w:val="Domylnaczcionkaakapitu"/>
    <w:uiPriority w:val="21"/>
    <w:qFormat/>
    <w:rsid w:val="000F38C6"/>
    <w:rPr>
      <w:i/>
      <w:iCs/>
      <w:color w:val="2F5496" w:themeColor="accent1" w:themeShade="BF"/>
    </w:rPr>
  </w:style>
  <w:style w:type="character" w:styleId="Odwoanieintensywne">
    <w:name w:val="Intense Reference"/>
    <w:basedOn w:val="Domylnaczcionkaakapitu"/>
    <w:uiPriority w:val="32"/>
    <w:qFormat/>
    <w:rsid w:val="000F38C6"/>
    <w:rPr>
      <w:b/>
      <w:bCs/>
      <w:smallCaps/>
      <w:color w:val="2F5496" w:themeColor="accent1" w:themeShade="BF"/>
      <w:spacing w:val="5"/>
    </w:rPr>
  </w:style>
  <w:style w:type="character" w:customStyle="1" w:styleId="PKT-tabelaZnak">
    <w:name w:val="PKT-tabela Znak"/>
    <w:basedOn w:val="Domylnaczcionkaakapitu"/>
    <w:link w:val="PKT-tabela"/>
    <w:rsid w:val="000F38C6"/>
    <w:rPr>
      <w:rFonts w:ascii="Arial" w:eastAsia="Times New Roman" w:hAnsi="Arial" w:cs="Arial"/>
      <w:sz w:val="18"/>
      <w:szCs w:val="18"/>
      <w:lang w:eastAsia="pl-PL"/>
    </w:rPr>
  </w:style>
  <w:style w:type="numbering" w:customStyle="1" w:styleId="WW8Num51">
    <w:name w:val="WW8Num51"/>
    <w:basedOn w:val="Bezlisty"/>
    <w:rsid w:val="000F38C6"/>
  </w:style>
  <w:style w:type="table" w:customStyle="1" w:styleId="Tabela-Siatka62">
    <w:name w:val="Tabela - Siatka62"/>
    <w:basedOn w:val="Standardowy"/>
    <w:next w:val="Tabela-Siatka"/>
    <w:uiPriority w:val="59"/>
    <w:rsid w:val="000F38C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59"/>
    <w:rsid w:val="000F38C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11">
    <w:name w:val="WW8Num511"/>
    <w:basedOn w:val="Bezlisty"/>
    <w:rsid w:val="000F38C6"/>
  </w:style>
  <w:style w:type="numbering" w:customStyle="1" w:styleId="Bezlisty8">
    <w:name w:val="Bez listy8"/>
    <w:next w:val="Bezlisty"/>
    <w:uiPriority w:val="99"/>
    <w:semiHidden/>
    <w:unhideWhenUsed/>
    <w:rsid w:val="0075127F"/>
  </w:style>
  <w:style w:type="numbering" w:customStyle="1" w:styleId="Bezlisty16">
    <w:name w:val="Bez listy16"/>
    <w:next w:val="Bezlisty"/>
    <w:semiHidden/>
    <w:rsid w:val="0075127F"/>
  </w:style>
  <w:style w:type="numbering" w:customStyle="1" w:styleId="Bezlisty115">
    <w:name w:val="Bez listy115"/>
    <w:next w:val="Bezlisty"/>
    <w:uiPriority w:val="99"/>
    <w:semiHidden/>
    <w:rsid w:val="0075127F"/>
  </w:style>
  <w:style w:type="table" w:customStyle="1" w:styleId="Tabela-Siatka19">
    <w:name w:val="Tabela - Siatka19"/>
    <w:basedOn w:val="Standardowy"/>
    <w:next w:val="Tabela-Siatka"/>
    <w:uiPriority w:val="39"/>
    <w:rsid w:val="0075127F"/>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5">
    <w:name w:val="Tabela - Profesjonalny5"/>
    <w:basedOn w:val="Standardowy"/>
    <w:next w:val="Tabela-Profesjonalny"/>
    <w:rsid w:val="0075127F"/>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5">
    <w:name w:val="Bieżąca lista15"/>
    <w:rsid w:val="0075127F"/>
  </w:style>
  <w:style w:type="numbering" w:customStyle="1" w:styleId="Bezlisty25">
    <w:name w:val="Bez listy25"/>
    <w:next w:val="Bezlisty"/>
    <w:uiPriority w:val="99"/>
    <w:semiHidden/>
    <w:unhideWhenUsed/>
    <w:rsid w:val="0075127F"/>
  </w:style>
  <w:style w:type="table" w:customStyle="1" w:styleId="Tabela-Siatka110">
    <w:name w:val="Tabela - Siatka110"/>
    <w:basedOn w:val="Standardowy"/>
    <w:next w:val="Tabela-Siatka"/>
    <w:uiPriority w:val="59"/>
    <w:rsid w:val="0075127F"/>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5">
    <w:name w:val="Bez listy35"/>
    <w:next w:val="Bezlisty"/>
    <w:uiPriority w:val="99"/>
    <w:semiHidden/>
    <w:unhideWhenUsed/>
    <w:rsid w:val="0075127F"/>
  </w:style>
  <w:style w:type="table" w:customStyle="1" w:styleId="Tabela-Siatka25">
    <w:name w:val="Tabela - Siatka25"/>
    <w:basedOn w:val="Standardowy"/>
    <w:next w:val="Tabela-Siatka"/>
    <w:uiPriority w:val="59"/>
    <w:rsid w:val="0075127F"/>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5">
    <w:name w:val="Bez listy1115"/>
    <w:next w:val="Bezlisty"/>
    <w:uiPriority w:val="99"/>
    <w:semiHidden/>
    <w:unhideWhenUsed/>
    <w:rsid w:val="0075127F"/>
  </w:style>
  <w:style w:type="table" w:customStyle="1" w:styleId="Tabela-Siatka115">
    <w:name w:val="Tabela - Siatka115"/>
    <w:basedOn w:val="Standardowy"/>
    <w:next w:val="Tabela-Siatka"/>
    <w:rsid w:val="0075127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4">
    <w:name w:val="Bez listy214"/>
    <w:next w:val="Bezlisty"/>
    <w:uiPriority w:val="99"/>
    <w:semiHidden/>
    <w:unhideWhenUsed/>
    <w:rsid w:val="0075127F"/>
  </w:style>
  <w:style w:type="table" w:customStyle="1" w:styleId="Tabela-Siatka213">
    <w:name w:val="Tabela - Siatka213"/>
    <w:basedOn w:val="Standardowy"/>
    <w:next w:val="Tabela-Siatka"/>
    <w:uiPriority w:val="99"/>
    <w:rsid w:val="0075127F"/>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59"/>
    <w:rsid w:val="0075127F"/>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3">
    <w:name w:val="Arcadis_Bullet3"/>
    <w:basedOn w:val="Bezlisty"/>
    <w:uiPriority w:val="99"/>
    <w:rsid w:val="0075127F"/>
  </w:style>
  <w:style w:type="table" w:customStyle="1" w:styleId="TableNormal5">
    <w:name w:val="Table Normal5"/>
    <w:uiPriority w:val="2"/>
    <w:semiHidden/>
    <w:unhideWhenUsed/>
    <w:qFormat/>
    <w:rsid w:val="0075127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Bezlisty43">
    <w:name w:val="Bez listy43"/>
    <w:next w:val="Bezlisty"/>
    <w:uiPriority w:val="99"/>
    <w:semiHidden/>
    <w:unhideWhenUsed/>
    <w:rsid w:val="0075127F"/>
  </w:style>
  <w:style w:type="numbering" w:customStyle="1" w:styleId="Bezlisty123">
    <w:name w:val="Bez listy123"/>
    <w:next w:val="Bezlisty"/>
    <w:semiHidden/>
    <w:rsid w:val="0075127F"/>
  </w:style>
  <w:style w:type="table" w:customStyle="1" w:styleId="Tabela-Siatka123">
    <w:name w:val="Tabela - Siatka123"/>
    <w:basedOn w:val="Standardowy"/>
    <w:next w:val="Tabela-Siatka"/>
    <w:uiPriority w:val="59"/>
    <w:rsid w:val="007512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3">
    <w:name w:val="Bez listy53"/>
    <w:next w:val="Bezlisty"/>
    <w:uiPriority w:val="99"/>
    <w:semiHidden/>
    <w:unhideWhenUsed/>
    <w:rsid w:val="0075127F"/>
  </w:style>
  <w:style w:type="table" w:customStyle="1" w:styleId="Tabela-Siatka53">
    <w:name w:val="Tabela - Siatka53"/>
    <w:basedOn w:val="Standardowy"/>
    <w:next w:val="Tabela-Siatka"/>
    <w:uiPriority w:val="59"/>
    <w:rsid w:val="0075127F"/>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3">
    <w:name w:val="Bez listy133"/>
    <w:next w:val="Bezlisty"/>
    <w:uiPriority w:val="99"/>
    <w:semiHidden/>
    <w:unhideWhenUsed/>
    <w:rsid w:val="0075127F"/>
  </w:style>
  <w:style w:type="table" w:customStyle="1" w:styleId="Tabela-Siatka133">
    <w:name w:val="Tabela - Siatka133"/>
    <w:basedOn w:val="Standardowy"/>
    <w:next w:val="Tabela-Siatka"/>
    <w:uiPriority w:val="59"/>
    <w:rsid w:val="0075127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3">
    <w:name w:val="Bez listy223"/>
    <w:next w:val="Bezlisty"/>
    <w:uiPriority w:val="99"/>
    <w:semiHidden/>
    <w:unhideWhenUsed/>
    <w:rsid w:val="0075127F"/>
  </w:style>
  <w:style w:type="numbering" w:customStyle="1" w:styleId="ArcadisBullet12">
    <w:name w:val="Arcadis_Bullet12"/>
    <w:basedOn w:val="Bezlisty"/>
    <w:uiPriority w:val="99"/>
    <w:rsid w:val="0075127F"/>
  </w:style>
  <w:style w:type="numbering" w:customStyle="1" w:styleId="Bezlisty314">
    <w:name w:val="Bez listy314"/>
    <w:next w:val="Bezlisty"/>
    <w:semiHidden/>
    <w:rsid w:val="0075127F"/>
  </w:style>
  <w:style w:type="table" w:customStyle="1" w:styleId="Tabela-Siatka413">
    <w:name w:val="Tabela - Siatka413"/>
    <w:basedOn w:val="Standardowy"/>
    <w:next w:val="Tabela-Siatka"/>
    <w:rsid w:val="0075127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2">
    <w:name w:val="WW8Num52"/>
    <w:basedOn w:val="Bezlisty"/>
    <w:rsid w:val="0075127F"/>
  </w:style>
  <w:style w:type="table" w:customStyle="1" w:styleId="Tabela-Siatka63">
    <w:name w:val="Tabela - Siatka63"/>
    <w:basedOn w:val="Standardowy"/>
    <w:next w:val="Tabela-Siatka"/>
    <w:uiPriority w:val="59"/>
    <w:rsid w:val="0075127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3">
    <w:name w:val="Tabela - Siatka73"/>
    <w:basedOn w:val="Standardowy"/>
    <w:next w:val="Tabela-Siatka"/>
    <w:uiPriority w:val="59"/>
    <w:rsid w:val="0075127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12">
    <w:name w:val="WW8Num512"/>
    <w:basedOn w:val="Bezlisty"/>
    <w:rsid w:val="0075127F"/>
  </w:style>
  <w:style w:type="numbering" w:customStyle="1" w:styleId="Bezlisty9">
    <w:name w:val="Bez listy9"/>
    <w:next w:val="Bezlisty"/>
    <w:uiPriority w:val="99"/>
    <w:semiHidden/>
    <w:unhideWhenUsed/>
    <w:rsid w:val="00E02F30"/>
  </w:style>
  <w:style w:type="numbering" w:customStyle="1" w:styleId="Bezlisty17">
    <w:name w:val="Bez listy17"/>
    <w:next w:val="Bezlisty"/>
    <w:semiHidden/>
    <w:rsid w:val="00E02F30"/>
  </w:style>
  <w:style w:type="numbering" w:customStyle="1" w:styleId="Bezlisty116">
    <w:name w:val="Bez listy116"/>
    <w:next w:val="Bezlisty"/>
    <w:uiPriority w:val="99"/>
    <w:semiHidden/>
    <w:rsid w:val="00E02F30"/>
  </w:style>
  <w:style w:type="table" w:customStyle="1" w:styleId="Tabela-Siatka20">
    <w:name w:val="Tabela - Siatka20"/>
    <w:basedOn w:val="Standardowy"/>
    <w:next w:val="Tabela-Siatka"/>
    <w:uiPriority w:val="39"/>
    <w:rsid w:val="00E02F30"/>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6">
    <w:name w:val="Tabela - Profesjonalny6"/>
    <w:basedOn w:val="Standardowy"/>
    <w:next w:val="Tabela-Profesjonalny"/>
    <w:rsid w:val="00E02F30"/>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6">
    <w:name w:val="Bieżąca lista16"/>
    <w:rsid w:val="00E02F30"/>
  </w:style>
  <w:style w:type="numbering" w:customStyle="1" w:styleId="Bezlisty26">
    <w:name w:val="Bez listy26"/>
    <w:next w:val="Bezlisty"/>
    <w:uiPriority w:val="99"/>
    <w:semiHidden/>
    <w:unhideWhenUsed/>
    <w:rsid w:val="00E02F30"/>
  </w:style>
  <w:style w:type="table" w:customStyle="1" w:styleId="Tabela-Siatka116">
    <w:name w:val="Tabela - Siatka116"/>
    <w:basedOn w:val="Standardowy"/>
    <w:next w:val="Tabela-Siatka"/>
    <w:uiPriority w:val="59"/>
    <w:rsid w:val="00E02F30"/>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6">
    <w:name w:val="Bez listy36"/>
    <w:next w:val="Bezlisty"/>
    <w:uiPriority w:val="99"/>
    <w:semiHidden/>
    <w:unhideWhenUsed/>
    <w:rsid w:val="00E02F30"/>
  </w:style>
  <w:style w:type="table" w:customStyle="1" w:styleId="Tabela-Siatka26">
    <w:name w:val="Tabela - Siatka26"/>
    <w:basedOn w:val="Standardowy"/>
    <w:next w:val="Tabela-Siatka"/>
    <w:uiPriority w:val="59"/>
    <w:rsid w:val="00E02F30"/>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6">
    <w:name w:val="Bez listy1116"/>
    <w:next w:val="Bezlisty"/>
    <w:uiPriority w:val="99"/>
    <w:semiHidden/>
    <w:unhideWhenUsed/>
    <w:rsid w:val="00E02F30"/>
  </w:style>
  <w:style w:type="table" w:customStyle="1" w:styleId="Tabela-Siatka117">
    <w:name w:val="Tabela - Siatka117"/>
    <w:basedOn w:val="Standardowy"/>
    <w:next w:val="Tabela-Siatka"/>
    <w:rsid w:val="00E02F3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5">
    <w:name w:val="Bez listy215"/>
    <w:next w:val="Bezlisty"/>
    <w:uiPriority w:val="99"/>
    <w:semiHidden/>
    <w:unhideWhenUsed/>
    <w:rsid w:val="00E02F30"/>
  </w:style>
  <w:style w:type="table" w:customStyle="1" w:styleId="Tabela-Siatka214">
    <w:name w:val="Tabela - Siatka214"/>
    <w:basedOn w:val="Standardowy"/>
    <w:next w:val="Tabela-Siatka"/>
    <w:uiPriority w:val="99"/>
    <w:rsid w:val="00E02F30"/>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59"/>
    <w:rsid w:val="00E02F30"/>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4">
    <w:name w:val="Arcadis_Bullet4"/>
    <w:basedOn w:val="Bezlisty"/>
    <w:uiPriority w:val="99"/>
    <w:rsid w:val="00E02F30"/>
  </w:style>
  <w:style w:type="table" w:customStyle="1" w:styleId="TableNormal6">
    <w:name w:val="Table Normal6"/>
    <w:uiPriority w:val="2"/>
    <w:semiHidden/>
    <w:unhideWhenUsed/>
    <w:qFormat/>
    <w:rsid w:val="00E02F3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Bezlisty44">
    <w:name w:val="Bez listy44"/>
    <w:next w:val="Bezlisty"/>
    <w:uiPriority w:val="99"/>
    <w:semiHidden/>
    <w:unhideWhenUsed/>
    <w:rsid w:val="00E02F30"/>
  </w:style>
  <w:style w:type="numbering" w:customStyle="1" w:styleId="Bezlisty124">
    <w:name w:val="Bez listy124"/>
    <w:next w:val="Bezlisty"/>
    <w:semiHidden/>
    <w:rsid w:val="00E02F30"/>
  </w:style>
  <w:style w:type="table" w:customStyle="1" w:styleId="Tabela-Siatka124">
    <w:name w:val="Tabela - Siatka124"/>
    <w:basedOn w:val="Standardowy"/>
    <w:next w:val="Tabela-Siatka"/>
    <w:uiPriority w:val="59"/>
    <w:rsid w:val="00E02F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4">
    <w:name w:val="Bez listy54"/>
    <w:next w:val="Bezlisty"/>
    <w:uiPriority w:val="99"/>
    <w:semiHidden/>
    <w:unhideWhenUsed/>
    <w:rsid w:val="00E02F30"/>
  </w:style>
  <w:style w:type="table" w:customStyle="1" w:styleId="Tabela-Siatka54">
    <w:name w:val="Tabela - Siatka54"/>
    <w:basedOn w:val="Standardowy"/>
    <w:next w:val="Tabela-Siatka"/>
    <w:uiPriority w:val="59"/>
    <w:rsid w:val="00E02F30"/>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4">
    <w:name w:val="Bez listy134"/>
    <w:next w:val="Bezlisty"/>
    <w:uiPriority w:val="99"/>
    <w:semiHidden/>
    <w:unhideWhenUsed/>
    <w:rsid w:val="00E02F30"/>
  </w:style>
  <w:style w:type="table" w:customStyle="1" w:styleId="Tabela-Siatka134">
    <w:name w:val="Tabela - Siatka134"/>
    <w:basedOn w:val="Standardowy"/>
    <w:next w:val="Tabela-Siatka"/>
    <w:uiPriority w:val="59"/>
    <w:rsid w:val="00E02F3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4">
    <w:name w:val="Bez listy224"/>
    <w:next w:val="Bezlisty"/>
    <w:uiPriority w:val="99"/>
    <w:semiHidden/>
    <w:unhideWhenUsed/>
    <w:rsid w:val="00E02F30"/>
  </w:style>
  <w:style w:type="numbering" w:customStyle="1" w:styleId="ArcadisBullet13">
    <w:name w:val="Arcadis_Bullet13"/>
    <w:basedOn w:val="Bezlisty"/>
    <w:uiPriority w:val="99"/>
    <w:rsid w:val="00E02F30"/>
  </w:style>
  <w:style w:type="numbering" w:customStyle="1" w:styleId="Bezlisty315">
    <w:name w:val="Bez listy315"/>
    <w:next w:val="Bezlisty"/>
    <w:semiHidden/>
    <w:rsid w:val="00E02F30"/>
  </w:style>
  <w:style w:type="table" w:customStyle="1" w:styleId="Tabela-Siatka414">
    <w:name w:val="Tabela - Siatka414"/>
    <w:basedOn w:val="Standardowy"/>
    <w:next w:val="Tabela-Siatka"/>
    <w:rsid w:val="00E02F3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3">
    <w:name w:val="WW8Num53"/>
    <w:basedOn w:val="Bezlisty"/>
    <w:rsid w:val="00E02F30"/>
  </w:style>
  <w:style w:type="numbering" w:customStyle="1" w:styleId="Bezlisty61">
    <w:name w:val="Bez listy61"/>
    <w:next w:val="Bezlisty"/>
    <w:uiPriority w:val="99"/>
    <w:semiHidden/>
    <w:unhideWhenUsed/>
    <w:rsid w:val="00E02F30"/>
  </w:style>
  <w:style w:type="numbering" w:customStyle="1" w:styleId="Bezlisty141">
    <w:name w:val="Bez listy141"/>
    <w:next w:val="Bezlisty"/>
    <w:uiPriority w:val="99"/>
    <w:semiHidden/>
    <w:rsid w:val="00E02F30"/>
  </w:style>
  <w:style w:type="numbering" w:customStyle="1" w:styleId="Biecalista112">
    <w:name w:val="Bieżąca lista112"/>
    <w:rsid w:val="00E02F30"/>
  </w:style>
  <w:style w:type="numbering" w:customStyle="1" w:styleId="Bezlisty231">
    <w:name w:val="Bez listy231"/>
    <w:next w:val="Bezlisty"/>
    <w:uiPriority w:val="99"/>
    <w:semiHidden/>
    <w:unhideWhenUsed/>
    <w:rsid w:val="00E02F30"/>
  </w:style>
  <w:style w:type="numbering" w:customStyle="1" w:styleId="Bezlisty321">
    <w:name w:val="Bez listy321"/>
    <w:next w:val="Bezlisty"/>
    <w:uiPriority w:val="99"/>
    <w:semiHidden/>
    <w:unhideWhenUsed/>
    <w:rsid w:val="00E02F30"/>
  </w:style>
  <w:style w:type="numbering" w:customStyle="1" w:styleId="Bezlisty1121">
    <w:name w:val="Bez listy1121"/>
    <w:next w:val="Bezlisty"/>
    <w:uiPriority w:val="99"/>
    <w:semiHidden/>
    <w:unhideWhenUsed/>
    <w:rsid w:val="00E02F30"/>
  </w:style>
  <w:style w:type="numbering" w:customStyle="1" w:styleId="Bezlisty2111">
    <w:name w:val="Bez listy2111"/>
    <w:next w:val="Bezlisty"/>
    <w:uiPriority w:val="99"/>
    <w:semiHidden/>
    <w:unhideWhenUsed/>
    <w:rsid w:val="00E02F30"/>
  </w:style>
  <w:style w:type="numbering" w:customStyle="1" w:styleId="ArcadisBullet21">
    <w:name w:val="Arcadis_Bullet21"/>
    <w:basedOn w:val="Bezlisty"/>
    <w:uiPriority w:val="99"/>
    <w:rsid w:val="00E02F30"/>
  </w:style>
  <w:style w:type="numbering" w:customStyle="1" w:styleId="Bezlisty411">
    <w:name w:val="Bez listy411"/>
    <w:next w:val="Bezlisty"/>
    <w:uiPriority w:val="99"/>
    <w:semiHidden/>
    <w:unhideWhenUsed/>
    <w:rsid w:val="00E02F30"/>
  </w:style>
  <w:style w:type="numbering" w:customStyle="1" w:styleId="Bezlisty1211">
    <w:name w:val="Bez listy1211"/>
    <w:next w:val="Bezlisty"/>
    <w:semiHidden/>
    <w:rsid w:val="00E02F30"/>
  </w:style>
  <w:style w:type="character" w:customStyle="1" w:styleId="ECwylIrzpocztekZnak">
    <w:name w:val="EC_wyl_Irz_początek Znak"/>
    <w:link w:val="ECwylIrzpocztek"/>
    <w:rsid w:val="00E02F30"/>
    <w:rPr>
      <w:rFonts w:ascii="Times New Roman" w:eastAsia="Calibri" w:hAnsi="Times New Roman" w:cs="Arial"/>
      <w:color w:val="000000"/>
      <w:sz w:val="20"/>
      <w:szCs w:val="20"/>
    </w:rPr>
  </w:style>
  <w:style w:type="paragraph" w:customStyle="1" w:styleId="Stopkastrony">
    <w:name w:val="Stopka strony"/>
    <w:link w:val="StopkastronyZnak"/>
    <w:qFormat/>
    <w:rsid w:val="00E02F30"/>
    <w:pPr>
      <w:pBdr>
        <w:top w:val="single" w:sz="6" w:space="1" w:color="auto"/>
      </w:pBdr>
      <w:tabs>
        <w:tab w:val="center" w:pos="4536"/>
        <w:tab w:val="right" w:pos="9072"/>
      </w:tabs>
      <w:spacing w:after="120" w:line="240" w:lineRule="auto"/>
      <w:ind w:right="360"/>
      <w:jc w:val="center"/>
    </w:pPr>
    <w:rPr>
      <w:rFonts w:ascii="Calibri" w:eastAsia="Times New Roman" w:hAnsi="Calibri" w:cs="Times New Roman"/>
      <w:i/>
      <w:sz w:val="24"/>
      <w:szCs w:val="24"/>
      <w:lang w:eastAsia="pl-PL"/>
    </w:rPr>
  </w:style>
  <w:style w:type="character" w:customStyle="1" w:styleId="StopkastronyZnak">
    <w:name w:val="Stopka strony Znak"/>
    <w:link w:val="Stopkastrony"/>
    <w:rsid w:val="00E02F30"/>
    <w:rPr>
      <w:rFonts w:ascii="Calibri" w:eastAsia="Times New Roman" w:hAnsi="Calibri" w:cs="Times New Roman"/>
      <w:i/>
      <w:sz w:val="24"/>
      <w:szCs w:val="24"/>
      <w:lang w:eastAsia="pl-PL"/>
    </w:rPr>
  </w:style>
  <w:style w:type="character" w:customStyle="1" w:styleId="punktorpoziom3Znak">
    <w:name w:val="punktor poziom 3 Znak"/>
    <w:link w:val="punktorpoziom3"/>
    <w:rsid w:val="00E02F30"/>
    <w:rPr>
      <w:rFonts w:ascii="Times New Roman" w:eastAsia="Times New Roman" w:hAnsi="Times New Roman" w:cs="Times New Roman"/>
      <w:snapToGrid w:val="0"/>
      <w:sz w:val="24"/>
      <w:szCs w:val="24"/>
      <w:lang w:eastAsia="pl-PL"/>
    </w:rPr>
  </w:style>
  <w:style w:type="numbering" w:customStyle="1" w:styleId="WW8Num513">
    <w:name w:val="WW8Num513"/>
    <w:basedOn w:val="Bezlisty"/>
    <w:rsid w:val="00E02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1957244">
      <w:bodyDiv w:val="1"/>
      <w:marLeft w:val="0"/>
      <w:marRight w:val="0"/>
      <w:marTop w:val="0"/>
      <w:marBottom w:val="0"/>
      <w:divBdr>
        <w:top w:val="none" w:sz="0" w:space="0" w:color="auto"/>
        <w:left w:val="none" w:sz="0" w:space="0" w:color="auto"/>
        <w:bottom w:val="none" w:sz="0" w:space="0" w:color="auto"/>
        <w:right w:val="none" w:sz="0" w:space="0" w:color="auto"/>
      </w:divBdr>
    </w:div>
    <w:div w:id="181849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CE51F-A43F-496D-B1DB-729C3B73A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1</Pages>
  <Words>50851</Words>
  <Characters>305107</Characters>
  <Application>Microsoft Office Word</Application>
  <DocSecurity>0</DocSecurity>
  <Lines>2542</Lines>
  <Paragraphs>710</Paragraphs>
  <ScaleCrop>false</ScaleCrop>
  <HeadingPairs>
    <vt:vector size="4" baseType="variant">
      <vt:variant>
        <vt:lpstr>Tytuł</vt:lpstr>
      </vt:variant>
      <vt:variant>
        <vt:i4>1</vt:i4>
      </vt:variant>
      <vt:variant>
        <vt:lpstr>Nagłówki</vt:lpstr>
      </vt:variant>
      <vt:variant>
        <vt:i4>38</vt:i4>
      </vt:variant>
    </vt:vector>
  </HeadingPairs>
  <TitlesOfParts>
    <vt:vector size="39" baseType="lpstr">
      <vt:lpstr>pozwolenie zintegrowane - Sarzyna Chemical Sp. z o.o. Instalacja Nienasyconych Żywic Poliestrowych (Z)</vt:lpstr>
      <vt:lpstr>DECYZJA</vt:lpstr>
      <vt:lpstr>    Rodzaj i parametry instalacji oraz rodzaj prowadzonej działalności: </vt:lpstr>
      <vt:lpstr>        I.1. Instalacja Nienasyconych Żywic Poliestrowych (Z)</vt:lpstr>
      <vt:lpstr>        I.2. WYKAZ I PARAMETRY URZĄDZEŃ ISTOTNYCH Z PUNKTU WIDZENIA PRZECIWDZIAŁANIA ZAN</vt:lpstr>
      <vt:lpstr>    II. Maksymalna dopuszczalna emisja w warunkach normalnego funkcjonowania instala</vt:lpstr>
      <vt:lpstr>        II.1. Dopuszczalna wielkość emisji gazów i pyłów wprowadzanych do powietrza w wa</vt:lpstr>
      <vt:lpstr>        II.2. Proponowana ilość, stan i skład ścieków przemysłowych z instalacji</vt:lpstr>
      <vt:lpstr>        II.3. Dopuszczalne rodzaje i ilości odpadów, podstawowy skład chemiczny  i właśc</vt:lpstr>
      <vt:lpstr>        II.4. Dopuszczalny poziom emisji hałasu do środowiska z instalacji</vt:lpstr>
      <vt:lpstr>    III. Warunki eksploatacyjne odbiegające od normalnych</vt:lpstr>
      <vt:lpstr>        III.1. Warunki eksploatacyjne odbiegające od normalnych w tym zatrzymania, posto</vt:lpstr>
      <vt:lpstr>        III.2. Kryteria i parametry określające okresy rozruchu i wyłączenia instalacji</vt:lpstr>
      <vt:lpstr>    IV. Warunki wprowadzania do środowiska substancji lub energii i wymagane działan</vt:lpstr>
      <vt:lpstr>        IV.1. Warunki wprowadzania gazów i pyłów do powietrza oraz środki technicznemają</vt:lpstr>
      <vt:lpstr>        IV.2. Warunki poboru wód i emisji ścieków przemysłowych z instalacji</vt:lpstr>
      <vt:lpstr>        IV.3. Warunki gospodarowania wytwarzanymi odpadami</vt:lpstr>
      <vt:lpstr>        IV.4. Warunki emisji hałasu do środowiska</vt:lpstr>
      <vt:lpstr>    V. Rodzaj i ilość wykorzystywanej energii, materiałów, surowców i paliw</vt:lpstr>
      <vt:lpstr>        V.1. Zużycie wody dla potrzeb instalacji</vt:lpstr>
      <vt:lpstr>        V.2. Zużycie energii i paliw dla potrzeb instalacji</vt:lpstr>
      <vt:lpstr>        V.3. Zużycie surowców i materiałów  dla potrzeb instalacji</vt:lpstr>
      <vt:lpstr>    VI. Zakres i sposób monitorowania procesów technologicznych, w tym pomiaru i ewi</vt:lpstr>
      <vt:lpstr>        VI.1. Monitoring procesów technologicznych</vt:lpstr>
      <vt:lpstr>        VI.2. Monitoring emisji gazów i pyłów do powietrza</vt:lpstr>
      <vt:lpstr>        VI.3. Monitoring emisji hałasu do środowiska</vt:lpstr>
      <vt:lpstr>        VI.4. Monitoring poboru wody</vt:lpstr>
      <vt:lpstr>        VI.5. Monitoring odprowadzanych ścieków</vt:lpstr>
      <vt:lpstr>        VI.6. Monitoring zanieczyszczeń gleby, ziemi i wód podziemnych substancjami powo</vt:lpstr>
      <vt:lpstr>        VI.7. Monitoring jakości wód powierzchniowych rzeki San </vt:lpstr>
      <vt:lpstr>        VI.8. Monitoring odpadów i ich ewidencja.</vt:lpstr>
      <vt:lpstr>        VI.9. Zasady wykorzystania i gromadzenia wyników monitorowania instalacji </vt:lpstr>
      <vt:lpstr>    VII. Sposób postępowania w przypadku uszkodzenia aparatury pomiarowej służącej d</vt:lpstr>
      <vt:lpstr>    VIII. Wymagania zapewniające ochronę gleby, ziemi i wód gruntowych, w tym środki</vt:lpstr>
      <vt:lpstr>    IX. Zakres, sposób i termin przekazywania organowi właściwemu do wydania pozwole</vt:lpstr>
      <vt:lpstr>        IX.1. Opracowane wyniki pomiarów wykonywanych w związku z realizacją obowiązków </vt:lpstr>
      <vt:lpstr>        IX.2. Do dnia 31 marca danego roku, opracowane przez Prowadzącego instalacje, pr</vt:lpstr>
      <vt:lpstr>    XI. Sposoby osiągania wysokiego poziomu ochrony środowiska jako całości</vt:lpstr>
      <vt:lpstr>        XI.3. W sytuacji wystąpienia zagrożenia zabezpieczenie operacyjne stanowić będzi</vt:lpstr>
    </vt:vector>
  </TitlesOfParts>
  <Manager/>
  <Company>UMWP</Company>
  <LinksUpToDate>false</LinksUpToDate>
  <CharactersWithSpaces>355248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pozwolenie zintegrowane - Sarzyna Chemical Sp. z o.o. Instalacja Nienasyconych Żywic Poliestrowych (Z)</dc:title>
  <dc:subject/>
  <dc:creator>B.Krol@podkarpackie.pl</dc:creator>
  <cp:keywords/>
  <dc:description/>
  <cp:lastModifiedBy>Król-Cieśla Barbara</cp:lastModifiedBy>
  <cp:revision>51</cp:revision>
  <cp:lastPrinted>2021-06-29T12:30:00Z</cp:lastPrinted>
  <dcterms:created xsi:type="dcterms:W3CDTF">2022-10-21T12:01:00Z</dcterms:created>
  <dcterms:modified xsi:type="dcterms:W3CDTF">2024-09-03T10:47:00Z</dcterms:modified>
</cp:coreProperties>
</file>